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BB6" w:rsidRDefault="00FA5ED6">
      <w:pPr>
        <w:spacing w:beforeLines="50" w:before="156" w:afterLines="50" w:after="156" w:line="400" w:lineRule="exact"/>
        <w:rPr>
          <w:rFonts w:ascii="宋体" w:hAnsi="宋体"/>
          <w:b/>
          <w:bCs/>
          <w:iCs/>
          <w:color w:val="000000"/>
          <w:sz w:val="24"/>
        </w:rPr>
      </w:pPr>
      <w:r>
        <w:rPr>
          <w:rFonts w:ascii="宋体" w:hAnsi="宋体" w:hint="eastAsia"/>
          <w:b/>
          <w:bCs/>
          <w:iCs/>
          <w:color w:val="000000"/>
          <w:sz w:val="24"/>
        </w:rPr>
        <w:t>证券代码：</w:t>
      </w:r>
      <w:r>
        <w:rPr>
          <w:rFonts w:ascii="宋体" w:hAnsi="宋体"/>
          <w:b/>
          <w:bCs/>
          <w:iCs/>
          <w:color w:val="000000"/>
          <w:sz w:val="24"/>
        </w:rPr>
        <w:t>688047</w:t>
      </w:r>
      <w:r>
        <w:rPr>
          <w:rFonts w:ascii="宋体" w:hAnsi="宋体" w:hint="eastAsia"/>
          <w:b/>
          <w:bCs/>
          <w:iCs/>
          <w:color w:val="000000"/>
          <w:sz w:val="24"/>
        </w:rPr>
        <w:t xml:space="preserve">                                 </w:t>
      </w:r>
      <w:r>
        <w:rPr>
          <w:rFonts w:ascii="宋体" w:hAnsi="宋体" w:hint="eastAsia"/>
          <w:b/>
          <w:bCs/>
          <w:iCs/>
          <w:color w:val="000000"/>
          <w:sz w:val="24"/>
        </w:rPr>
        <w:t>证券简称：龙芯中科</w:t>
      </w:r>
    </w:p>
    <w:p w:rsidR="00435BB6" w:rsidRDefault="00435BB6">
      <w:pPr>
        <w:spacing w:beforeLines="50" w:before="156" w:afterLines="50" w:after="156"/>
        <w:rPr>
          <w:rFonts w:ascii="宋体" w:hAnsi="宋体"/>
          <w:bCs/>
          <w:iCs/>
          <w:color w:val="000000"/>
          <w:sz w:val="24"/>
        </w:rPr>
      </w:pPr>
    </w:p>
    <w:p w:rsidR="00435BB6" w:rsidRDefault="00FA5ED6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龙芯中科技术股份有限公司</w:t>
      </w:r>
    </w:p>
    <w:p w:rsidR="00435BB6" w:rsidRDefault="00FA5ED6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:rsidR="00435BB6" w:rsidRDefault="00FA5ED6">
      <w:pPr>
        <w:spacing w:line="400" w:lineRule="exact"/>
        <w:jc w:val="righ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287"/>
      </w:tblGrid>
      <w:tr w:rsidR="00435BB6">
        <w:trPr>
          <w:trHeight w:val="155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B6" w:rsidRDefault="00FA5ED6">
            <w:pPr>
              <w:spacing w:line="276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投资者关系活动类别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6" w:rsidRDefault="00FA5ED6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特定对象调研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分析师会议</w:t>
            </w:r>
          </w:p>
          <w:p w:rsidR="00435BB6" w:rsidRDefault="00FA5ED6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媒体采访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业绩说明会</w:t>
            </w:r>
          </w:p>
          <w:p w:rsidR="00435BB6" w:rsidRDefault="00FA5ED6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新闻发布会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路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Cs w:val="21"/>
              </w:rPr>
              <w:t>演活动</w:t>
            </w:r>
          </w:p>
          <w:p w:rsidR="00435BB6" w:rsidRDefault="00FA5ED6">
            <w:pPr>
              <w:tabs>
                <w:tab w:val="left" w:pos="2520"/>
                <w:tab w:val="center" w:pos="3199"/>
              </w:tabs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现场参观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ab/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线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上方式</w:t>
            </w:r>
            <w:proofErr w:type="gramEnd"/>
            <w:r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   </w:t>
            </w:r>
          </w:p>
        </w:tc>
      </w:tr>
      <w:tr w:rsidR="00435BB6">
        <w:trPr>
          <w:trHeight w:val="47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B6" w:rsidRDefault="00FA5ED6">
            <w:pPr>
              <w:spacing w:line="276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参与单位名称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B6" w:rsidRDefault="00FA5ED6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详见附件</w:t>
            </w:r>
          </w:p>
        </w:tc>
      </w:tr>
      <w:tr w:rsidR="00435BB6">
        <w:trPr>
          <w:trHeight w:val="32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B6" w:rsidRDefault="00FA5ED6">
            <w:pPr>
              <w:spacing w:line="276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时间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B6" w:rsidRDefault="00FA5ED6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202</w:t>
            </w:r>
            <w:r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年</w:t>
            </w:r>
            <w:r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月</w:t>
            </w:r>
            <w:r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  <w:t>29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日</w:t>
            </w:r>
          </w:p>
        </w:tc>
      </w:tr>
      <w:tr w:rsidR="00435BB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B6" w:rsidRDefault="00FA5ED6">
            <w:pPr>
              <w:spacing w:line="276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地点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B6" w:rsidRDefault="00FA5ED6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北京市海淀区中关村环保科技示范园龙芯产业园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号楼</w:t>
            </w:r>
          </w:p>
        </w:tc>
      </w:tr>
      <w:tr w:rsidR="00435BB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B6" w:rsidRDefault="00FA5ED6">
            <w:pPr>
              <w:spacing w:line="276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上市公司接待人员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B6" w:rsidRDefault="00FA5ED6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董事长、总经理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胡伟武；董事会秘书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李晓钰；财务总监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-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曹砚财</w:t>
            </w:r>
            <w:proofErr w:type="gramEnd"/>
          </w:p>
        </w:tc>
      </w:tr>
      <w:tr w:rsidR="00435BB6">
        <w:trPr>
          <w:trHeight w:val="15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B6" w:rsidRDefault="00FA5ED6">
            <w:pPr>
              <w:spacing w:line="276" w:lineRule="auto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投资者关系活动主要内容介绍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6" w:rsidRDefault="00FA5ED6">
            <w:pPr>
              <w:widowControl/>
              <w:spacing w:line="360" w:lineRule="auto"/>
              <w:ind w:firstLineChars="200" w:firstLine="422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、公司</w:t>
            </w:r>
            <w:r>
              <w:rPr>
                <w:rFonts w:hint="eastAsia"/>
                <w:b/>
              </w:rPr>
              <w:t>6000</w:t>
            </w:r>
            <w:r>
              <w:rPr>
                <w:rFonts w:hint="eastAsia"/>
                <w:b/>
              </w:rPr>
              <w:t>系列的芯片，我觉得算是公司后续的主力芯片，请问下游哪些行业对我们</w:t>
            </w:r>
            <w:r>
              <w:rPr>
                <w:rFonts w:hint="eastAsia"/>
                <w:b/>
              </w:rPr>
              <w:t>6000</w:t>
            </w:r>
            <w:r>
              <w:rPr>
                <w:rFonts w:hint="eastAsia"/>
                <w:b/>
              </w:rPr>
              <w:t>系列芯片会有一个比较高的需求？</w:t>
            </w:r>
          </w:p>
          <w:p w:rsidR="00435BB6" w:rsidRDefault="00FA5ED6">
            <w:pPr>
              <w:widowControl/>
              <w:spacing w:line="360" w:lineRule="auto"/>
              <w:ind w:firstLineChars="200" w:firstLine="420"/>
            </w:pPr>
            <w:r>
              <w:rPr>
                <w:rFonts w:hint="eastAsia"/>
              </w:rPr>
              <w:t>龙芯</w:t>
            </w:r>
            <w:r>
              <w:rPr>
                <w:rFonts w:hint="eastAsia"/>
              </w:rPr>
              <w:t>6000</w:t>
            </w:r>
            <w:r>
              <w:rPr>
                <w:rFonts w:hint="eastAsia"/>
              </w:rPr>
              <w:t>系列有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款产品，一款是面向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领域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核的</w:t>
            </w:r>
            <w:r>
              <w:rPr>
                <w:rFonts w:hint="eastAsia"/>
              </w:rPr>
              <w:t>3A6000</w:t>
            </w:r>
            <w:r>
              <w:rPr>
                <w:rFonts w:hint="eastAsia"/>
              </w:rPr>
              <w:t>，这款芯片已经有小批量销售了。一款是面向服务器领域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3C6000</w:t>
            </w:r>
            <w:r>
              <w:rPr>
                <w:rFonts w:hint="eastAsia"/>
              </w:rPr>
              <w:t>，这款芯片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核、</w:t>
            </w: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核、</w:t>
            </w:r>
            <w:r>
              <w:rPr>
                <w:rFonts w:hint="eastAsia"/>
              </w:rPr>
              <w:t>64</w:t>
            </w:r>
            <w:r>
              <w:rPr>
                <w:rFonts w:hint="eastAsia"/>
              </w:rPr>
              <w:t>核的版本，</w:t>
            </w:r>
            <w:r>
              <w:rPr>
                <w:rFonts w:hint="eastAsia"/>
              </w:rPr>
              <w:t>目前</w:t>
            </w:r>
            <w:r>
              <w:rPr>
                <w:rFonts w:hint="eastAsia"/>
              </w:rPr>
              <w:t>处于样片阶段。还有一款是面向笔记本领域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核的</w:t>
            </w:r>
            <w:r>
              <w:rPr>
                <w:rFonts w:hint="eastAsia"/>
              </w:rPr>
              <w:t>3B6000M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也就是</w:t>
            </w:r>
            <w:r>
              <w:rPr>
                <w:rFonts w:hint="eastAsia"/>
              </w:rPr>
              <w:t>2K3000</w:t>
            </w:r>
            <w:r>
              <w:rPr>
                <w:rFonts w:hint="eastAsia"/>
              </w:rPr>
              <w:t>在笔记本领域</w:t>
            </w:r>
            <w:r>
              <w:rPr>
                <w:rFonts w:hint="eastAsia"/>
              </w:rPr>
              <w:t>的版本</w:t>
            </w:r>
            <w:r>
              <w:rPr>
                <w:rFonts w:hint="eastAsia"/>
              </w:rPr>
              <w:t>），目前在流片阶段。</w:t>
            </w:r>
          </w:p>
          <w:p w:rsidR="00435BB6" w:rsidRDefault="00FA5ED6">
            <w:pPr>
              <w:widowControl/>
              <w:spacing w:line="360" w:lineRule="auto"/>
              <w:ind w:firstLineChars="200" w:firstLine="420"/>
            </w:pPr>
            <w:r>
              <w:rPr>
                <w:rFonts w:hint="eastAsia"/>
              </w:rPr>
              <w:t>政策性市场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，龙芯</w:t>
            </w:r>
            <w:r>
              <w:rPr>
                <w:rFonts w:hint="eastAsia"/>
              </w:rPr>
              <w:t>3A6000</w:t>
            </w:r>
            <w:r>
              <w:rPr>
                <w:rFonts w:hint="eastAsia"/>
              </w:rPr>
              <w:t>目前表现不错，从整机企业的反馈来看，用</w:t>
            </w:r>
            <w:r>
              <w:rPr>
                <w:rFonts w:hint="eastAsia"/>
              </w:rPr>
              <w:t>3A6000</w:t>
            </w:r>
            <w:r>
              <w:rPr>
                <w:rFonts w:hint="eastAsia"/>
              </w:rPr>
              <w:t>做整机最便宜，而且性能也好，应该说性价比是足够高的，后续随着党政政策性市场的逐步恢复，我们对</w:t>
            </w:r>
            <w:r>
              <w:rPr>
                <w:rFonts w:hint="eastAsia"/>
              </w:rPr>
              <w:t>3A6000</w:t>
            </w:r>
            <w:r>
              <w:rPr>
                <w:rFonts w:hint="eastAsia"/>
              </w:rPr>
              <w:t>的市场表现是比较看好的。</w:t>
            </w:r>
            <w:r>
              <w:rPr>
                <w:rFonts w:hint="eastAsia"/>
              </w:rPr>
              <w:t>龙芯</w:t>
            </w:r>
            <w:r>
              <w:rPr>
                <w:rFonts w:hint="eastAsia"/>
              </w:rPr>
              <w:t>3C6000</w:t>
            </w:r>
            <w:r>
              <w:rPr>
                <w:rFonts w:hint="eastAsia"/>
              </w:rPr>
              <w:t>预计</w:t>
            </w:r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Q2</w:t>
            </w:r>
            <w:r>
              <w:rPr>
                <w:rFonts w:hint="eastAsia"/>
              </w:rPr>
              <w:t>完成产品化实现批产并正式发布，我们认为在目前市场上所有同类型的服务器</w:t>
            </w:r>
            <w:r>
              <w:rPr>
                <w:rFonts w:hint="eastAsia"/>
              </w:rPr>
              <w:t>CPU</w:t>
            </w:r>
            <w:r>
              <w:rPr>
                <w:rFonts w:hint="eastAsia"/>
              </w:rPr>
              <w:t>里面，</w:t>
            </w:r>
            <w:r>
              <w:rPr>
                <w:rFonts w:hint="eastAsia"/>
              </w:rPr>
              <w:t>3C6000</w:t>
            </w:r>
            <w:r>
              <w:rPr>
                <w:rFonts w:hint="eastAsia"/>
              </w:rPr>
              <w:t>服务器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PU</w:t>
            </w:r>
            <w:r>
              <w:rPr>
                <w:rFonts w:hint="eastAsia"/>
              </w:rPr>
              <w:t>芯片的性价比是超强的。存储服务器有足够的市场空间且没有生态壁垒。我们认为在存储服务器市场，</w:t>
            </w:r>
            <w:r>
              <w:rPr>
                <w:rFonts w:hint="eastAsia"/>
              </w:rPr>
              <w:t>3C6000</w:t>
            </w:r>
            <w:r>
              <w:rPr>
                <w:rFonts w:hint="eastAsia"/>
              </w:rPr>
              <w:t>是可以面向开放市场竞争的。</w:t>
            </w:r>
            <w:r>
              <w:rPr>
                <w:rFonts w:hint="eastAsia"/>
              </w:rPr>
              <w:t>3B6000M</w:t>
            </w:r>
            <w:r>
              <w:rPr>
                <w:rFonts w:hint="eastAsia"/>
              </w:rPr>
              <w:t>笔记本芯片，</w:t>
            </w:r>
            <w:r>
              <w:rPr>
                <w:rFonts w:hint="eastAsia"/>
              </w:rPr>
              <w:lastRenderedPageBreak/>
              <w:t>目前</w:t>
            </w:r>
            <w:proofErr w:type="gramStart"/>
            <w:r>
              <w:rPr>
                <w:rFonts w:hint="eastAsia"/>
              </w:rPr>
              <w:t>处于流片阶段</w:t>
            </w:r>
            <w:proofErr w:type="gramEnd"/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这款芯片的性价比也非常高。</w:t>
            </w:r>
          </w:p>
          <w:p w:rsidR="00435BB6" w:rsidRDefault="00FA5ED6">
            <w:pPr>
              <w:widowControl/>
              <w:spacing w:line="360" w:lineRule="auto"/>
              <w:ind w:firstLineChars="200" w:firstLine="420"/>
            </w:pPr>
            <w:r>
              <w:rPr>
                <w:rFonts w:hint="eastAsia"/>
              </w:rPr>
              <w:t>过去龙芯</w:t>
            </w:r>
            <w:r>
              <w:rPr>
                <w:rFonts w:hint="eastAsia"/>
              </w:rPr>
              <w:t>做</w:t>
            </w:r>
            <w:r>
              <w:rPr>
                <w:rFonts w:hint="eastAsia"/>
              </w:rPr>
              <w:t>行业应用做的少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>现在</w:t>
            </w:r>
            <w:r>
              <w:rPr>
                <w:rFonts w:hint="eastAsia"/>
              </w:rPr>
              <w:t>Linux</w:t>
            </w:r>
            <w:r>
              <w:rPr>
                <w:rFonts w:hint="eastAsia"/>
              </w:rPr>
              <w:t>软件生态面向办公是没问题的，面向复杂的业务系统，总体上还是需要有</w:t>
            </w:r>
            <w:r>
              <w:rPr>
                <w:rFonts w:hint="eastAsia"/>
              </w:rPr>
              <w:t>Windows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>龙芯</w:t>
            </w:r>
            <w:r>
              <w:rPr>
                <w:rFonts w:hint="eastAsia"/>
              </w:rPr>
              <w:t>3A6000</w:t>
            </w:r>
            <w:r>
              <w:rPr>
                <w:rFonts w:hint="eastAsia"/>
              </w:rPr>
              <w:t>目前已经可以流畅运行</w:t>
            </w:r>
            <w:r>
              <w:rPr>
                <w:rFonts w:hint="eastAsia"/>
              </w:rPr>
              <w:t>Windows7</w:t>
            </w:r>
            <w:r>
              <w:rPr>
                <w:rFonts w:hint="eastAsia"/>
              </w:rPr>
              <w:t>系统，加上龙芯的二进制翻译，再加上龙芯产品的高性价比，</w:t>
            </w:r>
            <w:r>
              <w:rPr>
                <w:rFonts w:hint="eastAsia"/>
              </w:rPr>
              <w:t>我觉得</w:t>
            </w:r>
            <w:r>
              <w:rPr>
                <w:rFonts w:hint="eastAsia"/>
              </w:rPr>
              <w:t>明年</w:t>
            </w:r>
            <w:r>
              <w:rPr>
                <w:rFonts w:hint="eastAsia"/>
              </w:rPr>
              <w:t>行业</w:t>
            </w:r>
            <w:r>
              <w:rPr>
                <w:rFonts w:hint="eastAsia"/>
              </w:rPr>
              <w:t>应用</w:t>
            </w:r>
            <w:r>
              <w:rPr>
                <w:rFonts w:hint="eastAsia"/>
              </w:rPr>
              <w:t>也会成为龙芯</w:t>
            </w:r>
            <w:r>
              <w:rPr>
                <w:rFonts w:hint="eastAsia"/>
              </w:rPr>
              <w:t>重要的方向。</w:t>
            </w:r>
          </w:p>
          <w:p w:rsidR="00435BB6" w:rsidRDefault="00FA5ED6">
            <w:pPr>
              <w:widowControl/>
              <w:spacing w:line="360" w:lineRule="auto"/>
              <w:ind w:firstLineChars="200" w:firstLine="420"/>
            </w:pPr>
            <w:r>
              <w:rPr>
                <w:rFonts w:hint="eastAsia"/>
              </w:rPr>
              <w:t>在开放市场方面，</w:t>
            </w:r>
            <w:r>
              <w:rPr>
                <w:rFonts w:hint="eastAsia"/>
              </w:rPr>
              <w:t>会聚焦特定领域的</w:t>
            </w:r>
            <w:r>
              <w:rPr>
                <w:rFonts w:hint="eastAsia"/>
              </w:rPr>
              <w:t>专用</w:t>
            </w:r>
            <w:r>
              <w:rPr>
                <w:rFonts w:hint="eastAsia"/>
              </w:rPr>
              <w:t>解决方案</w:t>
            </w:r>
            <w:r>
              <w:rPr>
                <w:rFonts w:hint="eastAsia"/>
              </w:rPr>
              <w:t>，比如存储服务器；或者一些</w:t>
            </w:r>
            <w:r>
              <w:rPr>
                <w:rFonts w:hint="eastAsia"/>
              </w:rPr>
              <w:t>软硬一体</w:t>
            </w:r>
            <w:r>
              <w:rPr>
                <w:rFonts w:hint="eastAsia"/>
              </w:rPr>
              <w:t>垂直型解决方案，如一体机。</w:t>
            </w:r>
          </w:p>
          <w:p w:rsidR="00435BB6" w:rsidRDefault="00FA5ED6">
            <w:pPr>
              <w:widowControl/>
              <w:spacing w:line="360" w:lineRule="auto"/>
              <w:ind w:firstLineChars="200" w:firstLine="420"/>
              <w:rPr>
                <w:b/>
              </w:rPr>
            </w:pPr>
            <w:r>
              <w:rPr>
                <w:rFonts w:hint="eastAsia"/>
              </w:rPr>
              <w:t>总体还是“两点一面”的思路，“一面”就是在政策性市场带动下持续完善基础软硬件平台，大幅提升龙芯通用</w:t>
            </w:r>
            <w:r>
              <w:rPr>
                <w:rFonts w:hint="eastAsia"/>
              </w:rPr>
              <w:t>CPU</w:t>
            </w:r>
            <w:r>
              <w:rPr>
                <w:rFonts w:hint="eastAsia"/>
              </w:rPr>
              <w:t>的性价比和软件生态；“两点”就是基于通用</w:t>
            </w:r>
            <w:r>
              <w:rPr>
                <w:rFonts w:hint="eastAsia"/>
              </w:rPr>
              <w:t>CPU</w:t>
            </w:r>
            <w:r>
              <w:rPr>
                <w:rFonts w:hint="eastAsia"/>
              </w:rPr>
              <w:t>研制具有开放市场竞争力的存储服务器、云终端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行业终端等专用解决方案，以及结合特定应用需求研制具有开放市场竞争力的嵌入式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专用芯片。</w:t>
            </w:r>
          </w:p>
          <w:p w:rsidR="00435BB6" w:rsidRDefault="00FA5ED6">
            <w:pPr>
              <w:widowControl/>
              <w:spacing w:line="360" w:lineRule="auto"/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、龙芯</w:t>
            </w:r>
            <w:r>
              <w:rPr>
                <w:rFonts w:hint="eastAsia"/>
                <w:b/>
              </w:rPr>
              <w:t>IP</w:t>
            </w:r>
            <w:r>
              <w:rPr>
                <w:rFonts w:hint="eastAsia"/>
                <w:b/>
              </w:rPr>
              <w:t>授权的业务，目前是什么样的模式？未来这部分业务是否会在我们收入中占有一定比例？</w:t>
            </w:r>
          </w:p>
          <w:p w:rsidR="00435BB6" w:rsidRDefault="00FA5ED6">
            <w:pPr>
              <w:widowControl/>
              <w:spacing w:line="360" w:lineRule="auto"/>
              <w:ind w:firstLineChars="200" w:firstLine="420"/>
            </w:pPr>
            <w:r>
              <w:rPr>
                <w:rFonts w:hint="eastAsia"/>
              </w:rPr>
              <w:t>龙芯</w:t>
            </w: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授权</w:t>
            </w:r>
            <w:r>
              <w:rPr>
                <w:rFonts w:hint="eastAsia"/>
              </w:rPr>
              <w:t>目前考虑</w:t>
            </w:r>
            <w:r>
              <w:rPr>
                <w:rFonts w:hint="eastAsia"/>
              </w:rPr>
              <w:t>两种模式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>第一</w:t>
            </w:r>
            <w:r>
              <w:rPr>
                <w:rFonts w:hint="eastAsia"/>
              </w:rPr>
              <w:t>种</w:t>
            </w:r>
            <w:r>
              <w:rPr>
                <w:rFonts w:hint="eastAsia"/>
              </w:rPr>
              <w:t>模式是纯</w:t>
            </w: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授权模式，</w:t>
            </w:r>
            <w:r>
              <w:rPr>
                <w:rFonts w:hint="eastAsia"/>
              </w:rPr>
              <w:t>开展这</w:t>
            </w: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>业务</w:t>
            </w:r>
            <w:r>
              <w:rPr>
                <w:rFonts w:hint="eastAsia"/>
              </w:rPr>
              <w:t>主要是为了做生态的需要。目前已经有两</w:t>
            </w:r>
            <w:r>
              <w:rPr>
                <w:rFonts w:hint="eastAsia"/>
              </w:rPr>
              <w:t>家企业</w:t>
            </w:r>
            <w:r>
              <w:rPr>
                <w:rFonts w:hint="eastAsia"/>
              </w:rPr>
              <w:t>推出龙架构的芯片在售</w:t>
            </w:r>
            <w:r>
              <w:rPr>
                <w:rFonts w:hint="eastAsia"/>
              </w:rPr>
              <w:t>，有三所高校推出芯片</w:t>
            </w:r>
            <w:r>
              <w:rPr>
                <w:rFonts w:hint="eastAsia"/>
              </w:rPr>
              <w:t>，还有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>授权的客户。</w:t>
            </w:r>
            <w:r>
              <w:rPr>
                <w:rFonts w:hint="eastAsia"/>
              </w:rPr>
              <w:t>第二</w:t>
            </w:r>
            <w:r>
              <w:rPr>
                <w:rFonts w:hint="eastAsia"/>
              </w:rPr>
              <w:t>种</w:t>
            </w:r>
            <w:r>
              <w:rPr>
                <w:rFonts w:hint="eastAsia"/>
              </w:rPr>
              <w:t>模式，类似于芯片设计服务，龙芯为客户提供芯片设计服务，</w:t>
            </w:r>
            <w:proofErr w:type="gramStart"/>
            <w:r>
              <w:rPr>
                <w:rFonts w:hint="eastAsia"/>
              </w:rPr>
              <w:t>以及流片甚至</w:t>
            </w:r>
            <w:proofErr w:type="gramEnd"/>
            <w:r>
              <w:rPr>
                <w:rFonts w:hint="eastAsia"/>
              </w:rPr>
              <w:t>是封装服务</w:t>
            </w:r>
            <w:r>
              <w:rPr>
                <w:rFonts w:hint="eastAsia"/>
              </w:rPr>
              <w:t>。龙芯的优势在于</w:t>
            </w: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特别全</w:t>
            </w:r>
            <w:r>
              <w:rPr>
                <w:rFonts w:hint="eastAsia"/>
              </w:rPr>
              <w:t>。</w:t>
            </w:r>
          </w:p>
          <w:p w:rsidR="00435BB6" w:rsidRDefault="00FA5ED6">
            <w:pPr>
              <w:widowControl/>
              <w:spacing w:line="360" w:lineRule="auto"/>
              <w:ind w:firstLineChars="200" w:firstLine="420"/>
              <w:rPr>
                <w:b/>
              </w:rPr>
            </w:pP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授权业务</w:t>
            </w:r>
            <w:r>
              <w:rPr>
                <w:rFonts w:hint="eastAsia"/>
              </w:rPr>
              <w:t>的营收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>按领域计入工控或信息化芯片营收</w:t>
            </w:r>
            <w:r>
              <w:rPr>
                <w:rFonts w:hint="eastAsia"/>
              </w:rPr>
              <w:t>的，</w:t>
            </w:r>
            <w:r>
              <w:rPr>
                <w:rFonts w:hint="eastAsia"/>
              </w:rPr>
              <w:t>目前体量</w:t>
            </w:r>
            <w:r>
              <w:rPr>
                <w:rFonts w:hint="eastAsia"/>
              </w:rPr>
              <w:t>还比较小，业务的规模化发展还尚需一定时间。</w:t>
            </w:r>
            <w:r>
              <w:rPr>
                <w:rFonts w:hint="eastAsia"/>
              </w:rPr>
              <w:t>理想的</w:t>
            </w:r>
            <w:r>
              <w:rPr>
                <w:rFonts w:hint="eastAsia"/>
              </w:rPr>
              <w:t>状态</w:t>
            </w:r>
            <w:r>
              <w:rPr>
                <w:rFonts w:hint="eastAsia"/>
              </w:rPr>
              <w:t>是未来有十几家到几十家的企业，分别推出龙架构芯片，生态逐步发展起来。</w:t>
            </w:r>
          </w:p>
          <w:p w:rsidR="00435BB6" w:rsidRDefault="00FA5ED6">
            <w:pPr>
              <w:widowControl/>
              <w:spacing w:line="360" w:lineRule="auto"/>
              <w:ind w:firstLineChars="200" w:firstLine="422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rFonts w:hint="eastAsia"/>
                <w:b/>
              </w:rPr>
              <w:t>、从近期的情况来看，在下游市场需求方面或者说订单需求情况是否有所变化？</w:t>
            </w:r>
          </w:p>
          <w:p w:rsidR="00435BB6" w:rsidRDefault="00FA5ED6">
            <w:pPr>
              <w:widowControl/>
              <w:spacing w:line="360" w:lineRule="auto"/>
              <w:ind w:firstLineChars="200" w:firstLine="420"/>
            </w:pPr>
            <w:r>
              <w:rPr>
                <w:rFonts w:hint="eastAsia"/>
              </w:rPr>
              <w:t>近期</w:t>
            </w:r>
            <w:r>
              <w:rPr>
                <w:rFonts w:hint="eastAsia"/>
              </w:rPr>
              <w:t>电子政务及安全应用两个市场都有所恢复。对营收来说，</w:t>
            </w:r>
            <w:r>
              <w:rPr>
                <w:rFonts w:hint="eastAsia"/>
              </w:rPr>
              <w:t>短期</w:t>
            </w:r>
            <w:r>
              <w:rPr>
                <w:rFonts w:hint="eastAsia"/>
              </w:rPr>
              <w:t>上</w:t>
            </w:r>
            <w:r>
              <w:rPr>
                <w:rFonts w:hint="eastAsia"/>
              </w:rPr>
              <w:t>营</w:t>
            </w:r>
            <w:proofErr w:type="gramStart"/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>还是</w:t>
            </w:r>
            <w:proofErr w:type="gramEnd"/>
            <w:r>
              <w:rPr>
                <w:rFonts w:hint="eastAsia"/>
              </w:rPr>
              <w:t>需要</w:t>
            </w:r>
            <w:r>
              <w:rPr>
                <w:rFonts w:hint="eastAsia"/>
              </w:rPr>
              <w:t>现有的</w:t>
            </w:r>
            <w:r>
              <w:rPr>
                <w:rFonts w:hint="eastAsia"/>
              </w:rPr>
              <w:t>两个</w:t>
            </w:r>
            <w:proofErr w:type="gramStart"/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>业</w:t>
            </w:r>
            <w:proofErr w:type="gramEnd"/>
            <w:r>
              <w:rPr>
                <w:rFonts w:hint="eastAsia"/>
              </w:rPr>
              <w:t>务</w:t>
            </w:r>
            <w:r>
              <w:rPr>
                <w:rFonts w:hint="eastAsia"/>
              </w:rPr>
              <w:t>引擎重启</w:t>
            </w:r>
            <w:r>
              <w:rPr>
                <w:rFonts w:hint="eastAsia"/>
              </w:rPr>
              <w:t>带动</w:t>
            </w:r>
            <w:r>
              <w:rPr>
                <w:rFonts w:hint="eastAsia"/>
              </w:rPr>
              <w:t>。长远来说，需要在服务器市场、行业市场、开放市场不断进行拓展。目前，我</w:t>
            </w:r>
            <w:r>
              <w:rPr>
                <w:rFonts w:hint="eastAsia"/>
              </w:rPr>
              <w:lastRenderedPageBreak/>
              <w:t>们看到一些迹象表明政策性市场的部分需求已经有所恢复。当然还需要一定时间，不同细分行业的需求恢复程度是有所差别的，有的快一些，有的慢一些。</w:t>
            </w:r>
          </w:p>
          <w:p w:rsidR="00435BB6" w:rsidRDefault="00FA5ED6">
            <w:pPr>
              <w:widowControl/>
              <w:spacing w:line="360" w:lineRule="auto"/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、龙芯信息化类芯片业务相较去年同期有所提升，想了解一下其中的原因哪一方面影响占比是比较大的？比如是因为整体现在政策性市场恢复的力度比较大，还是由于</w:t>
            </w:r>
            <w:r>
              <w:rPr>
                <w:rFonts w:hint="eastAsia"/>
                <w:b/>
              </w:rPr>
              <w:t>3A6000</w:t>
            </w:r>
            <w:r>
              <w:rPr>
                <w:rFonts w:hint="eastAsia"/>
                <w:b/>
              </w:rPr>
              <w:t>产品性价比的大幅提升，还是龙芯的市场份额提升？以及龙芯市场份额目前的情况和未来的展望？</w:t>
            </w:r>
          </w:p>
          <w:p w:rsidR="00435BB6" w:rsidRDefault="00FA5ED6">
            <w:pPr>
              <w:widowControl/>
              <w:spacing w:line="360" w:lineRule="auto"/>
              <w:ind w:firstLineChars="200" w:firstLine="420"/>
            </w:pPr>
            <w:r>
              <w:rPr>
                <w:rFonts w:hint="eastAsia"/>
              </w:rPr>
              <w:t>有一点是可以肯定的，如果没有</w:t>
            </w:r>
            <w:r>
              <w:rPr>
                <w:rFonts w:hint="eastAsia"/>
              </w:rPr>
              <w:t>3A6000</w:t>
            </w:r>
            <w:r>
              <w:rPr>
                <w:rFonts w:hint="eastAsia"/>
              </w:rPr>
              <w:t>性价比大幅提升，</w:t>
            </w:r>
            <w:r>
              <w:rPr>
                <w:rFonts w:hint="eastAsia"/>
              </w:rPr>
              <w:t>即使市场有一定的恢复，龙芯信息化类芯片业务的恢复肯定要打折扣。随着</w:t>
            </w:r>
            <w:r>
              <w:rPr>
                <w:rFonts w:hint="eastAsia"/>
              </w:rPr>
              <w:t>3A6000</w:t>
            </w:r>
            <w:r>
              <w:rPr>
                <w:rFonts w:hint="eastAsia"/>
              </w:rPr>
              <w:t>的推出，我们</w:t>
            </w:r>
            <w:r>
              <w:rPr>
                <w:rFonts w:hint="eastAsia"/>
              </w:rPr>
              <w:t>明显</w:t>
            </w:r>
            <w:r>
              <w:rPr>
                <w:rFonts w:hint="eastAsia"/>
              </w:rPr>
              <w:t>感受到</w:t>
            </w:r>
            <w:r>
              <w:rPr>
                <w:rFonts w:hint="eastAsia"/>
              </w:rPr>
              <w:t>客户</w:t>
            </w:r>
            <w:r>
              <w:rPr>
                <w:rFonts w:hint="eastAsia"/>
              </w:rPr>
              <w:t>购买</w:t>
            </w:r>
            <w:r>
              <w:rPr>
                <w:rFonts w:hint="eastAsia"/>
              </w:rPr>
              <w:t>积极性</w:t>
            </w:r>
            <w:r>
              <w:rPr>
                <w:rFonts w:hint="eastAsia"/>
              </w:rPr>
              <w:t>提高了，比如</w:t>
            </w:r>
            <w:r>
              <w:rPr>
                <w:rFonts w:hint="eastAsia"/>
              </w:rPr>
              <w:t>相较</w:t>
            </w:r>
            <w:proofErr w:type="gramStart"/>
            <w:r>
              <w:rPr>
                <w:rFonts w:hint="eastAsia"/>
              </w:rPr>
              <w:t>于之前</w:t>
            </w:r>
            <w:proofErr w:type="gramEnd"/>
            <w:r>
              <w:rPr>
                <w:rFonts w:hint="eastAsia"/>
              </w:rPr>
              <w:t>我们</w:t>
            </w:r>
            <w:r>
              <w:rPr>
                <w:rFonts w:hint="eastAsia"/>
              </w:rPr>
              <w:t>在销售方面</w:t>
            </w:r>
            <w:r>
              <w:rPr>
                <w:rFonts w:hint="eastAsia"/>
              </w:rPr>
              <w:t>更有主动权。所以我觉得这是内因和外因的关系，当然外因方面如果没有市场恢复，可能也不会有很大的提升，内因是龙芯芯片性价比大幅提高。</w:t>
            </w:r>
            <w:r>
              <w:rPr>
                <w:rFonts w:hint="eastAsia"/>
              </w:rPr>
              <w:t>信息化芯片业务同比提升较快，是内因和外因叠加的因素。</w:t>
            </w:r>
          </w:p>
          <w:p w:rsidR="00435BB6" w:rsidRDefault="00FA5ED6">
            <w:pPr>
              <w:widowControl/>
              <w:spacing w:line="360" w:lineRule="auto"/>
              <w:ind w:firstLineChars="200" w:firstLine="420"/>
            </w:pPr>
            <w:r>
              <w:rPr>
                <w:rFonts w:hint="eastAsia"/>
              </w:rPr>
              <w:t>在上一轮</w:t>
            </w:r>
            <w:r>
              <w:rPr>
                <w:rFonts w:hint="eastAsia"/>
              </w:rPr>
              <w:t>采购周期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龙芯在电子政务办公领域占比大概在</w:t>
            </w:r>
            <w:r>
              <w:rPr>
                <w:rFonts w:hint="eastAsia"/>
              </w:rPr>
              <w:t>30%</w:t>
            </w:r>
            <w:r>
              <w:rPr>
                <w:rFonts w:hint="eastAsia"/>
              </w:rPr>
              <w:t>左右。我们希望在这个市场下沉的过程中，龙芯的市</w:t>
            </w:r>
            <w:proofErr w:type="gramStart"/>
            <w:r>
              <w:rPr>
                <w:rFonts w:hint="eastAsia"/>
              </w:rPr>
              <w:t>占率</w:t>
            </w:r>
            <w:r>
              <w:rPr>
                <w:rFonts w:hint="eastAsia"/>
              </w:rPr>
              <w:t>继续</w:t>
            </w:r>
            <w:proofErr w:type="gramEnd"/>
            <w:r>
              <w:rPr>
                <w:rFonts w:hint="eastAsia"/>
              </w:rPr>
              <w:t>提高</w:t>
            </w:r>
            <w:r>
              <w:rPr>
                <w:rFonts w:hint="eastAsia"/>
              </w:rPr>
              <w:t>。因为龙芯</w:t>
            </w:r>
            <w:r>
              <w:rPr>
                <w:rFonts w:hint="eastAsia"/>
              </w:rPr>
              <w:t>新</w:t>
            </w:r>
            <w:r>
              <w:rPr>
                <w:rFonts w:hint="eastAsia"/>
              </w:rPr>
              <w:t>产品的性价比有大幅的提升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同时</w:t>
            </w:r>
            <w:r>
              <w:rPr>
                <w:rFonts w:hint="eastAsia"/>
              </w:rPr>
              <w:t>产业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结构也在重新调整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比如过去整机企业很集中，而现在有几十家整机企业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>龙芯是很开放的，对传统整机企业和新兴整机企业都支持，</w:t>
            </w:r>
            <w:r>
              <w:rPr>
                <w:rFonts w:hint="eastAsia"/>
              </w:rPr>
              <w:t>软件企业想垂直做我们也支持。</w:t>
            </w:r>
            <w:r>
              <w:rPr>
                <w:rFonts w:hint="eastAsia"/>
              </w:rPr>
              <w:t>我们希望在</w:t>
            </w:r>
            <w:r>
              <w:rPr>
                <w:rFonts w:hint="eastAsia"/>
              </w:rPr>
              <w:t>电子政务办公领域</w:t>
            </w:r>
            <w:r>
              <w:rPr>
                <w:rFonts w:hint="eastAsia"/>
              </w:rPr>
              <w:t>市场</w:t>
            </w:r>
            <w:r>
              <w:rPr>
                <w:rFonts w:hint="eastAsia"/>
              </w:rPr>
              <w:t>的</w:t>
            </w:r>
            <w:proofErr w:type="gramStart"/>
            <w:r>
              <w:rPr>
                <w:rFonts w:hint="eastAsia"/>
              </w:rPr>
              <w:t>市占率还</w:t>
            </w:r>
            <w:proofErr w:type="gramEnd"/>
            <w:r>
              <w:rPr>
                <w:rFonts w:hint="eastAsia"/>
              </w:rPr>
              <w:t>能</w:t>
            </w:r>
            <w:r>
              <w:rPr>
                <w:rFonts w:hint="eastAsia"/>
              </w:rPr>
              <w:t>继续</w:t>
            </w:r>
            <w:r>
              <w:rPr>
                <w:rFonts w:hint="eastAsia"/>
              </w:rPr>
              <w:t>提高。</w:t>
            </w:r>
          </w:p>
          <w:p w:rsidR="00435BB6" w:rsidRDefault="00FA5ED6">
            <w:pPr>
              <w:widowControl/>
              <w:spacing w:line="360" w:lineRule="auto"/>
              <w:ind w:firstLineChars="200" w:firstLine="420"/>
            </w:pPr>
            <w:r>
              <w:rPr>
                <w:rFonts w:hint="eastAsia"/>
              </w:rPr>
              <w:t>从更长远来看，龙芯</w:t>
            </w:r>
            <w:r>
              <w:rPr>
                <w:rFonts w:hint="eastAsia"/>
              </w:rPr>
              <w:t>要</w:t>
            </w:r>
            <w:r>
              <w:rPr>
                <w:rFonts w:hint="eastAsia"/>
              </w:rPr>
              <w:t>继续努力提升</w:t>
            </w:r>
            <w:r>
              <w:rPr>
                <w:rFonts w:hint="eastAsia"/>
              </w:rPr>
              <w:t>芯片产品的高性价比</w:t>
            </w:r>
            <w:r>
              <w:rPr>
                <w:rFonts w:hint="eastAsia"/>
              </w:rPr>
              <w:t>，建设更良性的生态</w:t>
            </w:r>
            <w:r>
              <w:rPr>
                <w:rFonts w:hint="eastAsia"/>
              </w:rPr>
              <w:t>环境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摆脱对政策性市场的过度依赖，逐步走向开放市场。</w:t>
            </w:r>
          </w:p>
          <w:p w:rsidR="00435BB6" w:rsidRDefault="00FA5ED6">
            <w:pPr>
              <w:widowControl/>
              <w:spacing w:line="360" w:lineRule="auto"/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、服务器业务领域，公司产品和出货形式？以及目前业务开展情况？</w:t>
            </w:r>
          </w:p>
          <w:p w:rsidR="00435BB6" w:rsidRDefault="00FA5ED6">
            <w:pPr>
              <w:widowControl/>
              <w:spacing w:line="360" w:lineRule="auto"/>
              <w:ind w:firstLineChars="200" w:firstLine="420"/>
            </w:pPr>
            <w:r>
              <w:rPr>
                <w:rFonts w:hint="eastAsia"/>
              </w:rPr>
              <w:t>目前在售的服务器芯片产品主要为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核的</w:t>
            </w:r>
            <w:r>
              <w:rPr>
                <w:rFonts w:hint="eastAsia"/>
              </w:rPr>
              <w:t>3C5000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核的</w:t>
            </w:r>
            <w:r>
              <w:rPr>
                <w:rFonts w:hint="eastAsia"/>
              </w:rPr>
              <w:t>3D5000</w:t>
            </w:r>
            <w:r>
              <w:rPr>
                <w:rFonts w:hint="eastAsia"/>
              </w:rPr>
              <w:t>，以芯片、板卡、解决方案的形</w:t>
            </w:r>
            <w:r>
              <w:rPr>
                <w:rFonts w:hint="eastAsia"/>
              </w:rPr>
              <w:t>态</w:t>
            </w:r>
            <w:r>
              <w:rPr>
                <w:rFonts w:hint="eastAsia"/>
              </w:rPr>
              <w:t>出货，面向安全、能源等</w:t>
            </w:r>
            <w:r>
              <w:rPr>
                <w:rFonts w:hint="eastAsia"/>
              </w:rPr>
              <w:lastRenderedPageBreak/>
              <w:t>行业领域客户。基于龙芯</w:t>
            </w:r>
            <w:r>
              <w:rPr>
                <w:rFonts w:hint="eastAsia"/>
              </w:rPr>
              <w:t>CPU</w:t>
            </w:r>
            <w:r>
              <w:rPr>
                <w:rFonts w:hint="eastAsia"/>
              </w:rPr>
              <w:t>的服务器入围中国移动等运营商服务器集采标包，龙芯服务器方案开始在行业应用之中占有一席之地。</w:t>
            </w:r>
          </w:p>
          <w:p w:rsidR="00435BB6" w:rsidRDefault="00FA5ED6">
            <w:pPr>
              <w:widowControl/>
              <w:spacing w:line="360" w:lineRule="auto"/>
              <w:ind w:firstLineChars="200" w:firstLine="420"/>
            </w:pPr>
            <w:r>
              <w:rPr>
                <w:rFonts w:hint="eastAsia"/>
              </w:rPr>
              <w:t>随着龙芯</w:t>
            </w:r>
            <w:r>
              <w:rPr>
                <w:rFonts w:hint="eastAsia"/>
              </w:rPr>
              <w:t>不断推出</w:t>
            </w:r>
            <w:r>
              <w:rPr>
                <w:rFonts w:hint="eastAsia"/>
              </w:rPr>
              <w:t>性价比大幅提升</w:t>
            </w:r>
            <w:r>
              <w:rPr>
                <w:rFonts w:hint="eastAsia"/>
              </w:rPr>
              <w:t>的系列</w:t>
            </w:r>
            <w:r>
              <w:rPr>
                <w:rFonts w:hint="eastAsia"/>
              </w:rPr>
              <w:t>服务器产品</w:t>
            </w:r>
            <w:r>
              <w:rPr>
                <w:rFonts w:hint="eastAsia"/>
              </w:rPr>
              <w:t>，以及行业客户对自主化认识</w:t>
            </w:r>
            <w:r>
              <w:rPr>
                <w:rFonts w:hint="eastAsia"/>
              </w:rPr>
              <w:t>不断</w:t>
            </w:r>
            <w:r>
              <w:rPr>
                <w:rFonts w:hint="eastAsia"/>
              </w:rPr>
              <w:t>深化</w:t>
            </w:r>
            <w:r>
              <w:rPr>
                <w:rFonts w:hint="eastAsia"/>
              </w:rPr>
              <w:t>，在服务器领域</w:t>
            </w:r>
            <w:r>
              <w:rPr>
                <w:rFonts w:hint="eastAsia"/>
              </w:rPr>
              <w:t>龙芯</w:t>
            </w:r>
            <w:r>
              <w:rPr>
                <w:rFonts w:hint="eastAsia"/>
              </w:rPr>
              <w:t>产品</w:t>
            </w:r>
            <w:r>
              <w:rPr>
                <w:rFonts w:hint="eastAsia"/>
              </w:rPr>
              <w:t>是可以</w:t>
            </w:r>
            <w:r>
              <w:rPr>
                <w:rFonts w:hint="eastAsia"/>
              </w:rPr>
              <w:t>逐步参与</w:t>
            </w:r>
            <w:r>
              <w:rPr>
                <w:rFonts w:hint="eastAsia"/>
              </w:rPr>
              <w:t>开放市场竞争的。</w:t>
            </w:r>
          </w:p>
          <w:p w:rsidR="00435BB6" w:rsidRDefault="00FA5ED6">
            <w:pPr>
              <w:widowControl/>
              <w:spacing w:line="360" w:lineRule="auto"/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  <w:r>
              <w:rPr>
                <w:rFonts w:hint="eastAsia"/>
                <w:b/>
              </w:rPr>
              <w:t>、公司之前提到后续的核心矛盾可能会从研发端转向销售端，因为我们之前可能更多是服务于政策性市场，那么在后续市场营销方面公司会做</w:t>
            </w:r>
            <w:r>
              <w:rPr>
                <w:rFonts w:hint="eastAsia"/>
                <w:b/>
              </w:rPr>
              <w:t>什么样的调整</w:t>
            </w:r>
            <w:r>
              <w:rPr>
                <w:rFonts w:hint="eastAsia"/>
                <w:b/>
              </w:rPr>
              <w:t>?</w:t>
            </w:r>
          </w:p>
          <w:p w:rsidR="00435BB6" w:rsidRDefault="00FA5ED6">
            <w:pPr>
              <w:widowControl/>
              <w:spacing w:line="360" w:lineRule="auto"/>
              <w:ind w:firstLineChars="200" w:firstLine="420"/>
            </w:pPr>
            <w:r>
              <w:rPr>
                <w:rFonts w:hint="eastAsia"/>
              </w:rPr>
              <w:t>一方面，随着政策性市场从党政到行业，从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到服务器，相应的销售人员</w:t>
            </w:r>
            <w:r>
              <w:rPr>
                <w:rFonts w:hint="eastAsia"/>
              </w:rPr>
              <w:t>与组织</w:t>
            </w:r>
            <w:r>
              <w:rPr>
                <w:rFonts w:hint="eastAsia"/>
              </w:rPr>
              <w:t>要加强</w:t>
            </w:r>
            <w:r>
              <w:rPr>
                <w:rFonts w:hint="eastAsia"/>
              </w:rPr>
              <w:t>。另一方面，在开放市场中，</w:t>
            </w:r>
            <w:r>
              <w:rPr>
                <w:rFonts w:hint="eastAsia"/>
              </w:rPr>
              <w:t>一些</w:t>
            </w:r>
            <w:r>
              <w:rPr>
                <w:rFonts w:hint="eastAsia"/>
              </w:rPr>
              <w:t>比较固定或单一应用场景</w:t>
            </w:r>
            <w:r>
              <w:rPr>
                <w:rFonts w:hint="eastAsia"/>
              </w:rPr>
              <w:t>可以做</w:t>
            </w:r>
            <w:r>
              <w:rPr>
                <w:rFonts w:hint="eastAsia"/>
              </w:rPr>
              <w:t>垂直的解决方案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没有软件生态的问题，只看产品性价比。比如存储服务器有足够的市场空间又没有生态壁垒，我们只要把产品性价比做强，就一定有市场竞争力，这部分业务是我们未来要重</w:t>
            </w:r>
            <w:r>
              <w:rPr>
                <w:rFonts w:hint="eastAsia"/>
              </w:rPr>
              <w:t>点发力的方向。</w:t>
            </w:r>
          </w:p>
          <w:p w:rsidR="00435BB6" w:rsidRDefault="00FA5ED6">
            <w:pPr>
              <w:widowControl/>
              <w:spacing w:line="360" w:lineRule="auto"/>
              <w:ind w:firstLineChars="200" w:firstLine="420"/>
            </w:pPr>
            <w:r>
              <w:rPr>
                <w:rFonts w:hint="eastAsia"/>
              </w:rPr>
              <w:t>还有重构产业链以及组织生态，包括</w:t>
            </w:r>
            <w:r>
              <w:rPr>
                <w:rFonts w:hint="eastAsia"/>
              </w:rPr>
              <w:t>渠道</w:t>
            </w:r>
            <w:r>
              <w:rPr>
                <w:rFonts w:hint="eastAsia"/>
              </w:rPr>
              <w:t>机制、</w:t>
            </w:r>
            <w:r>
              <w:rPr>
                <w:rFonts w:hint="eastAsia"/>
              </w:rPr>
              <w:t>激励</w:t>
            </w:r>
            <w:r>
              <w:rPr>
                <w:rFonts w:hint="eastAsia"/>
              </w:rPr>
              <w:t>机制、</w:t>
            </w:r>
            <w:r>
              <w:rPr>
                <w:rFonts w:hint="eastAsia"/>
              </w:rPr>
              <w:t>客户</w:t>
            </w:r>
            <w:r>
              <w:rPr>
                <w:rFonts w:hint="eastAsia"/>
              </w:rPr>
              <w:t>分类管理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价格策略等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>销售端的持续优化是</w:t>
            </w:r>
            <w:r>
              <w:rPr>
                <w:rFonts w:hint="eastAsia"/>
              </w:rPr>
              <w:t>系列化的措施</w:t>
            </w:r>
            <w:r>
              <w:rPr>
                <w:rFonts w:hint="eastAsia"/>
              </w:rPr>
              <w:t>。近几年，我们</w:t>
            </w:r>
            <w:proofErr w:type="gramStart"/>
            <w:r>
              <w:rPr>
                <w:rFonts w:hint="eastAsia"/>
              </w:rPr>
              <w:t>强调稳员增效</w:t>
            </w:r>
            <w:proofErr w:type="gramEnd"/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但也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>逐步增强</w:t>
            </w:r>
            <w:r>
              <w:rPr>
                <w:rFonts w:hint="eastAsia"/>
              </w:rPr>
              <w:t>销售端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力量，</w:t>
            </w:r>
            <w:r>
              <w:rPr>
                <w:rFonts w:hint="eastAsia"/>
              </w:rPr>
              <w:t>加大销售投入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这是肯定的。</w:t>
            </w:r>
          </w:p>
          <w:p w:rsidR="00435BB6" w:rsidRDefault="00FA5ED6">
            <w:pPr>
              <w:widowControl/>
              <w:spacing w:line="360" w:lineRule="auto"/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>7</w:t>
            </w:r>
            <w:r>
              <w:rPr>
                <w:rFonts w:hint="eastAsia"/>
                <w:b/>
              </w:rPr>
              <w:t>、关于公司提到的</w:t>
            </w:r>
            <w:r>
              <w:rPr>
                <w:rFonts w:hint="eastAsia"/>
                <w:b/>
              </w:rPr>
              <w:t>X86</w:t>
            </w:r>
            <w:r>
              <w:rPr>
                <w:rFonts w:hint="eastAsia"/>
                <w:b/>
              </w:rPr>
              <w:t>系统级二进制翻译工作，我理解真的做完之后是比较类似虚拟机那种，比如所有的软件都可以在虚拟机上跑了，只不过运</w:t>
            </w:r>
            <w:r>
              <w:rPr>
                <w:rFonts w:hint="eastAsia"/>
                <w:b/>
              </w:rPr>
              <w:t>行</w:t>
            </w:r>
            <w:r>
              <w:rPr>
                <w:rFonts w:hint="eastAsia"/>
                <w:b/>
              </w:rPr>
              <w:t>效率上会低一点，大概是这个概念吗？</w:t>
            </w:r>
          </w:p>
          <w:p w:rsidR="00435BB6" w:rsidRDefault="00FA5ED6">
            <w:pPr>
              <w:widowControl/>
              <w:spacing w:line="360" w:lineRule="auto"/>
              <w:ind w:firstLineChars="200" w:firstLine="420"/>
            </w:pPr>
            <w:r>
              <w:rPr>
                <w:rFonts w:hint="eastAsia"/>
              </w:rPr>
              <w:t>二进制翻译有用户级和系统</w:t>
            </w:r>
            <w:proofErr w:type="gramStart"/>
            <w:r>
              <w:rPr>
                <w:rFonts w:hint="eastAsia"/>
              </w:rPr>
              <w:t>级两种</w:t>
            </w:r>
            <w:proofErr w:type="gramEnd"/>
            <w:r>
              <w:rPr>
                <w:rFonts w:hint="eastAsia"/>
              </w:rPr>
              <w:t>方式。</w:t>
            </w:r>
            <w:r>
              <w:rPr>
                <w:rFonts w:hint="eastAsia"/>
              </w:rPr>
              <w:t>过去龙芯坚持做用户级二进制翻译工作，不跑</w:t>
            </w:r>
            <w:r>
              <w:rPr>
                <w:rFonts w:hint="eastAsia"/>
              </w:rPr>
              <w:t>Windows</w:t>
            </w:r>
            <w:r>
              <w:rPr>
                <w:rFonts w:hint="eastAsia"/>
              </w:rPr>
              <w:t>，直接跑</w:t>
            </w:r>
            <w:r>
              <w:rPr>
                <w:rFonts w:hint="eastAsia"/>
              </w:rPr>
              <w:t>Windows</w:t>
            </w:r>
            <w:r>
              <w:rPr>
                <w:rFonts w:hint="eastAsia"/>
              </w:rPr>
              <w:t>应用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>今年</w:t>
            </w:r>
            <w:r>
              <w:rPr>
                <w:rFonts w:hint="eastAsia"/>
              </w:rPr>
              <w:t>开始尝试系统级的翻译，</w:t>
            </w:r>
            <w:r>
              <w:rPr>
                <w:rFonts w:hint="eastAsia"/>
              </w:rPr>
              <w:t>直接把</w:t>
            </w:r>
            <w:r>
              <w:rPr>
                <w:rFonts w:hint="eastAsia"/>
              </w:rPr>
              <w:t>Windows</w:t>
            </w:r>
            <w:r>
              <w:rPr>
                <w:rFonts w:hint="eastAsia"/>
              </w:rPr>
              <w:t>跑起来，目前已经可流畅运行</w:t>
            </w:r>
            <w:r>
              <w:rPr>
                <w:rFonts w:hint="eastAsia"/>
              </w:rPr>
              <w:t>Windows7</w:t>
            </w:r>
            <w:r>
              <w:rPr>
                <w:rFonts w:hint="eastAsia"/>
              </w:rPr>
              <w:t>系统了</w:t>
            </w:r>
            <w:r>
              <w:rPr>
                <w:rFonts w:hint="eastAsia"/>
              </w:rPr>
              <w:t>，通过</w:t>
            </w:r>
            <w:r>
              <w:rPr>
                <w:rFonts w:hint="eastAsia"/>
              </w:rPr>
              <w:t>系统</w:t>
            </w:r>
            <w:r>
              <w:rPr>
                <w:rFonts w:hint="eastAsia"/>
              </w:rPr>
              <w:t>级翻译，再把应用软件跑起来就容易很多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>Windows10</w:t>
            </w:r>
            <w:r>
              <w:rPr>
                <w:rFonts w:hint="eastAsia"/>
              </w:rPr>
              <w:t>本身需要渲染，</w:t>
            </w:r>
            <w:r>
              <w:rPr>
                <w:rFonts w:hint="eastAsia"/>
              </w:rPr>
              <w:t>会用到</w:t>
            </w:r>
            <w:r>
              <w:rPr>
                <w:rFonts w:hint="eastAsia"/>
              </w:rPr>
              <w:t>GPU</w:t>
            </w:r>
            <w:r>
              <w:rPr>
                <w:rFonts w:hint="eastAsia"/>
              </w:rPr>
              <w:t>，我们下一步的优化，就是把</w:t>
            </w:r>
            <w:r>
              <w:rPr>
                <w:rFonts w:hint="eastAsia"/>
              </w:rPr>
              <w:t>GPU</w:t>
            </w:r>
            <w:r>
              <w:rPr>
                <w:rFonts w:hint="eastAsia"/>
              </w:rPr>
              <w:t>打开。</w:t>
            </w:r>
            <w:r>
              <w:rPr>
                <w:rFonts w:hint="eastAsia"/>
              </w:rPr>
              <w:t>我觉得把</w:t>
            </w:r>
            <w:r>
              <w:rPr>
                <w:rFonts w:hint="eastAsia"/>
              </w:rPr>
              <w:t>Windows</w:t>
            </w:r>
            <w:r>
              <w:rPr>
                <w:rFonts w:hint="eastAsia"/>
              </w:rPr>
              <w:t>跑的流畅</w:t>
            </w:r>
            <w:r>
              <w:rPr>
                <w:rFonts w:hint="eastAsia"/>
              </w:rPr>
              <w:t>在技术上</w:t>
            </w:r>
            <w:r>
              <w:rPr>
                <w:rFonts w:hint="eastAsia"/>
              </w:rPr>
              <w:t>应该</w:t>
            </w:r>
            <w:r>
              <w:rPr>
                <w:rFonts w:hint="eastAsia"/>
              </w:rPr>
              <w:t>是没什么太大难度的，还有一些工程的问题要解决。</w:t>
            </w:r>
          </w:p>
          <w:p w:rsidR="00435BB6" w:rsidRDefault="00FA5ED6">
            <w:pPr>
              <w:widowControl/>
              <w:spacing w:line="360" w:lineRule="auto"/>
              <w:ind w:firstLineChars="200" w:firstLine="420"/>
            </w:pPr>
            <w:r>
              <w:rPr>
                <w:rFonts w:hint="eastAsia"/>
              </w:rPr>
              <w:lastRenderedPageBreak/>
              <w:t>我们</w:t>
            </w:r>
            <w:r>
              <w:rPr>
                <w:rFonts w:hint="eastAsia"/>
              </w:rPr>
              <w:t>计划</w:t>
            </w:r>
            <w:r>
              <w:rPr>
                <w:rFonts w:hint="eastAsia"/>
              </w:rPr>
              <w:t>实现</w:t>
            </w:r>
            <w:r>
              <w:rPr>
                <w:rFonts w:hint="eastAsia"/>
              </w:rPr>
              <w:t>Linux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Windows</w:t>
            </w:r>
            <w:r>
              <w:rPr>
                <w:rFonts w:hint="eastAsia"/>
              </w:rPr>
              <w:t>系统的窗口、文件系统、设备“三融合”。</w:t>
            </w:r>
            <w:r>
              <w:rPr>
                <w:rFonts w:hint="eastAsia"/>
              </w:rPr>
              <w:t>可以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>Linux</w:t>
            </w:r>
            <w:r>
              <w:rPr>
                <w:rFonts w:hint="eastAsia"/>
              </w:rPr>
              <w:t>的平台上</w:t>
            </w:r>
            <w:r>
              <w:rPr>
                <w:rFonts w:hint="eastAsia"/>
              </w:rPr>
              <w:t>启动</w:t>
            </w:r>
            <w:r>
              <w:rPr>
                <w:rFonts w:hint="eastAsia"/>
              </w:rPr>
              <w:t>Windows</w:t>
            </w:r>
            <w:r>
              <w:rPr>
                <w:rFonts w:hint="eastAsia"/>
              </w:rPr>
              <w:t>窗口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Linux</w:t>
            </w:r>
            <w:r>
              <w:rPr>
                <w:rFonts w:hint="eastAsia"/>
              </w:rPr>
              <w:t>系统中</w:t>
            </w:r>
            <w:r>
              <w:rPr>
                <w:rFonts w:hint="eastAsia"/>
              </w:rPr>
              <w:t>同时存在</w:t>
            </w:r>
            <w:r>
              <w:rPr>
                <w:rFonts w:hint="eastAsia"/>
              </w:rPr>
              <w:t>Windows</w:t>
            </w:r>
            <w:r>
              <w:rPr>
                <w:rFonts w:hint="eastAsia"/>
              </w:rPr>
              <w:t>窗口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Linux</w:t>
            </w:r>
            <w:r>
              <w:rPr>
                <w:rFonts w:hint="eastAsia"/>
              </w:rPr>
              <w:t>窗口，这就是窗口融合。</w:t>
            </w:r>
            <w:r>
              <w:rPr>
                <w:rFonts w:hint="eastAsia"/>
              </w:rPr>
              <w:t>Windows</w:t>
            </w:r>
            <w:r>
              <w:rPr>
                <w:rFonts w:hint="eastAsia"/>
              </w:rPr>
              <w:t>窗口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文件</w:t>
            </w:r>
            <w:r>
              <w:rPr>
                <w:rFonts w:hint="eastAsia"/>
              </w:rPr>
              <w:t>可以</w:t>
            </w:r>
            <w:r>
              <w:rPr>
                <w:rFonts w:hint="eastAsia"/>
              </w:rPr>
              <w:t>直接</w:t>
            </w:r>
            <w:r>
              <w:rPr>
                <w:rFonts w:hint="eastAsia"/>
              </w:rPr>
              <w:t>拷贝</w:t>
            </w:r>
            <w:r>
              <w:rPr>
                <w:rFonts w:hint="eastAsia"/>
              </w:rPr>
              <w:t>到</w:t>
            </w:r>
            <w:r>
              <w:rPr>
                <w:rFonts w:hint="eastAsia"/>
              </w:rPr>
              <w:t>Linux</w:t>
            </w:r>
            <w:r>
              <w:rPr>
                <w:rFonts w:hint="eastAsia"/>
              </w:rPr>
              <w:t>窗口</w:t>
            </w:r>
            <w:r>
              <w:rPr>
                <w:rFonts w:hint="eastAsia"/>
              </w:rPr>
              <w:t>上</w:t>
            </w:r>
            <w:r>
              <w:rPr>
                <w:rFonts w:hint="eastAsia"/>
              </w:rPr>
              <w:t>，这是文件系统融合。还有</w:t>
            </w:r>
            <w:r>
              <w:rPr>
                <w:rFonts w:hint="eastAsia"/>
              </w:rPr>
              <w:t>IO</w:t>
            </w:r>
            <w:r>
              <w:rPr>
                <w:rFonts w:hint="eastAsia"/>
              </w:rPr>
              <w:t>设备的融合，</w:t>
            </w:r>
            <w:r>
              <w:rPr>
                <w:rFonts w:hint="eastAsia"/>
              </w:rPr>
              <w:t>Linux</w:t>
            </w:r>
            <w:r>
              <w:rPr>
                <w:rFonts w:hint="eastAsia"/>
              </w:rPr>
              <w:t>最大的问题是</w:t>
            </w:r>
            <w:r>
              <w:rPr>
                <w:rFonts w:hint="eastAsia"/>
              </w:rPr>
              <w:t>设备</w:t>
            </w:r>
            <w:r>
              <w:rPr>
                <w:rFonts w:hint="eastAsia"/>
              </w:rPr>
              <w:t>驱动不全</w:t>
            </w:r>
            <w:r>
              <w:rPr>
                <w:rFonts w:hint="eastAsia"/>
              </w:rPr>
              <w:t>，打印机</w:t>
            </w:r>
            <w:r>
              <w:rPr>
                <w:rFonts w:hint="eastAsia"/>
              </w:rPr>
              <w:t>驱动</w:t>
            </w:r>
            <w:r>
              <w:rPr>
                <w:rFonts w:hint="eastAsia"/>
              </w:rPr>
              <w:t>不全，扫描</w:t>
            </w:r>
            <w:r>
              <w:rPr>
                <w:rFonts w:hint="eastAsia"/>
              </w:rPr>
              <w:t>驱动</w:t>
            </w:r>
            <w:r>
              <w:rPr>
                <w:rFonts w:hint="eastAsia"/>
              </w:rPr>
              <w:t>也没有，还有很多游戏</w:t>
            </w:r>
            <w:r>
              <w:rPr>
                <w:rFonts w:hint="eastAsia"/>
              </w:rPr>
              <w:t>没有</w:t>
            </w:r>
            <w:r>
              <w:rPr>
                <w:rFonts w:hint="eastAsia"/>
              </w:rPr>
              <w:t>。设备融合做好之后</w:t>
            </w:r>
            <w:r>
              <w:rPr>
                <w:rFonts w:hint="eastAsia"/>
              </w:rPr>
              <w:t>这个问题也将解决</w:t>
            </w:r>
            <w:r>
              <w:rPr>
                <w:rFonts w:hint="eastAsia"/>
              </w:rPr>
              <w:t>。这样来看，系统</w:t>
            </w:r>
            <w:proofErr w:type="gramStart"/>
            <w:r>
              <w:rPr>
                <w:rFonts w:hint="eastAsia"/>
              </w:rPr>
              <w:t>级方案</w:t>
            </w:r>
            <w:proofErr w:type="gramEnd"/>
            <w:r>
              <w:rPr>
                <w:rFonts w:hint="eastAsia"/>
              </w:rPr>
              <w:t>相对简单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性能肯定会有一些损失，我们也在</w:t>
            </w:r>
            <w:r>
              <w:rPr>
                <w:rFonts w:hint="eastAsia"/>
              </w:rPr>
              <w:t>不断优化，</w:t>
            </w:r>
            <w:r>
              <w:rPr>
                <w:rFonts w:hint="eastAsia"/>
              </w:rPr>
              <w:t>逐步提高</w:t>
            </w:r>
            <w:r>
              <w:rPr>
                <w:rFonts w:hint="eastAsia"/>
              </w:rPr>
              <w:t>系统级</w:t>
            </w:r>
            <w:r>
              <w:rPr>
                <w:rFonts w:hint="eastAsia"/>
              </w:rPr>
              <w:t>翻译的</w:t>
            </w:r>
            <w:r>
              <w:rPr>
                <w:rFonts w:hint="eastAsia"/>
              </w:rPr>
              <w:t>效率。</w:t>
            </w:r>
          </w:p>
        </w:tc>
      </w:tr>
    </w:tbl>
    <w:p w:rsidR="00435BB6" w:rsidRDefault="00435BB6">
      <w:pPr>
        <w:pStyle w:val="a0"/>
        <w:rPr>
          <w:rFonts w:asciiTheme="majorEastAsia" w:eastAsiaTheme="majorEastAsia" w:hAnsiTheme="majorEastAsia"/>
          <w:b w:val="0"/>
          <w:sz w:val="24"/>
          <w:szCs w:val="24"/>
        </w:rPr>
      </w:pPr>
    </w:p>
    <w:p w:rsidR="00435BB6" w:rsidRDefault="00435BB6">
      <w:pPr>
        <w:pStyle w:val="11"/>
      </w:pPr>
    </w:p>
    <w:p w:rsidR="00435BB6" w:rsidRDefault="00FA5ED6">
      <w:pPr>
        <w:pStyle w:val="a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附件：参会机构清单</w:t>
      </w:r>
    </w:p>
    <w:p w:rsidR="00435BB6" w:rsidRDefault="00435BB6">
      <w:pPr>
        <w:pStyle w:val="11"/>
      </w:pPr>
    </w:p>
    <w:tbl>
      <w:tblPr>
        <w:tblStyle w:val="af0"/>
        <w:tblW w:w="8627" w:type="dxa"/>
        <w:jc w:val="center"/>
        <w:tblLook w:val="04A0" w:firstRow="1" w:lastRow="0" w:firstColumn="1" w:lastColumn="0" w:noHBand="0" w:noVBand="1"/>
      </w:tblPr>
      <w:tblGrid>
        <w:gridCol w:w="728"/>
        <w:gridCol w:w="3422"/>
        <w:gridCol w:w="712"/>
        <w:gridCol w:w="3765"/>
      </w:tblGrid>
      <w:tr w:rsidR="00435BB6">
        <w:trPr>
          <w:trHeight w:val="270"/>
          <w:jc w:val="center"/>
        </w:trPr>
        <w:tc>
          <w:tcPr>
            <w:tcW w:w="728" w:type="dxa"/>
            <w:noWrap/>
          </w:tcPr>
          <w:p w:rsidR="00435BB6" w:rsidRDefault="00FA5ED6">
            <w:pPr>
              <w:pStyle w:val="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3422" w:type="dxa"/>
            <w:noWrap/>
          </w:tcPr>
          <w:p w:rsidR="00435BB6" w:rsidRDefault="00FA5ED6">
            <w:pPr>
              <w:pStyle w:val="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机构名称</w:t>
            </w:r>
          </w:p>
        </w:tc>
        <w:tc>
          <w:tcPr>
            <w:tcW w:w="712" w:type="dxa"/>
            <w:noWrap/>
          </w:tcPr>
          <w:p w:rsidR="00435BB6" w:rsidRDefault="00FA5ED6">
            <w:pPr>
              <w:pStyle w:val="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3765" w:type="dxa"/>
            <w:noWrap/>
          </w:tcPr>
          <w:p w:rsidR="00435BB6" w:rsidRDefault="00FA5ED6">
            <w:pPr>
              <w:pStyle w:val="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机构名称</w:t>
            </w:r>
          </w:p>
        </w:tc>
      </w:tr>
      <w:tr w:rsidR="00435BB6">
        <w:trPr>
          <w:trHeight w:val="300"/>
          <w:jc w:val="center"/>
        </w:trPr>
        <w:tc>
          <w:tcPr>
            <w:tcW w:w="728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22" w:type="dxa"/>
            <w:noWrap/>
            <w:vAlign w:val="center"/>
          </w:tcPr>
          <w:p w:rsidR="00435BB6" w:rsidRDefault="00FA5ED6">
            <w:pPr>
              <w:pStyle w:val="11"/>
            </w:pPr>
            <w:r>
              <w:t xml:space="preserve">Hel </w:t>
            </w:r>
            <w:proofErr w:type="spellStart"/>
            <w:r>
              <w:t>Ved</w:t>
            </w:r>
            <w:proofErr w:type="spellEnd"/>
            <w:r>
              <w:t xml:space="preserve"> Capital Management Limited</w:t>
            </w:r>
          </w:p>
        </w:tc>
        <w:tc>
          <w:tcPr>
            <w:tcW w:w="712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3765" w:type="dxa"/>
            <w:noWrap/>
            <w:vAlign w:val="center"/>
          </w:tcPr>
          <w:p w:rsidR="00435BB6" w:rsidRDefault="00FA5ED6">
            <w:pPr>
              <w:pStyle w:val="11"/>
            </w:pPr>
            <w:r>
              <w:rPr>
                <w:rFonts w:hint="eastAsia"/>
              </w:rPr>
              <w:t>民生证券股份有限公司</w:t>
            </w:r>
          </w:p>
        </w:tc>
      </w:tr>
      <w:tr w:rsidR="00435BB6">
        <w:trPr>
          <w:trHeight w:val="300"/>
          <w:jc w:val="center"/>
        </w:trPr>
        <w:tc>
          <w:tcPr>
            <w:tcW w:w="728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422" w:type="dxa"/>
            <w:noWrap/>
            <w:vAlign w:val="center"/>
          </w:tcPr>
          <w:p w:rsidR="00435BB6" w:rsidRDefault="00FA5ED6">
            <w:pPr>
              <w:pStyle w:val="11"/>
            </w:pPr>
            <w:r>
              <w:t>IGWT Investment</w:t>
            </w:r>
          </w:p>
        </w:tc>
        <w:tc>
          <w:tcPr>
            <w:tcW w:w="712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3765" w:type="dxa"/>
            <w:noWrap/>
            <w:vAlign w:val="center"/>
          </w:tcPr>
          <w:p w:rsidR="00435BB6" w:rsidRDefault="00FA5ED6">
            <w:pPr>
              <w:pStyle w:val="11"/>
            </w:pPr>
            <w:r>
              <w:rPr>
                <w:rFonts w:hint="eastAsia"/>
              </w:rPr>
              <w:t>明</w:t>
            </w:r>
            <w:proofErr w:type="gramStart"/>
            <w:r>
              <w:rPr>
                <w:rFonts w:hint="eastAsia"/>
              </w:rPr>
              <w:t>世</w:t>
            </w:r>
            <w:proofErr w:type="gramEnd"/>
            <w:r>
              <w:rPr>
                <w:rFonts w:hint="eastAsia"/>
              </w:rPr>
              <w:t>伙伴基金</w:t>
            </w:r>
          </w:p>
        </w:tc>
      </w:tr>
      <w:tr w:rsidR="00435BB6">
        <w:trPr>
          <w:trHeight w:val="300"/>
          <w:jc w:val="center"/>
        </w:trPr>
        <w:tc>
          <w:tcPr>
            <w:tcW w:w="728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422" w:type="dxa"/>
            <w:noWrap/>
            <w:vAlign w:val="center"/>
          </w:tcPr>
          <w:p w:rsidR="00435BB6" w:rsidRDefault="00FA5ED6">
            <w:pPr>
              <w:pStyle w:val="11"/>
            </w:pPr>
            <w:r>
              <w:t>King tower Asset Management</w:t>
            </w:r>
          </w:p>
        </w:tc>
        <w:tc>
          <w:tcPr>
            <w:tcW w:w="712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3765" w:type="dxa"/>
            <w:noWrap/>
            <w:vAlign w:val="center"/>
          </w:tcPr>
          <w:p w:rsidR="00435BB6" w:rsidRDefault="00FA5ED6">
            <w:pPr>
              <w:pStyle w:val="11"/>
            </w:pPr>
            <w:r>
              <w:rPr>
                <w:rFonts w:hint="eastAsia"/>
              </w:rPr>
              <w:t>南通熙宁投资管理有限公司</w:t>
            </w:r>
          </w:p>
        </w:tc>
      </w:tr>
      <w:tr w:rsidR="00435BB6">
        <w:trPr>
          <w:trHeight w:val="300"/>
          <w:jc w:val="center"/>
        </w:trPr>
        <w:tc>
          <w:tcPr>
            <w:tcW w:w="728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422" w:type="dxa"/>
            <w:noWrap/>
            <w:vAlign w:val="center"/>
          </w:tcPr>
          <w:p w:rsidR="00435BB6" w:rsidRDefault="00FA5ED6">
            <w:pPr>
              <w:pStyle w:val="11"/>
            </w:pPr>
            <w:r>
              <w:t xml:space="preserve">SMAM </w:t>
            </w:r>
            <w:r>
              <w:t>三井住友投资管理</w:t>
            </w:r>
            <w:r>
              <w:t>(</w:t>
            </w:r>
            <w:r>
              <w:t>香港</w:t>
            </w:r>
            <w:r>
              <w:t>)</w:t>
            </w:r>
            <w:r>
              <w:t>有限公司</w:t>
            </w:r>
          </w:p>
        </w:tc>
        <w:tc>
          <w:tcPr>
            <w:tcW w:w="712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3765" w:type="dxa"/>
            <w:noWrap/>
            <w:vAlign w:val="center"/>
          </w:tcPr>
          <w:p w:rsidR="00435BB6" w:rsidRDefault="00FA5ED6">
            <w:pPr>
              <w:pStyle w:val="11"/>
            </w:pPr>
            <w:r>
              <w:rPr>
                <w:rFonts w:hint="eastAsia"/>
              </w:rPr>
              <w:t>诺德基金管理有限公司</w:t>
            </w:r>
          </w:p>
        </w:tc>
      </w:tr>
      <w:tr w:rsidR="00435BB6">
        <w:trPr>
          <w:trHeight w:val="300"/>
          <w:jc w:val="center"/>
        </w:trPr>
        <w:tc>
          <w:tcPr>
            <w:tcW w:w="728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422" w:type="dxa"/>
            <w:noWrap/>
            <w:vAlign w:val="center"/>
          </w:tcPr>
          <w:p w:rsidR="00435BB6" w:rsidRDefault="00FA5ED6">
            <w:pPr>
              <w:pStyle w:val="11"/>
            </w:pPr>
            <w:r>
              <w:t>UBS</w:t>
            </w:r>
          </w:p>
        </w:tc>
        <w:tc>
          <w:tcPr>
            <w:tcW w:w="712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3765" w:type="dxa"/>
            <w:noWrap/>
            <w:vAlign w:val="center"/>
          </w:tcPr>
          <w:p w:rsidR="00435BB6" w:rsidRDefault="00FA5ED6">
            <w:pPr>
              <w:pStyle w:val="11"/>
            </w:pPr>
            <w:r>
              <w:rPr>
                <w:rFonts w:hint="eastAsia"/>
              </w:rPr>
              <w:t>平安银行股份有限公司</w:t>
            </w:r>
          </w:p>
        </w:tc>
      </w:tr>
      <w:tr w:rsidR="00435BB6">
        <w:trPr>
          <w:trHeight w:val="300"/>
          <w:jc w:val="center"/>
        </w:trPr>
        <w:tc>
          <w:tcPr>
            <w:tcW w:w="728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422" w:type="dxa"/>
            <w:noWrap/>
            <w:vAlign w:val="center"/>
          </w:tcPr>
          <w:p w:rsidR="00435BB6" w:rsidRDefault="00FA5ED6">
            <w:pPr>
              <w:pStyle w:val="11"/>
            </w:pPr>
            <w:r>
              <w:t>WT Asset Management Limited</w:t>
            </w:r>
          </w:p>
        </w:tc>
        <w:tc>
          <w:tcPr>
            <w:tcW w:w="712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3765" w:type="dxa"/>
            <w:noWrap/>
            <w:vAlign w:val="center"/>
          </w:tcPr>
          <w:p w:rsidR="00435BB6" w:rsidRDefault="00FA5ED6">
            <w:pPr>
              <w:pStyle w:val="11"/>
            </w:pPr>
            <w:r>
              <w:rPr>
                <w:rFonts w:hint="eastAsia"/>
              </w:rPr>
              <w:t>平安资产管理有限责任公司</w:t>
            </w:r>
          </w:p>
        </w:tc>
      </w:tr>
      <w:tr w:rsidR="00435BB6">
        <w:trPr>
          <w:trHeight w:val="300"/>
          <w:jc w:val="center"/>
        </w:trPr>
        <w:tc>
          <w:tcPr>
            <w:tcW w:w="728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422" w:type="dxa"/>
            <w:noWrap/>
            <w:vAlign w:val="center"/>
          </w:tcPr>
          <w:p w:rsidR="00435BB6" w:rsidRDefault="00FA5ED6">
            <w:pPr>
              <w:pStyle w:val="11"/>
            </w:pPr>
            <w:r>
              <w:t>北京黑森投资管理有限公司</w:t>
            </w:r>
          </w:p>
        </w:tc>
        <w:tc>
          <w:tcPr>
            <w:tcW w:w="712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3765" w:type="dxa"/>
            <w:noWrap/>
            <w:vAlign w:val="center"/>
          </w:tcPr>
          <w:p w:rsidR="00435BB6" w:rsidRDefault="00FA5ED6">
            <w:pPr>
              <w:pStyle w:val="11"/>
            </w:pPr>
            <w:r>
              <w:rPr>
                <w:rFonts w:hint="eastAsia"/>
              </w:rPr>
              <w:t>山西证券股份有限公司</w:t>
            </w:r>
          </w:p>
        </w:tc>
      </w:tr>
      <w:tr w:rsidR="00435BB6">
        <w:trPr>
          <w:trHeight w:val="300"/>
          <w:jc w:val="center"/>
        </w:trPr>
        <w:tc>
          <w:tcPr>
            <w:tcW w:w="728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422" w:type="dxa"/>
            <w:noWrap/>
            <w:vAlign w:val="center"/>
          </w:tcPr>
          <w:p w:rsidR="00435BB6" w:rsidRDefault="00FA5ED6">
            <w:pPr>
              <w:pStyle w:val="11"/>
            </w:pPr>
            <w:r>
              <w:t>北京宏道投资管理有限公司</w:t>
            </w:r>
          </w:p>
        </w:tc>
        <w:tc>
          <w:tcPr>
            <w:tcW w:w="712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3765" w:type="dxa"/>
            <w:noWrap/>
            <w:vAlign w:val="center"/>
          </w:tcPr>
          <w:p w:rsidR="00435BB6" w:rsidRDefault="00FA5ED6">
            <w:pPr>
              <w:pStyle w:val="11"/>
            </w:pPr>
            <w:r>
              <w:rPr>
                <w:rFonts w:hint="eastAsia"/>
              </w:rPr>
              <w:t>上海榜样投资管理有限公司</w:t>
            </w:r>
          </w:p>
        </w:tc>
      </w:tr>
      <w:tr w:rsidR="00435BB6">
        <w:trPr>
          <w:trHeight w:val="300"/>
          <w:jc w:val="center"/>
        </w:trPr>
        <w:tc>
          <w:tcPr>
            <w:tcW w:w="728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422" w:type="dxa"/>
            <w:noWrap/>
            <w:vAlign w:val="center"/>
          </w:tcPr>
          <w:p w:rsidR="00435BB6" w:rsidRDefault="00FA5ED6">
            <w:pPr>
              <w:pStyle w:val="11"/>
            </w:pPr>
            <w:r>
              <w:t>北京弘酬投资管理有限公司</w:t>
            </w:r>
          </w:p>
        </w:tc>
        <w:tc>
          <w:tcPr>
            <w:tcW w:w="712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3765" w:type="dxa"/>
            <w:noWrap/>
            <w:vAlign w:val="center"/>
          </w:tcPr>
          <w:p w:rsidR="00435BB6" w:rsidRDefault="00FA5ED6">
            <w:pPr>
              <w:pStyle w:val="11"/>
            </w:pPr>
            <w:r>
              <w:rPr>
                <w:rFonts w:hint="eastAsia"/>
              </w:rPr>
              <w:t>上海博笃投资管理有限公司</w:t>
            </w:r>
          </w:p>
        </w:tc>
      </w:tr>
      <w:tr w:rsidR="00435BB6">
        <w:trPr>
          <w:trHeight w:val="270"/>
          <w:jc w:val="center"/>
        </w:trPr>
        <w:tc>
          <w:tcPr>
            <w:tcW w:w="728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422" w:type="dxa"/>
            <w:noWrap/>
            <w:vAlign w:val="center"/>
          </w:tcPr>
          <w:p w:rsidR="00435BB6" w:rsidRDefault="00FA5ED6">
            <w:pPr>
              <w:pStyle w:val="11"/>
            </w:pPr>
            <w:r>
              <w:rPr>
                <w:rFonts w:hint="eastAsia"/>
              </w:rPr>
              <w:t>才华资本</w:t>
            </w:r>
          </w:p>
        </w:tc>
        <w:tc>
          <w:tcPr>
            <w:tcW w:w="712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3765" w:type="dxa"/>
            <w:noWrap/>
            <w:vAlign w:val="center"/>
          </w:tcPr>
          <w:p w:rsidR="00435BB6" w:rsidRDefault="00FA5ED6">
            <w:pPr>
              <w:pStyle w:val="11"/>
            </w:pPr>
            <w:r>
              <w:rPr>
                <w:rFonts w:hint="eastAsia"/>
              </w:rPr>
              <w:t>上海晨燕资产管理中心（有限合伙）</w:t>
            </w:r>
          </w:p>
        </w:tc>
      </w:tr>
      <w:tr w:rsidR="00435BB6">
        <w:trPr>
          <w:trHeight w:val="270"/>
          <w:jc w:val="center"/>
        </w:trPr>
        <w:tc>
          <w:tcPr>
            <w:tcW w:w="728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422" w:type="dxa"/>
            <w:noWrap/>
            <w:vAlign w:val="center"/>
          </w:tcPr>
          <w:p w:rsidR="00435BB6" w:rsidRDefault="00FA5ED6">
            <w:pPr>
              <w:pStyle w:val="11"/>
            </w:pPr>
            <w:r>
              <w:rPr>
                <w:rFonts w:hint="eastAsia"/>
              </w:rPr>
              <w:t>财通证券</w:t>
            </w:r>
          </w:p>
        </w:tc>
        <w:tc>
          <w:tcPr>
            <w:tcW w:w="712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3765" w:type="dxa"/>
            <w:noWrap/>
            <w:vAlign w:val="center"/>
          </w:tcPr>
          <w:p w:rsidR="00435BB6" w:rsidRDefault="00FA5ED6">
            <w:pPr>
              <w:pStyle w:val="11"/>
            </w:pPr>
            <w:r>
              <w:rPr>
                <w:rFonts w:hint="eastAsia"/>
              </w:rPr>
              <w:t>上海度势投资有限公司</w:t>
            </w:r>
          </w:p>
        </w:tc>
      </w:tr>
      <w:tr w:rsidR="00435BB6">
        <w:trPr>
          <w:trHeight w:val="300"/>
          <w:jc w:val="center"/>
        </w:trPr>
        <w:tc>
          <w:tcPr>
            <w:tcW w:w="728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422" w:type="dxa"/>
            <w:noWrap/>
            <w:vAlign w:val="center"/>
          </w:tcPr>
          <w:p w:rsidR="00435BB6" w:rsidRDefault="00FA5ED6">
            <w:pPr>
              <w:pStyle w:val="11"/>
            </w:pPr>
            <w:r>
              <w:t>长安基金管理有限公司</w:t>
            </w:r>
          </w:p>
        </w:tc>
        <w:tc>
          <w:tcPr>
            <w:tcW w:w="712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3765" w:type="dxa"/>
            <w:noWrap/>
            <w:vAlign w:val="center"/>
          </w:tcPr>
          <w:p w:rsidR="00435BB6" w:rsidRDefault="00FA5ED6">
            <w:pPr>
              <w:pStyle w:val="11"/>
            </w:pPr>
            <w:r>
              <w:rPr>
                <w:rFonts w:hint="eastAsia"/>
              </w:rPr>
              <w:t>上海复星高科技（集团）有限公司</w:t>
            </w:r>
          </w:p>
        </w:tc>
      </w:tr>
      <w:tr w:rsidR="00435BB6">
        <w:trPr>
          <w:trHeight w:val="300"/>
          <w:jc w:val="center"/>
        </w:trPr>
        <w:tc>
          <w:tcPr>
            <w:tcW w:w="728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422" w:type="dxa"/>
            <w:noWrap/>
            <w:vAlign w:val="center"/>
          </w:tcPr>
          <w:p w:rsidR="00435BB6" w:rsidRDefault="00FA5ED6">
            <w:pPr>
              <w:pStyle w:val="11"/>
            </w:pPr>
            <w:r>
              <w:t>长盛基金管理有限公司</w:t>
            </w:r>
          </w:p>
        </w:tc>
        <w:tc>
          <w:tcPr>
            <w:tcW w:w="712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3765" w:type="dxa"/>
            <w:noWrap/>
            <w:vAlign w:val="center"/>
          </w:tcPr>
          <w:p w:rsidR="00435BB6" w:rsidRDefault="00FA5ED6">
            <w:pPr>
              <w:pStyle w:val="11"/>
            </w:pPr>
            <w:r>
              <w:rPr>
                <w:rFonts w:hint="eastAsia"/>
              </w:rPr>
              <w:t>上海古曲私募基金管理有限公司</w:t>
            </w:r>
          </w:p>
        </w:tc>
      </w:tr>
      <w:tr w:rsidR="00435BB6">
        <w:trPr>
          <w:trHeight w:val="300"/>
          <w:jc w:val="center"/>
        </w:trPr>
        <w:tc>
          <w:tcPr>
            <w:tcW w:w="728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422" w:type="dxa"/>
            <w:noWrap/>
            <w:vAlign w:val="center"/>
          </w:tcPr>
          <w:p w:rsidR="00435BB6" w:rsidRDefault="00FA5ED6">
            <w:pPr>
              <w:pStyle w:val="11"/>
            </w:pPr>
            <w:proofErr w:type="gramStart"/>
            <w:r>
              <w:t>创金合</w:t>
            </w:r>
            <w:proofErr w:type="gramEnd"/>
            <w:r>
              <w:t>信基金</w:t>
            </w:r>
          </w:p>
        </w:tc>
        <w:tc>
          <w:tcPr>
            <w:tcW w:w="712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3765" w:type="dxa"/>
            <w:noWrap/>
            <w:vAlign w:val="center"/>
          </w:tcPr>
          <w:p w:rsidR="00435BB6" w:rsidRDefault="00FA5ED6">
            <w:pPr>
              <w:pStyle w:val="11"/>
            </w:pPr>
            <w:proofErr w:type="gramStart"/>
            <w:r>
              <w:rPr>
                <w:rFonts w:hint="eastAsia"/>
              </w:rPr>
              <w:t>上海国赞私募</w:t>
            </w:r>
            <w:proofErr w:type="gramEnd"/>
            <w:r>
              <w:rPr>
                <w:rFonts w:hint="eastAsia"/>
              </w:rPr>
              <w:t>基金管理合伙企业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有限合伙</w:t>
            </w:r>
            <w:r>
              <w:rPr>
                <w:rFonts w:hint="eastAsia"/>
              </w:rPr>
              <w:t>)</w:t>
            </w:r>
          </w:p>
        </w:tc>
      </w:tr>
      <w:tr w:rsidR="00435BB6">
        <w:trPr>
          <w:trHeight w:val="300"/>
          <w:jc w:val="center"/>
        </w:trPr>
        <w:tc>
          <w:tcPr>
            <w:tcW w:w="728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422" w:type="dxa"/>
            <w:noWrap/>
            <w:vAlign w:val="center"/>
          </w:tcPr>
          <w:p w:rsidR="00435BB6" w:rsidRDefault="00FA5ED6">
            <w:pPr>
              <w:pStyle w:val="11"/>
            </w:pPr>
            <w:r>
              <w:t>淡水泉（北京）投资管理有限公司</w:t>
            </w:r>
          </w:p>
        </w:tc>
        <w:tc>
          <w:tcPr>
            <w:tcW w:w="712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3765" w:type="dxa"/>
            <w:noWrap/>
            <w:vAlign w:val="center"/>
          </w:tcPr>
          <w:p w:rsidR="00435BB6" w:rsidRDefault="00FA5ED6">
            <w:pPr>
              <w:pStyle w:val="11"/>
            </w:pPr>
            <w:r>
              <w:rPr>
                <w:rFonts w:hint="eastAsia"/>
              </w:rPr>
              <w:t>上海杭贵投资管理有限公司</w:t>
            </w:r>
          </w:p>
        </w:tc>
      </w:tr>
      <w:tr w:rsidR="00435BB6">
        <w:trPr>
          <w:trHeight w:val="300"/>
          <w:jc w:val="center"/>
        </w:trPr>
        <w:tc>
          <w:tcPr>
            <w:tcW w:w="728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422" w:type="dxa"/>
            <w:noWrap/>
            <w:vAlign w:val="center"/>
          </w:tcPr>
          <w:p w:rsidR="00435BB6" w:rsidRDefault="00FA5ED6">
            <w:pPr>
              <w:pStyle w:val="11"/>
            </w:pPr>
            <w:r>
              <w:t>德</w:t>
            </w:r>
            <w:proofErr w:type="gramStart"/>
            <w:r>
              <w:t>邦</w:t>
            </w:r>
            <w:proofErr w:type="gramEnd"/>
            <w:r>
              <w:t>证券</w:t>
            </w:r>
          </w:p>
        </w:tc>
        <w:tc>
          <w:tcPr>
            <w:tcW w:w="712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3765" w:type="dxa"/>
            <w:noWrap/>
            <w:vAlign w:val="center"/>
          </w:tcPr>
          <w:p w:rsidR="00435BB6" w:rsidRDefault="00FA5ED6">
            <w:pPr>
              <w:pStyle w:val="11"/>
            </w:pPr>
            <w:r>
              <w:rPr>
                <w:rFonts w:hint="eastAsia"/>
              </w:rPr>
              <w:t>上海混沌投资（集团）有限公司</w:t>
            </w:r>
          </w:p>
        </w:tc>
      </w:tr>
      <w:tr w:rsidR="00435BB6">
        <w:trPr>
          <w:trHeight w:val="270"/>
          <w:jc w:val="center"/>
        </w:trPr>
        <w:tc>
          <w:tcPr>
            <w:tcW w:w="728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422" w:type="dxa"/>
            <w:noWrap/>
            <w:vAlign w:val="center"/>
          </w:tcPr>
          <w:p w:rsidR="00435BB6" w:rsidRDefault="00FA5ED6">
            <w:pPr>
              <w:pStyle w:val="11"/>
            </w:pPr>
            <w:r>
              <w:rPr>
                <w:rFonts w:hint="eastAsia"/>
              </w:rPr>
              <w:t>东兴证券</w:t>
            </w:r>
          </w:p>
        </w:tc>
        <w:tc>
          <w:tcPr>
            <w:tcW w:w="712" w:type="dxa"/>
            <w:noWrap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67</w:t>
            </w:r>
          </w:p>
        </w:tc>
        <w:tc>
          <w:tcPr>
            <w:tcW w:w="3765" w:type="dxa"/>
            <w:noWrap/>
            <w:vAlign w:val="center"/>
          </w:tcPr>
          <w:p w:rsidR="00435BB6" w:rsidRDefault="00FA5ED6">
            <w:pPr>
              <w:pStyle w:val="11"/>
            </w:pPr>
            <w:r>
              <w:rPr>
                <w:rFonts w:hint="eastAsia"/>
              </w:rPr>
              <w:t>上海聆泽投资管理有限公司</w:t>
            </w:r>
          </w:p>
        </w:tc>
      </w:tr>
      <w:tr w:rsidR="00435BB6">
        <w:trPr>
          <w:trHeight w:val="300"/>
          <w:jc w:val="center"/>
        </w:trPr>
        <w:tc>
          <w:tcPr>
            <w:tcW w:w="728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422" w:type="dxa"/>
            <w:noWrap/>
            <w:vAlign w:val="center"/>
          </w:tcPr>
          <w:p w:rsidR="00435BB6" w:rsidRDefault="00FA5ED6">
            <w:pPr>
              <w:pStyle w:val="11"/>
            </w:pPr>
            <w:r>
              <w:t>丰琰投资管理（上海）有限公司</w:t>
            </w:r>
          </w:p>
        </w:tc>
        <w:tc>
          <w:tcPr>
            <w:tcW w:w="712" w:type="dxa"/>
            <w:noWrap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3765" w:type="dxa"/>
            <w:noWrap/>
            <w:vAlign w:val="center"/>
          </w:tcPr>
          <w:p w:rsidR="00435BB6" w:rsidRDefault="00FA5ED6">
            <w:pPr>
              <w:pStyle w:val="11"/>
            </w:pPr>
            <w:r>
              <w:rPr>
                <w:rFonts w:hint="eastAsia"/>
              </w:rPr>
              <w:t>上海留仁资产管理有限公司</w:t>
            </w:r>
          </w:p>
        </w:tc>
      </w:tr>
      <w:tr w:rsidR="00435BB6">
        <w:trPr>
          <w:trHeight w:val="300"/>
          <w:jc w:val="center"/>
        </w:trPr>
        <w:tc>
          <w:tcPr>
            <w:tcW w:w="728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422" w:type="dxa"/>
            <w:noWrap/>
          </w:tcPr>
          <w:p w:rsidR="00435BB6" w:rsidRDefault="00FA5ED6">
            <w:pPr>
              <w:pStyle w:val="11"/>
            </w:pPr>
            <w:proofErr w:type="gramStart"/>
            <w:r>
              <w:t>沣京资本</w:t>
            </w:r>
            <w:proofErr w:type="gramEnd"/>
            <w:r>
              <w:t>管理（北京）有限公司</w:t>
            </w:r>
          </w:p>
        </w:tc>
        <w:tc>
          <w:tcPr>
            <w:tcW w:w="712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3765" w:type="dxa"/>
            <w:noWrap/>
            <w:vAlign w:val="center"/>
          </w:tcPr>
          <w:p w:rsidR="00435BB6" w:rsidRDefault="00FA5ED6">
            <w:pPr>
              <w:pStyle w:val="11"/>
            </w:pPr>
            <w:r>
              <w:rPr>
                <w:rFonts w:hint="eastAsia"/>
              </w:rPr>
              <w:t>上海米牛投资管理有限公司</w:t>
            </w:r>
          </w:p>
        </w:tc>
      </w:tr>
      <w:tr w:rsidR="00435BB6">
        <w:trPr>
          <w:trHeight w:val="300"/>
          <w:jc w:val="center"/>
        </w:trPr>
        <w:tc>
          <w:tcPr>
            <w:tcW w:w="728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422" w:type="dxa"/>
            <w:noWrap/>
          </w:tcPr>
          <w:p w:rsidR="00435BB6" w:rsidRDefault="00FA5ED6">
            <w:pPr>
              <w:pStyle w:val="11"/>
            </w:pPr>
            <w:r>
              <w:t>福州开发区三鑫资产管理有限公司</w:t>
            </w:r>
          </w:p>
        </w:tc>
        <w:tc>
          <w:tcPr>
            <w:tcW w:w="712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3765" w:type="dxa"/>
            <w:noWrap/>
            <w:vAlign w:val="center"/>
          </w:tcPr>
          <w:p w:rsidR="00435BB6" w:rsidRDefault="00FA5ED6">
            <w:pPr>
              <w:pStyle w:val="11"/>
            </w:pPr>
            <w:r>
              <w:rPr>
                <w:rFonts w:hint="eastAsia"/>
              </w:rPr>
              <w:t>上海名禹资产管理有限公司</w:t>
            </w:r>
          </w:p>
        </w:tc>
      </w:tr>
      <w:tr w:rsidR="00435BB6">
        <w:trPr>
          <w:trHeight w:val="300"/>
          <w:jc w:val="center"/>
        </w:trPr>
        <w:tc>
          <w:tcPr>
            <w:tcW w:w="728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3422" w:type="dxa"/>
            <w:noWrap/>
          </w:tcPr>
          <w:p w:rsidR="00435BB6" w:rsidRDefault="00FA5ED6">
            <w:pPr>
              <w:pStyle w:val="11"/>
            </w:pPr>
            <w:r>
              <w:t>复通私募投资基金</w:t>
            </w:r>
          </w:p>
        </w:tc>
        <w:tc>
          <w:tcPr>
            <w:tcW w:w="712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3765" w:type="dxa"/>
            <w:noWrap/>
            <w:vAlign w:val="center"/>
          </w:tcPr>
          <w:p w:rsidR="00435BB6" w:rsidRDefault="00FA5ED6">
            <w:pPr>
              <w:pStyle w:val="11"/>
            </w:pPr>
            <w:r>
              <w:rPr>
                <w:rFonts w:hint="eastAsia"/>
              </w:rPr>
              <w:t>上海南土资产管理有限公司</w:t>
            </w:r>
          </w:p>
        </w:tc>
      </w:tr>
      <w:tr w:rsidR="00435BB6">
        <w:trPr>
          <w:trHeight w:val="300"/>
          <w:jc w:val="center"/>
        </w:trPr>
        <w:tc>
          <w:tcPr>
            <w:tcW w:w="728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3422" w:type="dxa"/>
            <w:noWrap/>
          </w:tcPr>
          <w:p w:rsidR="00435BB6" w:rsidRDefault="00FA5ED6">
            <w:pPr>
              <w:pStyle w:val="11"/>
            </w:pPr>
            <w:r>
              <w:t>共青城鼎</w:t>
            </w:r>
            <w:proofErr w:type="gramStart"/>
            <w:r>
              <w:t>睿</w:t>
            </w:r>
            <w:proofErr w:type="gramEnd"/>
            <w:r>
              <w:t>资产管理有限公司</w:t>
            </w:r>
          </w:p>
        </w:tc>
        <w:tc>
          <w:tcPr>
            <w:tcW w:w="712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72</w:t>
            </w:r>
          </w:p>
        </w:tc>
        <w:tc>
          <w:tcPr>
            <w:tcW w:w="3765" w:type="dxa"/>
            <w:noWrap/>
            <w:vAlign w:val="center"/>
          </w:tcPr>
          <w:p w:rsidR="00435BB6" w:rsidRDefault="00FA5ED6">
            <w:pPr>
              <w:pStyle w:val="11"/>
            </w:pPr>
            <w:r>
              <w:rPr>
                <w:rFonts w:hint="eastAsia"/>
              </w:rPr>
              <w:t>上海启泰私募基金管理有限公司</w:t>
            </w:r>
          </w:p>
        </w:tc>
      </w:tr>
      <w:tr w:rsidR="00435BB6">
        <w:trPr>
          <w:trHeight w:val="300"/>
          <w:jc w:val="center"/>
        </w:trPr>
        <w:tc>
          <w:tcPr>
            <w:tcW w:w="728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lastRenderedPageBreak/>
              <w:t>23</w:t>
            </w:r>
          </w:p>
        </w:tc>
        <w:tc>
          <w:tcPr>
            <w:tcW w:w="3422" w:type="dxa"/>
            <w:noWrap/>
          </w:tcPr>
          <w:p w:rsidR="00435BB6" w:rsidRDefault="00FA5ED6">
            <w:pPr>
              <w:pStyle w:val="11"/>
            </w:pPr>
            <w:r>
              <w:t>光大保德信基金管理有限公司</w:t>
            </w:r>
          </w:p>
        </w:tc>
        <w:tc>
          <w:tcPr>
            <w:tcW w:w="712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73</w:t>
            </w:r>
          </w:p>
        </w:tc>
        <w:tc>
          <w:tcPr>
            <w:tcW w:w="3765" w:type="dxa"/>
            <w:noWrap/>
            <w:vAlign w:val="center"/>
          </w:tcPr>
          <w:p w:rsidR="00435BB6" w:rsidRDefault="00FA5ED6">
            <w:pPr>
              <w:pStyle w:val="11"/>
            </w:pPr>
            <w:r>
              <w:rPr>
                <w:rFonts w:hint="eastAsia"/>
              </w:rPr>
              <w:t>上海禧弘私募基金管理有限公司</w:t>
            </w:r>
          </w:p>
        </w:tc>
      </w:tr>
      <w:tr w:rsidR="00435BB6">
        <w:trPr>
          <w:trHeight w:val="300"/>
          <w:jc w:val="center"/>
        </w:trPr>
        <w:tc>
          <w:tcPr>
            <w:tcW w:w="728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3422" w:type="dxa"/>
            <w:noWrap/>
          </w:tcPr>
          <w:p w:rsidR="00435BB6" w:rsidRDefault="00FA5ED6">
            <w:pPr>
              <w:pStyle w:val="11"/>
            </w:pPr>
            <w:r>
              <w:t>广东德汇投资管理有限公司</w:t>
            </w:r>
          </w:p>
        </w:tc>
        <w:tc>
          <w:tcPr>
            <w:tcW w:w="712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3765" w:type="dxa"/>
            <w:noWrap/>
            <w:vAlign w:val="center"/>
          </w:tcPr>
          <w:p w:rsidR="00435BB6" w:rsidRDefault="00FA5ED6">
            <w:pPr>
              <w:pStyle w:val="11"/>
            </w:pPr>
            <w:r>
              <w:rPr>
                <w:rFonts w:hint="eastAsia"/>
              </w:rPr>
              <w:t>上海英谊资产管理有限公司</w:t>
            </w:r>
          </w:p>
        </w:tc>
      </w:tr>
      <w:tr w:rsidR="00435BB6">
        <w:trPr>
          <w:trHeight w:val="300"/>
          <w:jc w:val="center"/>
        </w:trPr>
        <w:tc>
          <w:tcPr>
            <w:tcW w:w="728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3422" w:type="dxa"/>
            <w:noWrap/>
          </w:tcPr>
          <w:p w:rsidR="00435BB6" w:rsidRDefault="00FA5ED6">
            <w:pPr>
              <w:pStyle w:val="11"/>
            </w:pPr>
            <w:r>
              <w:t>广东钜洲投资有限责任公司</w:t>
            </w:r>
          </w:p>
        </w:tc>
        <w:tc>
          <w:tcPr>
            <w:tcW w:w="712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3765" w:type="dxa"/>
            <w:noWrap/>
            <w:vAlign w:val="center"/>
          </w:tcPr>
          <w:p w:rsidR="00435BB6" w:rsidRDefault="00FA5ED6">
            <w:pPr>
              <w:pStyle w:val="11"/>
            </w:pPr>
            <w:r>
              <w:rPr>
                <w:rFonts w:hint="eastAsia"/>
              </w:rPr>
              <w:t>深圳市红方资产管理有限公司</w:t>
            </w:r>
          </w:p>
        </w:tc>
      </w:tr>
      <w:tr w:rsidR="00435BB6">
        <w:trPr>
          <w:trHeight w:val="300"/>
          <w:jc w:val="center"/>
        </w:trPr>
        <w:tc>
          <w:tcPr>
            <w:tcW w:w="728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3422" w:type="dxa"/>
            <w:noWrap/>
          </w:tcPr>
          <w:p w:rsidR="00435BB6" w:rsidRDefault="00FA5ED6">
            <w:pPr>
              <w:pStyle w:val="11"/>
            </w:pPr>
            <w:r>
              <w:t>广东谢诺辰阳私募证券投资管理有限公司</w:t>
            </w:r>
          </w:p>
        </w:tc>
        <w:tc>
          <w:tcPr>
            <w:tcW w:w="712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76</w:t>
            </w:r>
          </w:p>
        </w:tc>
        <w:tc>
          <w:tcPr>
            <w:tcW w:w="3765" w:type="dxa"/>
            <w:noWrap/>
            <w:vAlign w:val="center"/>
          </w:tcPr>
          <w:p w:rsidR="00435BB6" w:rsidRDefault="00FA5ED6">
            <w:pPr>
              <w:pStyle w:val="11"/>
            </w:pPr>
            <w:r>
              <w:rPr>
                <w:rFonts w:hint="eastAsia"/>
              </w:rPr>
              <w:t>深圳市鲲鹏恒</w:t>
            </w:r>
            <w:proofErr w:type="gramStart"/>
            <w:r>
              <w:rPr>
                <w:rFonts w:hint="eastAsia"/>
              </w:rPr>
              <w:t>隆投资</w:t>
            </w:r>
            <w:proofErr w:type="gramEnd"/>
            <w:r>
              <w:rPr>
                <w:rFonts w:hint="eastAsia"/>
              </w:rPr>
              <w:t>有限公司</w:t>
            </w:r>
          </w:p>
        </w:tc>
      </w:tr>
      <w:tr w:rsidR="00435BB6">
        <w:trPr>
          <w:trHeight w:val="270"/>
          <w:jc w:val="center"/>
        </w:trPr>
        <w:tc>
          <w:tcPr>
            <w:tcW w:w="728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3422" w:type="dxa"/>
            <w:noWrap/>
          </w:tcPr>
          <w:p w:rsidR="00435BB6" w:rsidRDefault="00FA5ED6">
            <w:pPr>
              <w:pStyle w:val="11"/>
            </w:pPr>
            <w:r>
              <w:rPr>
                <w:rFonts w:hint="eastAsia"/>
              </w:rPr>
              <w:t>广发证券</w:t>
            </w:r>
          </w:p>
        </w:tc>
        <w:tc>
          <w:tcPr>
            <w:tcW w:w="712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3765" w:type="dxa"/>
            <w:noWrap/>
            <w:vAlign w:val="center"/>
          </w:tcPr>
          <w:p w:rsidR="00435BB6" w:rsidRDefault="00FA5ED6">
            <w:pPr>
              <w:pStyle w:val="11"/>
            </w:pPr>
            <w:r>
              <w:rPr>
                <w:rFonts w:hint="eastAsia"/>
              </w:rPr>
              <w:t>深圳市</w:t>
            </w:r>
            <w:proofErr w:type="gramStart"/>
            <w:r>
              <w:rPr>
                <w:rFonts w:hint="eastAsia"/>
              </w:rPr>
              <w:t>协众投资</w:t>
            </w:r>
            <w:proofErr w:type="gramEnd"/>
            <w:r>
              <w:rPr>
                <w:rFonts w:hint="eastAsia"/>
              </w:rPr>
              <w:t>管理有限公司</w:t>
            </w:r>
          </w:p>
        </w:tc>
      </w:tr>
      <w:tr w:rsidR="00435BB6">
        <w:trPr>
          <w:trHeight w:val="300"/>
          <w:jc w:val="center"/>
        </w:trPr>
        <w:tc>
          <w:tcPr>
            <w:tcW w:w="728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3422" w:type="dxa"/>
            <w:noWrap/>
          </w:tcPr>
          <w:p w:rsidR="00435BB6" w:rsidRDefault="00FA5ED6">
            <w:pPr>
              <w:pStyle w:val="11"/>
            </w:pPr>
            <w:r>
              <w:t>广宇集团股份有限公司</w:t>
            </w:r>
          </w:p>
        </w:tc>
        <w:tc>
          <w:tcPr>
            <w:tcW w:w="712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78</w:t>
            </w:r>
          </w:p>
        </w:tc>
        <w:tc>
          <w:tcPr>
            <w:tcW w:w="3765" w:type="dxa"/>
            <w:noWrap/>
            <w:vAlign w:val="center"/>
          </w:tcPr>
          <w:p w:rsidR="00435BB6" w:rsidRDefault="00FA5ED6">
            <w:pPr>
              <w:pStyle w:val="11"/>
            </w:pPr>
            <w:r>
              <w:rPr>
                <w:rFonts w:hint="eastAsia"/>
              </w:rPr>
              <w:t>苏州和</w:t>
            </w:r>
            <w:proofErr w:type="gramStart"/>
            <w:r>
              <w:rPr>
                <w:rFonts w:hint="eastAsia"/>
              </w:rPr>
              <w:t>基投资</w:t>
            </w:r>
            <w:proofErr w:type="gramEnd"/>
            <w:r>
              <w:rPr>
                <w:rFonts w:hint="eastAsia"/>
              </w:rPr>
              <w:t>有限公司</w:t>
            </w:r>
          </w:p>
        </w:tc>
      </w:tr>
      <w:tr w:rsidR="00435BB6">
        <w:trPr>
          <w:trHeight w:val="300"/>
          <w:jc w:val="center"/>
        </w:trPr>
        <w:tc>
          <w:tcPr>
            <w:tcW w:w="728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3422" w:type="dxa"/>
            <w:noWrap/>
          </w:tcPr>
          <w:p w:rsidR="00435BB6" w:rsidRDefault="00FA5ED6">
            <w:pPr>
              <w:pStyle w:val="11"/>
            </w:pPr>
            <w:r>
              <w:t>广州泓</w:t>
            </w:r>
            <w:proofErr w:type="gramStart"/>
            <w:r>
              <w:t>阈</w:t>
            </w:r>
            <w:proofErr w:type="gramEnd"/>
            <w:r>
              <w:t>私募证券投资基金管理有限公司</w:t>
            </w:r>
          </w:p>
        </w:tc>
        <w:tc>
          <w:tcPr>
            <w:tcW w:w="712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79</w:t>
            </w:r>
          </w:p>
        </w:tc>
        <w:tc>
          <w:tcPr>
            <w:tcW w:w="3765" w:type="dxa"/>
            <w:noWrap/>
            <w:vAlign w:val="center"/>
          </w:tcPr>
          <w:p w:rsidR="00435BB6" w:rsidRDefault="00FA5ED6">
            <w:pPr>
              <w:pStyle w:val="11"/>
            </w:pPr>
            <w:r>
              <w:rPr>
                <w:rFonts w:hint="eastAsia"/>
              </w:rPr>
              <w:t>太平基金管理有限公司</w:t>
            </w:r>
          </w:p>
        </w:tc>
      </w:tr>
      <w:tr w:rsidR="00435BB6">
        <w:trPr>
          <w:trHeight w:val="300"/>
          <w:jc w:val="center"/>
        </w:trPr>
        <w:tc>
          <w:tcPr>
            <w:tcW w:w="728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3422" w:type="dxa"/>
            <w:noWrap/>
          </w:tcPr>
          <w:p w:rsidR="00435BB6" w:rsidRDefault="00FA5ED6">
            <w:pPr>
              <w:pStyle w:val="11"/>
            </w:pPr>
            <w:r>
              <w:t>国华人寿</w:t>
            </w:r>
          </w:p>
        </w:tc>
        <w:tc>
          <w:tcPr>
            <w:tcW w:w="712" w:type="dxa"/>
            <w:noWrap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3765" w:type="dxa"/>
            <w:noWrap/>
            <w:vAlign w:val="center"/>
          </w:tcPr>
          <w:p w:rsidR="00435BB6" w:rsidRDefault="00FA5ED6">
            <w:pPr>
              <w:pStyle w:val="11"/>
            </w:pPr>
            <w:r>
              <w:rPr>
                <w:rFonts w:hint="eastAsia"/>
              </w:rPr>
              <w:t>天</w:t>
            </w:r>
            <w:proofErr w:type="gramStart"/>
            <w:r>
              <w:rPr>
                <w:rFonts w:hint="eastAsia"/>
              </w:rPr>
              <w:t>铖</w:t>
            </w:r>
            <w:proofErr w:type="gramEnd"/>
            <w:r>
              <w:rPr>
                <w:rFonts w:hint="eastAsia"/>
              </w:rPr>
              <w:t>基金</w:t>
            </w:r>
          </w:p>
        </w:tc>
      </w:tr>
      <w:tr w:rsidR="00435BB6">
        <w:trPr>
          <w:trHeight w:val="300"/>
          <w:jc w:val="center"/>
        </w:trPr>
        <w:tc>
          <w:tcPr>
            <w:tcW w:w="728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3422" w:type="dxa"/>
            <w:noWrap/>
          </w:tcPr>
          <w:p w:rsidR="00435BB6" w:rsidRDefault="00FA5ED6">
            <w:pPr>
              <w:pStyle w:val="11"/>
            </w:pPr>
            <w:r>
              <w:t>国金证券股份有限公司</w:t>
            </w:r>
          </w:p>
        </w:tc>
        <w:tc>
          <w:tcPr>
            <w:tcW w:w="712" w:type="dxa"/>
            <w:noWrap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81</w:t>
            </w:r>
          </w:p>
        </w:tc>
        <w:tc>
          <w:tcPr>
            <w:tcW w:w="3765" w:type="dxa"/>
            <w:noWrap/>
            <w:vAlign w:val="center"/>
          </w:tcPr>
          <w:p w:rsidR="00435BB6" w:rsidRDefault="00FA5ED6">
            <w:pPr>
              <w:pStyle w:val="11"/>
            </w:pPr>
            <w:r>
              <w:rPr>
                <w:rFonts w:hint="eastAsia"/>
              </w:rPr>
              <w:t>西藏中睿合银投资管理有限公司</w:t>
            </w:r>
          </w:p>
        </w:tc>
      </w:tr>
      <w:tr w:rsidR="00435BB6">
        <w:trPr>
          <w:trHeight w:val="300"/>
          <w:jc w:val="center"/>
        </w:trPr>
        <w:tc>
          <w:tcPr>
            <w:tcW w:w="728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3422" w:type="dxa"/>
            <w:noWrap/>
          </w:tcPr>
          <w:p w:rsidR="00435BB6" w:rsidRDefault="00FA5ED6">
            <w:pPr>
              <w:pStyle w:val="11"/>
            </w:pPr>
            <w:r>
              <w:t>国信证券股份有限公司</w:t>
            </w:r>
          </w:p>
        </w:tc>
        <w:tc>
          <w:tcPr>
            <w:tcW w:w="712" w:type="dxa"/>
            <w:noWrap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82</w:t>
            </w:r>
          </w:p>
        </w:tc>
        <w:tc>
          <w:tcPr>
            <w:tcW w:w="3765" w:type="dxa"/>
            <w:noWrap/>
            <w:vAlign w:val="center"/>
          </w:tcPr>
          <w:p w:rsidR="00435BB6" w:rsidRDefault="00FA5ED6">
            <w:pPr>
              <w:pStyle w:val="11"/>
            </w:pPr>
            <w:r>
              <w:rPr>
                <w:rFonts w:hint="eastAsia"/>
              </w:rPr>
              <w:t>西南证券</w:t>
            </w:r>
          </w:p>
        </w:tc>
      </w:tr>
      <w:tr w:rsidR="00435BB6">
        <w:trPr>
          <w:trHeight w:val="300"/>
          <w:jc w:val="center"/>
        </w:trPr>
        <w:tc>
          <w:tcPr>
            <w:tcW w:w="728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3422" w:type="dxa"/>
            <w:noWrap/>
          </w:tcPr>
          <w:p w:rsidR="00435BB6" w:rsidRDefault="00FA5ED6">
            <w:pPr>
              <w:pStyle w:val="11"/>
            </w:pPr>
            <w:proofErr w:type="gramStart"/>
            <w:r>
              <w:t>国元证券</w:t>
            </w:r>
            <w:proofErr w:type="gramEnd"/>
          </w:p>
        </w:tc>
        <w:tc>
          <w:tcPr>
            <w:tcW w:w="712" w:type="dxa"/>
            <w:noWrap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83</w:t>
            </w:r>
          </w:p>
        </w:tc>
        <w:tc>
          <w:tcPr>
            <w:tcW w:w="3765" w:type="dxa"/>
            <w:noWrap/>
            <w:vAlign w:val="center"/>
          </w:tcPr>
          <w:p w:rsidR="00435BB6" w:rsidRDefault="00FA5ED6">
            <w:pPr>
              <w:pStyle w:val="11"/>
            </w:pPr>
            <w:proofErr w:type="gramStart"/>
            <w:r>
              <w:rPr>
                <w:rFonts w:hint="eastAsia"/>
              </w:rPr>
              <w:t>西南证券西南证券</w:t>
            </w:r>
            <w:proofErr w:type="gramEnd"/>
          </w:p>
        </w:tc>
      </w:tr>
      <w:tr w:rsidR="00435BB6">
        <w:trPr>
          <w:trHeight w:val="300"/>
          <w:jc w:val="center"/>
        </w:trPr>
        <w:tc>
          <w:tcPr>
            <w:tcW w:w="728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3422" w:type="dxa"/>
            <w:noWrap/>
          </w:tcPr>
          <w:p w:rsidR="00435BB6" w:rsidRDefault="00FA5ED6">
            <w:pPr>
              <w:pStyle w:val="11"/>
            </w:pPr>
            <w:proofErr w:type="gramStart"/>
            <w:r>
              <w:t>杭银理财</w:t>
            </w:r>
            <w:proofErr w:type="gramEnd"/>
            <w:r>
              <w:t>有限责任公司</w:t>
            </w:r>
          </w:p>
        </w:tc>
        <w:tc>
          <w:tcPr>
            <w:tcW w:w="712" w:type="dxa"/>
            <w:noWrap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84</w:t>
            </w:r>
          </w:p>
        </w:tc>
        <w:tc>
          <w:tcPr>
            <w:tcW w:w="3765" w:type="dxa"/>
            <w:noWrap/>
            <w:vAlign w:val="center"/>
          </w:tcPr>
          <w:p w:rsidR="00435BB6" w:rsidRDefault="00FA5ED6">
            <w:pPr>
              <w:pStyle w:val="11"/>
            </w:pPr>
            <w:r>
              <w:rPr>
                <w:rFonts w:hint="eastAsia"/>
              </w:rPr>
              <w:t>湘财证券研究所</w:t>
            </w:r>
          </w:p>
        </w:tc>
      </w:tr>
      <w:tr w:rsidR="00435BB6">
        <w:trPr>
          <w:trHeight w:val="300"/>
          <w:jc w:val="center"/>
        </w:trPr>
        <w:tc>
          <w:tcPr>
            <w:tcW w:w="728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3422" w:type="dxa"/>
            <w:noWrap/>
          </w:tcPr>
          <w:p w:rsidR="00435BB6" w:rsidRDefault="00FA5ED6">
            <w:pPr>
              <w:pStyle w:val="11"/>
            </w:pPr>
            <w:r>
              <w:t>宏</w:t>
            </w:r>
            <w:proofErr w:type="gramStart"/>
            <w:r>
              <w:t>利资产</w:t>
            </w:r>
            <w:proofErr w:type="gramEnd"/>
            <w:r>
              <w:t>管理有限公司</w:t>
            </w:r>
          </w:p>
        </w:tc>
        <w:tc>
          <w:tcPr>
            <w:tcW w:w="712" w:type="dxa"/>
            <w:noWrap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85</w:t>
            </w:r>
          </w:p>
        </w:tc>
        <w:tc>
          <w:tcPr>
            <w:tcW w:w="3765" w:type="dxa"/>
            <w:noWrap/>
            <w:vAlign w:val="center"/>
          </w:tcPr>
          <w:p w:rsidR="00435BB6" w:rsidRDefault="00FA5ED6">
            <w:pPr>
              <w:pStyle w:val="11"/>
            </w:pPr>
            <w:r>
              <w:rPr>
                <w:rFonts w:hint="eastAsia"/>
              </w:rPr>
              <w:t>霄</w:t>
            </w:r>
            <w:proofErr w:type="gramStart"/>
            <w:r>
              <w:rPr>
                <w:rFonts w:hint="eastAsia"/>
              </w:rPr>
              <w:t>沣</w:t>
            </w:r>
            <w:proofErr w:type="gramEnd"/>
            <w:r>
              <w:rPr>
                <w:rFonts w:hint="eastAsia"/>
              </w:rPr>
              <w:t>投资</w:t>
            </w:r>
          </w:p>
        </w:tc>
      </w:tr>
      <w:tr w:rsidR="00435BB6">
        <w:trPr>
          <w:trHeight w:val="300"/>
          <w:jc w:val="center"/>
        </w:trPr>
        <w:tc>
          <w:tcPr>
            <w:tcW w:w="728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3422" w:type="dxa"/>
            <w:noWrap/>
          </w:tcPr>
          <w:p w:rsidR="00435BB6" w:rsidRDefault="00FA5ED6">
            <w:pPr>
              <w:pStyle w:val="11"/>
            </w:pPr>
            <w:proofErr w:type="gramStart"/>
            <w:r>
              <w:t>泓德基金</w:t>
            </w:r>
            <w:proofErr w:type="gramEnd"/>
            <w:r>
              <w:t>管理有限公司</w:t>
            </w:r>
          </w:p>
        </w:tc>
        <w:tc>
          <w:tcPr>
            <w:tcW w:w="712" w:type="dxa"/>
            <w:noWrap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86</w:t>
            </w:r>
          </w:p>
        </w:tc>
        <w:tc>
          <w:tcPr>
            <w:tcW w:w="3765" w:type="dxa"/>
            <w:noWrap/>
            <w:vAlign w:val="center"/>
          </w:tcPr>
          <w:p w:rsidR="00435BB6" w:rsidRDefault="00FA5ED6">
            <w:pPr>
              <w:pStyle w:val="11"/>
            </w:pPr>
            <w:r>
              <w:rPr>
                <w:rFonts w:hint="eastAsia"/>
              </w:rPr>
              <w:t>新时代证券股份有限公司</w:t>
            </w:r>
          </w:p>
        </w:tc>
      </w:tr>
      <w:tr w:rsidR="00435BB6">
        <w:trPr>
          <w:trHeight w:val="300"/>
          <w:jc w:val="center"/>
        </w:trPr>
        <w:tc>
          <w:tcPr>
            <w:tcW w:w="728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3422" w:type="dxa"/>
            <w:noWrap/>
          </w:tcPr>
          <w:p w:rsidR="00435BB6" w:rsidRDefault="00FA5ED6">
            <w:pPr>
              <w:pStyle w:val="11"/>
            </w:pPr>
            <w:r>
              <w:t>鸿运私募基金管理</w:t>
            </w:r>
            <w:r>
              <w:t>(</w:t>
            </w:r>
            <w:r>
              <w:t>海南</w:t>
            </w:r>
            <w:r>
              <w:t>)</w:t>
            </w:r>
            <w:r>
              <w:t>有限公司</w:t>
            </w:r>
          </w:p>
        </w:tc>
        <w:tc>
          <w:tcPr>
            <w:tcW w:w="712" w:type="dxa"/>
            <w:noWrap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87</w:t>
            </w:r>
          </w:p>
        </w:tc>
        <w:tc>
          <w:tcPr>
            <w:tcW w:w="3765" w:type="dxa"/>
            <w:noWrap/>
            <w:vAlign w:val="center"/>
          </w:tcPr>
          <w:p w:rsidR="00435BB6" w:rsidRDefault="00FA5ED6">
            <w:pPr>
              <w:pStyle w:val="11"/>
            </w:pPr>
            <w:r>
              <w:rPr>
                <w:rFonts w:hint="eastAsia"/>
              </w:rPr>
              <w:t>兴业基金管理有限公司</w:t>
            </w:r>
          </w:p>
        </w:tc>
      </w:tr>
      <w:tr w:rsidR="00435BB6">
        <w:trPr>
          <w:trHeight w:val="300"/>
          <w:jc w:val="center"/>
        </w:trPr>
        <w:tc>
          <w:tcPr>
            <w:tcW w:w="728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3422" w:type="dxa"/>
            <w:noWrap/>
          </w:tcPr>
          <w:p w:rsidR="00435BB6" w:rsidRDefault="00FA5ED6">
            <w:pPr>
              <w:pStyle w:val="11"/>
            </w:pPr>
            <w:r>
              <w:t>湖南源乘私募基金管理有限公司</w:t>
            </w:r>
          </w:p>
        </w:tc>
        <w:tc>
          <w:tcPr>
            <w:tcW w:w="712" w:type="dxa"/>
            <w:noWrap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88</w:t>
            </w:r>
          </w:p>
        </w:tc>
        <w:tc>
          <w:tcPr>
            <w:tcW w:w="3765" w:type="dxa"/>
            <w:noWrap/>
            <w:vAlign w:val="center"/>
          </w:tcPr>
          <w:p w:rsidR="00435BB6" w:rsidRDefault="00FA5ED6">
            <w:pPr>
              <w:pStyle w:val="11"/>
            </w:pPr>
            <w:r>
              <w:rPr>
                <w:rFonts w:hint="eastAsia"/>
              </w:rPr>
              <w:t>兴业证券</w:t>
            </w:r>
          </w:p>
        </w:tc>
      </w:tr>
      <w:tr w:rsidR="00435BB6">
        <w:trPr>
          <w:trHeight w:val="300"/>
          <w:jc w:val="center"/>
        </w:trPr>
        <w:tc>
          <w:tcPr>
            <w:tcW w:w="728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3422" w:type="dxa"/>
            <w:noWrap/>
          </w:tcPr>
          <w:p w:rsidR="00435BB6" w:rsidRDefault="00FA5ED6">
            <w:pPr>
              <w:pStyle w:val="11"/>
            </w:pPr>
            <w:r>
              <w:t>华</w:t>
            </w:r>
            <w:proofErr w:type="gramStart"/>
            <w:r>
              <w:t>福证券</w:t>
            </w:r>
            <w:proofErr w:type="gramEnd"/>
          </w:p>
        </w:tc>
        <w:tc>
          <w:tcPr>
            <w:tcW w:w="712" w:type="dxa"/>
            <w:noWrap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89</w:t>
            </w:r>
          </w:p>
        </w:tc>
        <w:tc>
          <w:tcPr>
            <w:tcW w:w="3765" w:type="dxa"/>
            <w:noWrap/>
            <w:vAlign w:val="center"/>
          </w:tcPr>
          <w:p w:rsidR="00435BB6" w:rsidRDefault="00FA5ED6">
            <w:pPr>
              <w:pStyle w:val="11"/>
            </w:pPr>
            <w:proofErr w:type="gramStart"/>
            <w:r>
              <w:rPr>
                <w:rFonts w:hint="eastAsia"/>
              </w:rPr>
              <w:t>兴证全球</w:t>
            </w:r>
            <w:proofErr w:type="gramEnd"/>
            <w:r>
              <w:rPr>
                <w:rFonts w:hint="eastAsia"/>
              </w:rPr>
              <w:t>基金管理有限公司</w:t>
            </w:r>
          </w:p>
        </w:tc>
      </w:tr>
      <w:tr w:rsidR="00435BB6">
        <w:trPr>
          <w:trHeight w:val="300"/>
          <w:jc w:val="center"/>
        </w:trPr>
        <w:tc>
          <w:tcPr>
            <w:tcW w:w="728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3422" w:type="dxa"/>
            <w:noWrap/>
          </w:tcPr>
          <w:p w:rsidR="00435BB6" w:rsidRDefault="00FA5ED6">
            <w:pPr>
              <w:pStyle w:val="11"/>
            </w:pPr>
            <w:r>
              <w:t>华泰证券</w:t>
            </w:r>
          </w:p>
        </w:tc>
        <w:tc>
          <w:tcPr>
            <w:tcW w:w="712" w:type="dxa"/>
            <w:noWrap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3765" w:type="dxa"/>
            <w:noWrap/>
            <w:vAlign w:val="center"/>
          </w:tcPr>
          <w:p w:rsidR="00435BB6" w:rsidRDefault="00FA5ED6">
            <w:pPr>
              <w:pStyle w:val="11"/>
            </w:pPr>
            <w:r>
              <w:rPr>
                <w:rFonts w:hint="eastAsia"/>
              </w:rPr>
              <w:t>元</w:t>
            </w:r>
            <w:proofErr w:type="gramStart"/>
            <w:r>
              <w:rPr>
                <w:rFonts w:hint="eastAsia"/>
              </w:rPr>
              <w:t>昊</w:t>
            </w:r>
            <w:proofErr w:type="gramEnd"/>
            <w:r>
              <w:rPr>
                <w:rFonts w:hint="eastAsia"/>
              </w:rPr>
              <w:t>投资</w:t>
            </w:r>
          </w:p>
        </w:tc>
      </w:tr>
      <w:tr w:rsidR="00435BB6">
        <w:trPr>
          <w:trHeight w:val="300"/>
          <w:jc w:val="center"/>
        </w:trPr>
        <w:tc>
          <w:tcPr>
            <w:tcW w:w="728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3422" w:type="dxa"/>
            <w:noWrap/>
          </w:tcPr>
          <w:p w:rsidR="00435BB6" w:rsidRDefault="00FA5ED6">
            <w:pPr>
              <w:pStyle w:val="11"/>
            </w:pPr>
            <w:r>
              <w:t>华泰证券资产管理有限公司</w:t>
            </w:r>
          </w:p>
        </w:tc>
        <w:tc>
          <w:tcPr>
            <w:tcW w:w="712" w:type="dxa"/>
            <w:noWrap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91</w:t>
            </w:r>
          </w:p>
        </w:tc>
        <w:tc>
          <w:tcPr>
            <w:tcW w:w="3765" w:type="dxa"/>
            <w:noWrap/>
            <w:vAlign w:val="center"/>
          </w:tcPr>
          <w:p w:rsidR="00435BB6" w:rsidRDefault="00FA5ED6">
            <w:pPr>
              <w:pStyle w:val="11"/>
            </w:pPr>
            <w:r>
              <w:rPr>
                <w:rFonts w:hint="eastAsia"/>
              </w:rPr>
              <w:t>漳州创投</w:t>
            </w:r>
          </w:p>
        </w:tc>
      </w:tr>
      <w:tr w:rsidR="00435BB6">
        <w:trPr>
          <w:trHeight w:val="300"/>
          <w:jc w:val="center"/>
        </w:trPr>
        <w:tc>
          <w:tcPr>
            <w:tcW w:w="728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3422" w:type="dxa"/>
            <w:noWrap/>
          </w:tcPr>
          <w:p w:rsidR="00435BB6" w:rsidRDefault="00FA5ED6">
            <w:pPr>
              <w:pStyle w:val="11"/>
            </w:pPr>
            <w:r>
              <w:t>华夏基金管理有限公司</w:t>
            </w:r>
          </w:p>
        </w:tc>
        <w:tc>
          <w:tcPr>
            <w:tcW w:w="712" w:type="dxa"/>
            <w:noWrap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92</w:t>
            </w:r>
          </w:p>
        </w:tc>
        <w:tc>
          <w:tcPr>
            <w:tcW w:w="3765" w:type="dxa"/>
            <w:noWrap/>
            <w:vAlign w:val="center"/>
          </w:tcPr>
          <w:p w:rsidR="00435BB6" w:rsidRDefault="00FA5ED6">
            <w:pPr>
              <w:pStyle w:val="11"/>
            </w:pPr>
            <w:r>
              <w:rPr>
                <w:rFonts w:hint="eastAsia"/>
              </w:rPr>
              <w:t>招商基金管理有限公司</w:t>
            </w:r>
          </w:p>
        </w:tc>
      </w:tr>
      <w:tr w:rsidR="00435BB6">
        <w:trPr>
          <w:trHeight w:val="300"/>
          <w:jc w:val="center"/>
        </w:trPr>
        <w:tc>
          <w:tcPr>
            <w:tcW w:w="728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3422" w:type="dxa"/>
            <w:noWrap/>
          </w:tcPr>
          <w:p w:rsidR="00435BB6" w:rsidRDefault="00FA5ED6">
            <w:pPr>
              <w:pStyle w:val="11"/>
            </w:pPr>
            <w:proofErr w:type="gramStart"/>
            <w:r>
              <w:t>慧利资产</w:t>
            </w:r>
            <w:proofErr w:type="gramEnd"/>
          </w:p>
        </w:tc>
        <w:tc>
          <w:tcPr>
            <w:tcW w:w="712" w:type="dxa"/>
            <w:noWrap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93</w:t>
            </w:r>
          </w:p>
        </w:tc>
        <w:tc>
          <w:tcPr>
            <w:tcW w:w="3765" w:type="dxa"/>
            <w:noWrap/>
          </w:tcPr>
          <w:p w:rsidR="00435BB6" w:rsidRDefault="00FA5ED6">
            <w:pPr>
              <w:pStyle w:val="11"/>
            </w:pPr>
            <w:r>
              <w:rPr>
                <w:rFonts w:hint="eastAsia"/>
              </w:rPr>
              <w:t>招商证券股份有限公司</w:t>
            </w:r>
          </w:p>
        </w:tc>
      </w:tr>
      <w:tr w:rsidR="00435BB6">
        <w:trPr>
          <w:trHeight w:val="300"/>
          <w:jc w:val="center"/>
        </w:trPr>
        <w:tc>
          <w:tcPr>
            <w:tcW w:w="728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3422" w:type="dxa"/>
            <w:noWrap/>
          </w:tcPr>
          <w:p w:rsidR="00435BB6" w:rsidRDefault="00FA5ED6">
            <w:pPr>
              <w:pStyle w:val="11"/>
            </w:pPr>
            <w:r>
              <w:t>汇</w:t>
            </w:r>
            <w:proofErr w:type="gramStart"/>
            <w:r>
              <w:t>丰晋信</w:t>
            </w:r>
            <w:proofErr w:type="gramEnd"/>
            <w:r>
              <w:t>基金管理有限公司</w:t>
            </w:r>
          </w:p>
        </w:tc>
        <w:tc>
          <w:tcPr>
            <w:tcW w:w="712" w:type="dxa"/>
            <w:noWrap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94</w:t>
            </w:r>
          </w:p>
        </w:tc>
        <w:tc>
          <w:tcPr>
            <w:tcW w:w="3765" w:type="dxa"/>
            <w:noWrap/>
          </w:tcPr>
          <w:p w:rsidR="00435BB6" w:rsidRDefault="00FA5ED6">
            <w:pPr>
              <w:pStyle w:val="11"/>
            </w:pPr>
            <w:r>
              <w:rPr>
                <w:rFonts w:hint="eastAsia"/>
              </w:rPr>
              <w:t>中泰证券</w:t>
            </w:r>
          </w:p>
        </w:tc>
      </w:tr>
      <w:tr w:rsidR="00435BB6">
        <w:trPr>
          <w:trHeight w:val="300"/>
          <w:jc w:val="center"/>
        </w:trPr>
        <w:tc>
          <w:tcPr>
            <w:tcW w:w="728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3422" w:type="dxa"/>
            <w:noWrap/>
          </w:tcPr>
          <w:p w:rsidR="00435BB6" w:rsidRDefault="00FA5ED6">
            <w:pPr>
              <w:pStyle w:val="11"/>
            </w:pPr>
            <w:r>
              <w:t>嘉</w:t>
            </w:r>
            <w:proofErr w:type="gramStart"/>
            <w:r>
              <w:t>实基金</w:t>
            </w:r>
            <w:proofErr w:type="gramEnd"/>
            <w:r>
              <w:t>管理有限公司</w:t>
            </w:r>
          </w:p>
        </w:tc>
        <w:tc>
          <w:tcPr>
            <w:tcW w:w="712" w:type="dxa"/>
            <w:noWrap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95</w:t>
            </w:r>
          </w:p>
        </w:tc>
        <w:tc>
          <w:tcPr>
            <w:tcW w:w="3765" w:type="dxa"/>
            <w:noWrap/>
          </w:tcPr>
          <w:p w:rsidR="00435BB6" w:rsidRDefault="00FA5ED6">
            <w:pPr>
              <w:pStyle w:val="11"/>
            </w:pPr>
            <w:r>
              <w:rPr>
                <w:rFonts w:hint="eastAsia"/>
              </w:rPr>
              <w:t>中信</w:t>
            </w:r>
            <w:proofErr w:type="gramStart"/>
            <w:r>
              <w:rPr>
                <w:rFonts w:hint="eastAsia"/>
              </w:rPr>
              <w:t>建投基金</w:t>
            </w:r>
            <w:proofErr w:type="gramEnd"/>
            <w:r>
              <w:rPr>
                <w:rFonts w:hint="eastAsia"/>
              </w:rPr>
              <w:t>管理有限公司</w:t>
            </w:r>
          </w:p>
        </w:tc>
      </w:tr>
      <w:tr w:rsidR="00435BB6">
        <w:trPr>
          <w:trHeight w:val="270"/>
          <w:jc w:val="center"/>
        </w:trPr>
        <w:tc>
          <w:tcPr>
            <w:tcW w:w="728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3422" w:type="dxa"/>
            <w:noWrap/>
          </w:tcPr>
          <w:p w:rsidR="00435BB6" w:rsidRDefault="00FA5ED6">
            <w:pPr>
              <w:pStyle w:val="11"/>
            </w:pPr>
            <w:r>
              <w:rPr>
                <w:rFonts w:hint="eastAsia"/>
              </w:rPr>
              <w:t>交银施罗德基金</w:t>
            </w:r>
          </w:p>
        </w:tc>
        <w:tc>
          <w:tcPr>
            <w:tcW w:w="712" w:type="dxa"/>
            <w:noWrap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96</w:t>
            </w:r>
          </w:p>
        </w:tc>
        <w:tc>
          <w:tcPr>
            <w:tcW w:w="3765" w:type="dxa"/>
            <w:noWrap/>
          </w:tcPr>
          <w:p w:rsidR="00435BB6" w:rsidRDefault="00FA5ED6">
            <w:pPr>
              <w:pStyle w:val="11"/>
            </w:pPr>
            <w:r>
              <w:rPr>
                <w:rFonts w:hint="eastAsia"/>
              </w:rPr>
              <w:t>中信里昂</w:t>
            </w:r>
          </w:p>
        </w:tc>
      </w:tr>
      <w:tr w:rsidR="00435BB6">
        <w:trPr>
          <w:trHeight w:val="300"/>
          <w:jc w:val="center"/>
        </w:trPr>
        <w:tc>
          <w:tcPr>
            <w:tcW w:w="728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3422" w:type="dxa"/>
            <w:noWrap/>
          </w:tcPr>
          <w:p w:rsidR="00435BB6" w:rsidRDefault="00FA5ED6">
            <w:pPr>
              <w:pStyle w:val="11"/>
            </w:pPr>
            <w:proofErr w:type="gramStart"/>
            <w:r>
              <w:t>九泰基金</w:t>
            </w:r>
            <w:proofErr w:type="gramEnd"/>
            <w:r>
              <w:t>管理有限公司</w:t>
            </w:r>
          </w:p>
        </w:tc>
        <w:tc>
          <w:tcPr>
            <w:tcW w:w="712" w:type="dxa"/>
            <w:noWrap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97</w:t>
            </w:r>
          </w:p>
        </w:tc>
        <w:tc>
          <w:tcPr>
            <w:tcW w:w="3765" w:type="dxa"/>
            <w:noWrap/>
          </w:tcPr>
          <w:p w:rsidR="00435BB6" w:rsidRDefault="00FA5ED6">
            <w:pPr>
              <w:pStyle w:val="11"/>
            </w:pPr>
            <w:r>
              <w:rPr>
                <w:rFonts w:hint="eastAsia"/>
              </w:rPr>
              <w:t>中信证券股份有限公司</w:t>
            </w:r>
          </w:p>
        </w:tc>
      </w:tr>
      <w:tr w:rsidR="00435BB6">
        <w:trPr>
          <w:trHeight w:val="300"/>
          <w:jc w:val="center"/>
        </w:trPr>
        <w:tc>
          <w:tcPr>
            <w:tcW w:w="728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3422" w:type="dxa"/>
            <w:noWrap/>
          </w:tcPr>
          <w:p w:rsidR="00435BB6" w:rsidRDefault="00FA5ED6">
            <w:pPr>
              <w:pStyle w:val="11"/>
            </w:pPr>
            <w:r>
              <w:t>兰鑫亚洲投资（香港）</w:t>
            </w:r>
          </w:p>
        </w:tc>
        <w:tc>
          <w:tcPr>
            <w:tcW w:w="712" w:type="dxa"/>
            <w:noWrap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98</w:t>
            </w:r>
          </w:p>
        </w:tc>
        <w:tc>
          <w:tcPr>
            <w:tcW w:w="3765" w:type="dxa"/>
            <w:noWrap/>
          </w:tcPr>
          <w:p w:rsidR="00435BB6" w:rsidRDefault="00FA5ED6">
            <w:pPr>
              <w:pStyle w:val="11"/>
            </w:pPr>
            <w:r>
              <w:rPr>
                <w:rFonts w:hint="eastAsia"/>
              </w:rPr>
              <w:t>中银国际证券股份有限公司</w:t>
            </w:r>
          </w:p>
        </w:tc>
      </w:tr>
      <w:tr w:rsidR="00435BB6">
        <w:trPr>
          <w:trHeight w:val="300"/>
          <w:jc w:val="center"/>
        </w:trPr>
        <w:tc>
          <w:tcPr>
            <w:tcW w:w="728" w:type="dxa"/>
            <w:noWrap/>
            <w:vAlign w:val="center"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3422" w:type="dxa"/>
            <w:noWrap/>
          </w:tcPr>
          <w:p w:rsidR="00435BB6" w:rsidRDefault="00FA5ED6">
            <w:pPr>
              <w:pStyle w:val="11"/>
            </w:pPr>
            <w:r>
              <w:t>路博迈基金管理</w:t>
            </w:r>
            <w:r>
              <w:t>(</w:t>
            </w:r>
            <w:r>
              <w:t>中国</w:t>
            </w:r>
            <w:r>
              <w:t>)</w:t>
            </w:r>
            <w:r>
              <w:t>有限公司</w:t>
            </w:r>
          </w:p>
        </w:tc>
        <w:tc>
          <w:tcPr>
            <w:tcW w:w="712" w:type="dxa"/>
            <w:noWrap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99</w:t>
            </w:r>
          </w:p>
        </w:tc>
        <w:tc>
          <w:tcPr>
            <w:tcW w:w="3765" w:type="dxa"/>
            <w:noWrap/>
          </w:tcPr>
          <w:p w:rsidR="00435BB6" w:rsidRDefault="00FA5ED6">
            <w:pPr>
              <w:pStyle w:val="11"/>
            </w:pPr>
            <w:r>
              <w:rPr>
                <w:rFonts w:hint="eastAsia"/>
              </w:rPr>
              <w:t>中原证券股份有限公司</w:t>
            </w:r>
          </w:p>
        </w:tc>
      </w:tr>
      <w:tr w:rsidR="00435BB6">
        <w:trPr>
          <w:trHeight w:val="300"/>
          <w:jc w:val="center"/>
        </w:trPr>
        <w:tc>
          <w:tcPr>
            <w:tcW w:w="728" w:type="dxa"/>
            <w:noWrap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3422" w:type="dxa"/>
            <w:noWrap/>
          </w:tcPr>
          <w:p w:rsidR="00435BB6" w:rsidRDefault="00FA5ED6">
            <w:pPr>
              <w:pStyle w:val="11"/>
            </w:pPr>
            <w:r>
              <w:t>民生银行理财子公司</w:t>
            </w:r>
          </w:p>
        </w:tc>
        <w:tc>
          <w:tcPr>
            <w:tcW w:w="712" w:type="dxa"/>
            <w:noWrap/>
          </w:tcPr>
          <w:p w:rsidR="00435BB6" w:rsidRDefault="00FA5ED6">
            <w:pPr>
              <w:pStyle w:val="11"/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3765" w:type="dxa"/>
            <w:noWrap/>
          </w:tcPr>
          <w:p w:rsidR="00435BB6" w:rsidRDefault="00FA5ED6">
            <w:pPr>
              <w:pStyle w:val="11"/>
            </w:pPr>
            <w:r>
              <w:rPr>
                <w:rFonts w:hint="eastAsia"/>
              </w:rPr>
              <w:t>珠江人寿保险股份有限公司</w:t>
            </w:r>
          </w:p>
        </w:tc>
      </w:tr>
    </w:tbl>
    <w:p w:rsidR="00435BB6" w:rsidRDefault="00435BB6">
      <w:pPr>
        <w:pStyle w:val="11"/>
      </w:pPr>
    </w:p>
    <w:sectPr w:rsidR="00435BB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ED6" w:rsidRDefault="00FA5ED6">
      <w:r>
        <w:separator/>
      </w:r>
    </w:p>
  </w:endnote>
  <w:endnote w:type="continuationSeparator" w:id="0">
    <w:p w:rsidR="00FA5ED6" w:rsidRDefault="00FA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"/>
    </w:sdtPr>
    <w:sdtEndPr/>
    <w:sdtContent>
      <w:sdt>
        <w:sdtPr>
          <w:id w:val="1728636285"/>
        </w:sdtPr>
        <w:sdtEndPr/>
        <w:sdtContent>
          <w:p w:rsidR="00435BB6" w:rsidRDefault="00FA5ED6">
            <w:pPr>
              <w:pStyle w:val="aa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35BB6" w:rsidRDefault="00435BB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ED6" w:rsidRDefault="00FA5ED6">
      <w:r>
        <w:separator/>
      </w:r>
    </w:p>
  </w:footnote>
  <w:footnote w:type="continuationSeparator" w:id="0">
    <w:p w:rsidR="00FA5ED6" w:rsidRDefault="00FA5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CE0611"/>
    <w:rsid w:val="877F2B0F"/>
    <w:rsid w:val="87E9B176"/>
    <w:rsid w:val="87F2645F"/>
    <w:rsid w:val="899FF5BA"/>
    <w:rsid w:val="8A9E08DB"/>
    <w:rsid w:val="8AFD93BE"/>
    <w:rsid w:val="8B7A54E6"/>
    <w:rsid w:val="8D2E3004"/>
    <w:rsid w:val="8D7B11BA"/>
    <w:rsid w:val="8D7FD5C9"/>
    <w:rsid w:val="8DEBD7E4"/>
    <w:rsid w:val="8DEE27D1"/>
    <w:rsid w:val="8FBE50DC"/>
    <w:rsid w:val="8FDFBE46"/>
    <w:rsid w:val="8FFC19CD"/>
    <w:rsid w:val="919EF67F"/>
    <w:rsid w:val="92FE230A"/>
    <w:rsid w:val="93DBEF27"/>
    <w:rsid w:val="93F7BAA3"/>
    <w:rsid w:val="9577C4D2"/>
    <w:rsid w:val="95F701DA"/>
    <w:rsid w:val="95F90F6D"/>
    <w:rsid w:val="96F58130"/>
    <w:rsid w:val="973B1618"/>
    <w:rsid w:val="976620E1"/>
    <w:rsid w:val="9775A05D"/>
    <w:rsid w:val="97F5DE4A"/>
    <w:rsid w:val="97F66A8D"/>
    <w:rsid w:val="97F6B732"/>
    <w:rsid w:val="97FF38E4"/>
    <w:rsid w:val="998FE2FA"/>
    <w:rsid w:val="99BF43BF"/>
    <w:rsid w:val="99DF8E18"/>
    <w:rsid w:val="9ADCBC90"/>
    <w:rsid w:val="9ADF5F87"/>
    <w:rsid w:val="9B7333E5"/>
    <w:rsid w:val="9B7E20CE"/>
    <w:rsid w:val="9BD44D99"/>
    <w:rsid w:val="9BF3BF6A"/>
    <w:rsid w:val="9BFCDBEC"/>
    <w:rsid w:val="9DE9E19E"/>
    <w:rsid w:val="9DFC36CE"/>
    <w:rsid w:val="9E5F13FD"/>
    <w:rsid w:val="9E6CADD3"/>
    <w:rsid w:val="9EC75647"/>
    <w:rsid w:val="9EFE5B85"/>
    <w:rsid w:val="9F5F7D7F"/>
    <w:rsid w:val="9F5FD384"/>
    <w:rsid w:val="9F7B8B17"/>
    <w:rsid w:val="9F97BCCC"/>
    <w:rsid w:val="9F991A35"/>
    <w:rsid w:val="9F9E12DC"/>
    <w:rsid w:val="9FBE75F0"/>
    <w:rsid w:val="9FDF0797"/>
    <w:rsid w:val="9FDF61E6"/>
    <w:rsid w:val="9FEB0145"/>
    <w:rsid w:val="9FEBC44B"/>
    <w:rsid w:val="9FEED406"/>
    <w:rsid w:val="9FEF71EA"/>
    <w:rsid w:val="9FFE35A0"/>
    <w:rsid w:val="9FFFE15F"/>
    <w:rsid w:val="A45F2AC1"/>
    <w:rsid w:val="A5F5EC66"/>
    <w:rsid w:val="A5FD6882"/>
    <w:rsid w:val="A6CE94FE"/>
    <w:rsid w:val="A6FFBA0F"/>
    <w:rsid w:val="A7BFCD8D"/>
    <w:rsid w:val="A7D69C11"/>
    <w:rsid w:val="A7EF5074"/>
    <w:rsid w:val="A7F5FB00"/>
    <w:rsid w:val="A7F701F2"/>
    <w:rsid w:val="A7F722CF"/>
    <w:rsid w:val="A8EF129D"/>
    <w:rsid w:val="A9E7E209"/>
    <w:rsid w:val="AB7F0549"/>
    <w:rsid w:val="AB9E0D81"/>
    <w:rsid w:val="ABB7C204"/>
    <w:rsid w:val="ABF95CCD"/>
    <w:rsid w:val="ABFF72FE"/>
    <w:rsid w:val="AC7BCB4B"/>
    <w:rsid w:val="ACBBE056"/>
    <w:rsid w:val="ACFF152C"/>
    <w:rsid w:val="ADCFB4AC"/>
    <w:rsid w:val="ADF7FAFA"/>
    <w:rsid w:val="AE680E1A"/>
    <w:rsid w:val="AEFD8F11"/>
    <w:rsid w:val="AEFEE427"/>
    <w:rsid w:val="AEFF5713"/>
    <w:rsid w:val="AF325E7A"/>
    <w:rsid w:val="AF3EF43C"/>
    <w:rsid w:val="AF4FC314"/>
    <w:rsid w:val="AF6E103F"/>
    <w:rsid w:val="AF6F1425"/>
    <w:rsid w:val="AF756E54"/>
    <w:rsid w:val="AF92D915"/>
    <w:rsid w:val="AF9F473B"/>
    <w:rsid w:val="AFBC26A0"/>
    <w:rsid w:val="AFBDA99A"/>
    <w:rsid w:val="AFBF8CB7"/>
    <w:rsid w:val="AFDBE283"/>
    <w:rsid w:val="AFEA9306"/>
    <w:rsid w:val="AFF1F9BC"/>
    <w:rsid w:val="AFFA14A8"/>
    <w:rsid w:val="AFFD5E42"/>
    <w:rsid w:val="B0F715B1"/>
    <w:rsid w:val="B1F7EBB5"/>
    <w:rsid w:val="B1FA68EE"/>
    <w:rsid w:val="B27FFDB5"/>
    <w:rsid w:val="B3D7FCA0"/>
    <w:rsid w:val="B3ED1067"/>
    <w:rsid w:val="B3FEE613"/>
    <w:rsid w:val="B4FF0766"/>
    <w:rsid w:val="B53379E0"/>
    <w:rsid w:val="B57D1DC9"/>
    <w:rsid w:val="B57EEE54"/>
    <w:rsid w:val="B5FCC914"/>
    <w:rsid w:val="B624B1D6"/>
    <w:rsid w:val="B65F8B6A"/>
    <w:rsid w:val="B6FFA5CB"/>
    <w:rsid w:val="B72E0375"/>
    <w:rsid w:val="B75F879B"/>
    <w:rsid w:val="B79A78F4"/>
    <w:rsid w:val="B7BBA408"/>
    <w:rsid w:val="B7BD526F"/>
    <w:rsid w:val="B7D998B5"/>
    <w:rsid w:val="B7DAA025"/>
    <w:rsid w:val="B7DFAE92"/>
    <w:rsid w:val="B7E5E955"/>
    <w:rsid w:val="B7EDF63E"/>
    <w:rsid w:val="B7EF4460"/>
    <w:rsid w:val="B7F3C461"/>
    <w:rsid w:val="B7FBB0E1"/>
    <w:rsid w:val="B7FFB77A"/>
    <w:rsid w:val="B8DF6208"/>
    <w:rsid w:val="B8EA93E1"/>
    <w:rsid w:val="B8FB3FB9"/>
    <w:rsid w:val="B95FC189"/>
    <w:rsid w:val="B9BF3BCF"/>
    <w:rsid w:val="B9FFC8DD"/>
    <w:rsid w:val="B9FFEF41"/>
    <w:rsid w:val="BA35CF79"/>
    <w:rsid w:val="BA77B6A1"/>
    <w:rsid w:val="BAA33765"/>
    <w:rsid w:val="BAE6FBF4"/>
    <w:rsid w:val="BB3C6363"/>
    <w:rsid w:val="BB5AECE1"/>
    <w:rsid w:val="BB79DEA7"/>
    <w:rsid w:val="BB7F42A2"/>
    <w:rsid w:val="BBAEC817"/>
    <w:rsid w:val="BBDB7B94"/>
    <w:rsid w:val="BBDF8B1C"/>
    <w:rsid w:val="BBEE7243"/>
    <w:rsid w:val="BBEFCF58"/>
    <w:rsid w:val="BBF32D90"/>
    <w:rsid w:val="BBF3DB1C"/>
    <w:rsid w:val="BBF42C56"/>
    <w:rsid w:val="BBF5CD75"/>
    <w:rsid w:val="BBF6F9FB"/>
    <w:rsid w:val="BBF71F25"/>
    <w:rsid w:val="BBFA3058"/>
    <w:rsid w:val="BBFAB5D7"/>
    <w:rsid w:val="BBFB2619"/>
    <w:rsid w:val="BBFB362F"/>
    <w:rsid w:val="BBFE297B"/>
    <w:rsid w:val="BBFF8119"/>
    <w:rsid w:val="BD5E1D63"/>
    <w:rsid w:val="BD972366"/>
    <w:rsid w:val="BD9B06C8"/>
    <w:rsid w:val="BDAF8E07"/>
    <w:rsid w:val="BDF7D489"/>
    <w:rsid w:val="BE3FC99C"/>
    <w:rsid w:val="BE5BF726"/>
    <w:rsid w:val="BE6F9724"/>
    <w:rsid w:val="BEBF460E"/>
    <w:rsid w:val="BEBFD7AA"/>
    <w:rsid w:val="BECF5EC2"/>
    <w:rsid w:val="BECFFB74"/>
    <w:rsid w:val="BEDF699F"/>
    <w:rsid w:val="BEDFB161"/>
    <w:rsid w:val="BEEFDFFA"/>
    <w:rsid w:val="BEFBF92D"/>
    <w:rsid w:val="BEFF3394"/>
    <w:rsid w:val="BEFF3DEB"/>
    <w:rsid w:val="BEFFCA2F"/>
    <w:rsid w:val="BF19F4A9"/>
    <w:rsid w:val="BF1B1E38"/>
    <w:rsid w:val="BF2EAA6F"/>
    <w:rsid w:val="BF3B3BE6"/>
    <w:rsid w:val="BF3D5292"/>
    <w:rsid w:val="BF3FEB13"/>
    <w:rsid w:val="BF47D4CB"/>
    <w:rsid w:val="BF77022D"/>
    <w:rsid w:val="BF7F8133"/>
    <w:rsid w:val="BF9F6DBB"/>
    <w:rsid w:val="BFADA388"/>
    <w:rsid w:val="BFAFA5FE"/>
    <w:rsid w:val="BFAFC13B"/>
    <w:rsid w:val="BFB29B6F"/>
    <w:rsid w:val="BFB57F5E"/>
    <w:rsid w:val="BFBD6BBB"/>
    <w:rsid w:val="BFBF6E0D"/>
    <w:rsid w:val="BFBF8F04"/>
    <w:rsid w:val="BFBFF809"/>
    <w:rsid w:val="BFC6B4A6"/>
    <w:rsid w:val="BFCBE2E4"/>
    <w:rsid w:val="BFDEB206"/>
    <w:rsid w:val="BFDFE183"/>
    <w:rsid w:val="BFED5E1D"/>
    <w:rsid w:val="BFEF5F6F"/>
    <w:rsid w:val="BFF14148"/>
    <w:rsid w:val="BFF373EE"/>
    <w:rsid w:val="BFF3BF57"/>
    <w:rsid w:val="BFF963A2"/>
    <w:rsid w:val="BFFB4439"/>
    <w:rsid w:val="BFFB579D"/>
    <w:rsid w:val="BFFB6FFD"/>
    <w:rsid w:val="BFFD43FB"/>
    <w:rsid w:val="BFFD9F97"/>
    <w:rsid w:val="BFFEA5EC"/>
    <w:rsid w:val="C57726AE"/>
    <w:rsid w:val="C5DF1345"/>
    <w:rsid w:val="C75FB4BA"/>
    <w:rsid w:val="C7B1B898"/>
    <w:rsid w:val="C7FC538B"/>
    <w:rsid w:val="C7FFFF70"/>
    <w:rsid w:val="C9BFC788"/>
    <w:rsid w:val="C9FF2FD6"/>
    <w:rsid w:val="CAEFD3DC"/>
    <w:rsid w:val="CBDEBF12"/>
    <w:rsid w:val="CC37DA9E"/>
    <w:rsid w:val="CD595A7D"/>
    <w:rsid w:val="CDB3B69D"/>
    <w:rsid w:val="CEEA0130"/>
    <w:rsid w:val="CEEA1AEE"/>
    <w:rsid w:val="CEFBF4A8"/>
    <w:rsid w:val="CEFF5EE6"/>
    <w:rsid w:val="CF0F7B97"/>
    <w:rsid w:val="CF16D322"/>
    <w:rsid w:val="CF1E53EA"/>
    <w:rsid w:val="CF3F0A41"/>
    <w:rsid w:val="CF6F8647"/>
    <w:rsid w:val="CF7F3EEF"/>
    <w:rsid w:val="CFBB1301"/>
    <w:rsid w:val="CFEF2930"/>
    <w:rsid w:val="CFEF5351"/>
    <w:rsid w:val="CFF346A6"/>
    <w:rsid w:val="CFFE5B48"/>
    <w:rsid w:val="CFFF6FD3"/>
    <w:rsid w:val="CFFF7EDD"/>
    <w:rsid w:val="CFFF948C"/>
    <w:rsid w:val="D17768DF"/>
    <w:rsid w:val="D2BEB31D"/>
    <w:rsid w:val="D2BF37D1"/>
    <w:rsid w:val="D336838F"/>
    <w:rsid w:val="D3D83D0B"/>
    <w:rsid w:val="D3DB99B4"/>
    <w:rsid w:val="D437FBE3"/>
    <w:rsid w:val="D4EF4B84"/>
    <w:rsid w:val="D4EF771E"/>
    <w:rsid w:val="D55FD56E"/>
    <w:rsid w:val="D5972C0C"/>
    <w:rsid w:val="D5C7C472"/>
    <w:rsid w:val="D5F709E7"/>
    <w:rsid w:val="D5FBC32F"/>
    <w:rsid w:val="D5FF93EB"/>
    <w:rsid w:val="D66BB0F0"/>
    <w:rsid w:val="D6CDD07A"/>
    <w:rsid w:val="D6DEA864"/>
    <w:rsid w:val="D6FFA9AA"/>
    <w:rsid w:val="D716B251"/>
    <w:rsid w:val="D7574C24"/>
    <w:rsid w:val="D75B6AA0"/>
    <w:rsid w:val="D76F17AC"/>
    <w:rsid w:val="D76F26E3"/>
    <w:rsid w:val="D7C7E63C"/>
    <w:rsid w:val="D7DDF3E3"/>
    <w:rsid w:val="D7DF41F0"/>
    <w:rsid w:val="D7EEEEA7"/>
    <w:rsid w:val="D7EF010B"/>
    <w:rsid w:val="D7F79440"/>
    <w:rsid w:val="D7FE80E7"/>
    <w:rsid w:val="D7FFBCBD"/>
    <w:rsid w:val="D7FFF083"/>
    <w:rsid w:val="D87F2546"/>
    <w:rsid w:val="D97F2EC1"/>
    <w:rsid w:val="D9D3C7CD"/>
    <w:rsid w:val="DA7D2DD3"/>
    <w:rsid w:val="DA9F756C"/>
    <w:rsid w:val="DAB70596"/>
    <w:rsid w:val="DAD75D1D"/>
    <w:rsid w:val="DAEEEBDB"/>
    <w:rsid w:val="DAFF2600"/>
    <w:rsid w:val="DB1D4D6F"/>
    <w:rsid w:val="DB5769F8"/>
    <w:rsid w:val="DB7E57E7"/>
    <w:rsid w:val="DB9CBEF0"/>
    <w:rsid w:val="DBABC51A"/>
    <w:rsid w:val="DBD17C62"/>
    <w:rsid w:val="DBD52651"/>
    <w:rsid w:val="DBDDC10B"/>
    <w:rsid w:val="DBEA4A41"/>
    <w:rsid w:val="DBEF4B33"/>
    <w:rsid w:val="DBF7D353"/>
    <w:rsid w:val="DBF923F5"/>
    <w:rsid w:val="DBFD7E80"/>
    <w:rsid w:val="DBFDE95A"/>
    <w:rsid w:val="DC776660"/>
    <w:rsid w:val="DC7CA5B5"/>
    <w:rsid w:val="DCDB3183"/>
    <w:rsid w:val="DCF6C5E6"/>
    <w:rsid w:val="DD9877B1"/>
    <w:rsid w:val="DDB8A197"/>
    <w:rsid w:val="DDBB1C45"/>
    <w:rsid w:val="DDBBD38D"/>
    <w:rsid w:val="DDBD4948"/>
    <w:rsid w:val="DDD923A1"/>
    <w:rsid w:val="DDDC9B2A"/>
    <w:rsid w:val="DDDDA41D"/>
    <w:rsid w:val="DDE3DCB6"/>
    <w:rsid w:val="DDFC4EB9"/>
    <w:rsid w:val="DDFD046C"/>
    <w:rsid w:val="DE723DF7"/>
    <w:rsid w:val="DE792201"/>
    <w:rsid w:val="DE7D9021"/>
    <w:rsid w:val="DE95E8C9"/>
    <w:rsid w:val="DE9D588A"/>
    <w:rsid w:val="DEBD91CB"/>
    <w:rsid w:val="DEBE1B59"/>
    <w:rsid w:val="DEBFE872"/>
    <w:rsid w:val="DEDBF85B"/>
    <w:rsid w:val="DEDE34EA"/>
    <w:rsid w:val="DEDF102C"/>
    <w:rsid w:val="DEE7D61B"/>
    <w:rsid w:val="DEF35D8D"/>
    <w:rsid w:val="DEF9A554"/>
    <w:rsid w:val="DF07BE8D"/>
    <w:rsid w:val="DF0B9FA6"/>
    <w:rsid w:val="DF0FE015"/>
    <w:rsid w:val="DF1CF406"/>
    <w:rsid w:val="DF3E5ED5"/>
    <w:rsid w:val="DF3FB7B4"/>
    <w:rsid w:val="DF577AA5"/>
    <w:rsid w:val="DF5FD71B"/>
    <w:rsid w:val="DF6F12BC"/>
    <w:rsid w:val="DF6F6472"/>
    <w:rsid w:val="DF6F7A01"/>
    <w:rsid w:val="DF6FC7E1"/>
    <w:rsid w:val="DF7776E0"/>
    <w:rsid w:val="DF790B53"/>
    <w:rsid w:val="DF7BC217"/>
    <w:rsid w:val="DF7E8F77"/>
    <w:rsid w:val="DF7F8D18"/>
    <w:rsid w:val="DF8EAA53"/>
    <w:rsid w:val="DF9B1956"/>
    <w:rsid w:val="DF9DA33A"/>
    <w:rsid w:val="DFADF73F"/>
    <w:rsid w:val="DFB2B145"/>
    <w:rsid w:val="DFB4E551"/>
    <w:rsid w:val="DFBADF0A"/>
    <w:rsid w:val="DFBD2C31"/>
    <w:rsid w:val="DFD58892"/>
    <w:rsid w:val="DFD95E82"/>
    <w:rsid w:val="DFDB2223"/>
    <w:rsid w:val="DFDF5AE8"/>
    <w:rsid w:val="DFDF6574"/>
    <w:rsid w:val="DFE70661"/>
    <w:rsid w:val="DFE79AAE"/>
    <w:rsid w:val="DFE7D2D0"/>
    <w:rsid w:val="DFEB542E"/>
    <w:rsid w:val="DFEBE5F3"/>
    <w:rsid w:val="DFEBF6DE"/>
    <w:rsid w:val="DFECC2D9"/>
    <w:rsid w:val="DFED9BD9"/>
    <w:rsid w:val="DFEE6E1C"/>
    <w:rsid w:val="DFEFA03D"/>
    <w:rsid w:val="DFF1D208"/>
    <w:rsid w:val="DFF3C48C"/>
    <w:rsid w:val="DFF50E75"/>
    <w:rsid w:val="DFF77D66"/>
    <w:rsid w:val="DFF94328"/>
    <w:rsid w:val="DFF96DCB"/>
    <w:rsid w:val="DFFB774C"/>
    <w:rsid w:val="DFFED553"/>
    <w:rsid w:val="DFFF3DCA"/>
    <w:rsid w:val="DFFF5EFD"/>
    <w:rsid w:val="DFFF7956"/>
    <w:rsid w:val="DFFFFA9B"/>
    <w:rsid w:val="E2BC4B34"/>
    <w:rsid w:val="E36E0901"/>
    <w:rsid w:val="E3BD94DB"/>
    <w:rsid w:val="E3FB4BB0"/>
    <w:rsid w:val="E3FEE18A"/>
    <w:rsid w:val="E4FF667F"/>
    <w:rsid w:val="E5527DAA"/>
    <w:rsid w:val="E5DBEA1A"/>
    <w:rsid w:val="E69C17B0"/>
    <w:rsid w:val="E73F9D9F"/>
    <w:rsid w:val="E74964A1"/>
    <w:rsid w:val="E77632E1"/>
    <w:rsid w:val="E77E4577"/>
    <w:rsid w:val="E77EB0FA"/>
    <w:rsid w:val="E77FBC94"/>
    <w:rsid w:val="E77FF254"/>
    <w:rsid w:val="E7876D75"/>
    <w:rsid w:val="E7D77BE9"/>
    <w:rsid w:val="E7DBB220"/>
    <w:rsid w:val="E7DFB7A0"/>
    <w:rsid w:val="E7E60CEB"/>
    <w:rsid w:val="E7EFCF6E"/>
    <w:rsid w:val="E7F742C0"/>
    <w:rsid w:val="E7FBEDEC"/>
    <w:rsid w:val="E7FCE011"/>
    <w:rsid w:val="E7FD638E"/>
    <w:rsid w:val="E7FE475F"/>
    <w:rsid w:val="E8E69018"/>
    <w:rsid w:val="E9931B95"/>
    <w:rsid w:val="E99E082B"/>
    <w:rsid w:val="E9ADFAA9"/>
    <w:rsid w:val="E9AF6A17"/>
    <w:rsid w:val="E9B21339"/>
    <w:rsid w:val="E9CF5184"/>
    <w:rsid w:val="E9DF9367"/>
    <w:rsid w:val="E9E529AB"/>
    <w:rsid w:val="E9F72A19"/>
    <w:rsid w:val="E9F9CC67"/>
    <w:rsid w:val="E9FBBDFA"/>
    <w:rsid w:val="E9FC5C63"/>
    <w:rsid w:val="E9FFB6A6"/>
    <w:rsid w:val="EA3B39C6"/>
    <w:rsid w:val="EAEF0CBC"/>
    <w:rsid w:val="EAFFE653"/>
    <w:rsid w:val="EB39E2E3"/>
    <w:rsid w:val="EB4D24EA"/>
    <w:rsid w:val="EB65491C"/>
    <w:rsid w:val="EB728C6D"/>
    <w:rsid w:val="EB7AB9F6"/>
    <w:rsid w:val="EB86BD60"/>
    <w:rsid w:val="EBC6AC25"/>
    <w:rsid w:val="EBE3963C"/>
    <w:rsid w:val="EBE6090C"/>
    <w:rsid w:val="EBEB1767"/>
    <w:rsid w:val="EBEEDFE0"/>
    <w:rsid w:val="EBF5B7DE"/>
    <w:rsid w:val="EBF63942"/>
    <w:rsid w:val="EBFF211E"/>
    <w:rsid w:val="EBFF4300"/>
    <w:rsid w:val="EBFFDEF1"/>
    <w:rsid w:val="EC5F18CB"/>
    <w:rsid w:val="EC9D6AD9"/>
    <w:rsid w:val="ECA759D3"/>
    <w:rsid w:val="ECA773CA"/>
    <w:rsid w:val="ECBAE4FD"/>
    <w:rsid w:val="ECE8E2F8"/>
    <w:rsid w:val="ECEFBD55"/>
    <w:rsid w:val="ECFF0687"/>
    <w:rsid w:val="ED17372D"/>
    <w:rsid w:val="EDAF1474"/>
    <w:rsid w:val="EDCF67C6"/>
    <w:rsid w:val="EDD6A9A2"/>
    <w:rsid w:val="EDFD06AB"/>
    <w:rsid w:val="EDFDDA04"/>
    <w:rsid w:val="EDFFAA12"/>
    <w:rsid w:val="EDFFDFA1"/>
    <w:rsid w:val="EE2BB758"/>
    <w:rsid w:val="EE2E8CAF"/>
    <w:rsid w:val="EE3B098D"/>
    <w:rsid w:val="EE4FE50D"/>
    <w:rsid w:val="EEB7CDFB"/>
    <w:rsid w:val="EEB7DF28"/>
    <w:rsid w:val="EEBF56E9"/>
    <w:rsid w:val="EEBFFA64"/>
    <w:rsid w:val="EEF98B18"/>
    <w:rsid w:val="EEFABF3D"/>
    <w:rsid w:val="EEFD9CFA"/>
    <w:rsid w:val="EEFE59F6"/>
    <w:rsid w:val="EEFF4E1C"/>
    <w:rsid w:val="EEFFC7CC"/>
    <w:rsid w:val="EF0F2674"/>
    <w:rsid w:val="EF367B7E"/>
    <w:rsid w:val="EF3A399C"/>
    <w:rsid w:val="EF3DBA8E"/>
    <w:rsid w:val="EF3DC7F8"/>
    <w:rsid w:val="EF3EA254"/>
    <w:rsid w:val="EF5FC677"/>
    <w:rsid w:val="EF65287D"/>
    <w:rsid w:val="EF6C5B2F"/>
    <w:rsid w:val="EF6E3CD2"/>
    <w:rsid w:val="EF6FA527"/>
    <w:rsid w:val="EF763A85"/>
    <w:rsid w:val="EF76C4BA"/>
    <w:rsid w:val="EF7724F7"/>
    <w:rsid w:val="EF78DDED"/>
    <w:rsid w:val="EF7B28AD"/>
    <w:rsid w:val="EF7BC798"/>
    <w:rsid w:val="EF7F21DB"/>
    <w:rsid w:val="EF7F3766"/>
    <w:rsid w:val="EF7F5BBF"/>
    <w:rsid w:val="EF7FEB4F"/>
    <w:rsid w:val="EF8F0E19"/>
    <w:rsid w:val="EF961C7F"/>
    <w:rsid w:val="EF9B1D6A"/>
    <w:rsid w:val="EF9E7A0E"/>
    <w:rsid w:val="EFA9A13B"/>
    <w:rsid w:val="EFB7A4CA"/>
    <w:rsid w:val="EFBE9A76"/>
    <w:rsid w:val="EFBF0484"/>
    <w:rsid w:val="EFBF070C"/>
    <w:rsid w:val="EFBF5F80"/>
    <w:rsid w:val="EFDC7BEB"/>
    <w:rsid w:val="EFDF3F05"/>
    <w:rsid w:val="EFDF9AFE"/>
    <w:rsid w:val="EFE33597"/>
    <w:rsid w:val="EFF5B816"/>
    <w:rsid w:val="EFF63B72"/>
    <w:rsid w:val="EFF732E9"/>
    <w:rsid w:val="EFF7AF59"/>
    <w:rsid w:val="EFF7C7D4"/>
    <w:rsid w:val="EFF7F8C4"/>
    <w:rsid w:val="EFF9BA5E"/>
    <w:rsid w:val="EFFBFFDA"/>
    <w:rsid w:val="EFFD27B9"/>
    <w:rsid w:val="EFFD8C4B"/>
    <w:rsid w:val="EFFE6085"/>
    <w:rsid w:val="EFFF048F"/>
    <w:rsid w:val="EFFF2B8D"/>
    <w:rsid w:val="EFFF423F"/>
    <w:rsid w:val="EFFF6E26"/>
    <w:rsid w:val="EFFF947F"/>
    <w:rsid w:val="EFFFA3D9"/>
    <w:rsid w:val="EFFFAA04"/>
    <w:rsid w:val="EFFFAF88"/>
    <w:rsid w:val="EFFFDCBC"/>
    <w:rsid w:val="EFFFDFD7"/>
    <w:rsid w:val="EFFFFADB"/>
    <w:rsid w:val="F033EC25"/>
    <w:rsid w:val="F0F7BC6B"/>
    <w:rsid w:val="F117DB17"/>
    <w:rsid w:val="F131D26D"/>
    <w:rsid w:val="F17FE83E"/>
    <w:rsid w:val="F1AB7DCE"/>
    <w:rsid w:val="F1ADC878"/>
    <w:rsid w:val="F1FA9A47"/>
    <w:rsid w:val="F1FF25EB"/>
    <w:rsid w:val="F2ED4816"/>
    <w:rsid w:val="F2FDB97D"/>
    <w:rsid w:val="F384FF59"/>
    <w:rsid w:val="F38F3A73"/>
    <w:rsid w:val="F3BE93B6"/>
    <w:rsid w:val="F3BF2A2A"/>
    <w:rsid w:val="F3BF504A"/>
    <w:rsid w:val="F3BF7F21"/>
    <w:rsid w:val="F3CFE67A"/>
    <w:rsid w:val="F3D7FE49"/>
    <w:rsid w:val="F3E588BF"/>
    <w:rsid w:val="F3EBD74A"/>
    <w:rsid w:val="F3EFD729"/>
    <w:rsid w:val="F3F54B13"/>
    <w:rsid w:val="F3FF66B0"/>
    <w:rsid w:val="F4AF4261"/>
    <w:rsid w:val="F4EE650C"/>
    <w:rsid w:val="F4F9DFA1"/>
    <w:rsid w:val="F4FFE58A"/>
    <w:rsid w:val="F59A5916"/>
    <w:rsid w:val="F5A7FD64"/>
    <w:rsid w:val="F5CD1E1D"/>
    <w:rsid w:val="F5CD3C9F"/>
    <w:rsid w:val="F5CF1427"/>
    <w:rsid w:val="F5CF7A89"/>
    <w:rsid w:val="F5D478A5"/>
    <w:rsid w:val="F5EC0420"/>
    <w:rsid w:val="F5FAF614"/>
    <w:rsid w:val="F5FB87CB"/>
    <w:rsid w:val="F5FDB22D"/>
    <w:rsid w:val="F5FE5A47"/>
    <w:rsid w:val="F5FF5121"/>
    <w:rsid w:val="F5FF5A4A"/>
    <w:rsid w:val="F607AD35"/>
    <w:rsid w:val="F67F9000"/>
    <w:rsid w:val="F6B7CF36"/>
    <w:rsid w:val="F6BBE728"/>
    <w:rsid w:val="F6BFF38E"/>
    <w:rsid w:val="F6CADBA3"/>
    <w:rsid w:val="F6E7DBAA"/>
    <w:rsid w:val="F6FB778C"/>
    <w:rsid w:val="F6FBB548"/>
    <w:rsid w:val="F6FBBC36"/>
    <w:rsid w:val="F6FDC41C"/>
    <w:rsid w:val="F6FFB951"/>
    <w:rsid w:val="F6FFED0B"/>
    <w:rsid w:val="F71E334B"/>
    <w:rsid w:val="F73F430A"/>
    <w:rsid w:val="F73F9836"/>
    <w:rsid w:val="F77108A4"/>
    <w:rsid w:val="F77BCBB0"/>
    <w:rsid w:val="F77BF0E6"/>
    <w:rsid w:val="F77EC911"/>
    <w:rsid w:val="F77F54A5"/>
    <w:rsid w:val="F77FBA68"/>
    <w:rsid w:val="F77FEFED"/>
    <w:rsid w:val="F78614C5"/>
    <w:rsid w:val="F791F59A"/>
    <w:rsid w:val="F7975405"/>
    <w:rsid w:val="F79E0F8C"/>
    <w:rsid w:val="F7ABC641"/>
    <w:rsid w:val="F7CC4769"/>
    <w:rsid w:val="F7CD3474"/>
    <w:rsid w:val="F7D743CD"/>
    <w:rsid w:val="F7DB0F54"/>
    <w:rsid w:val="F7DE2577"/>
    <w:rsid w:val="F7DFA251"/>
    <w:rsid w:val="F7E23CCD"/>
    <w:rsid w:val="F7E7D854"/>
    <w:rsid w:val="F7ED9B0D"/>
    <w:rsid w:val="F7EED95C"/>
    <w:rsid w:val="F7EFBA72"/>
    <w:rsid w:val="F7EFFD8C"/>
    <w:rsid w:val="F7F50BAA"/>
    <w:rsid w:val="F7F7BA49"/>
    <w:rsid w:val="F7F934B8"/>
    <w:rsid w:val="F7FA4F50"/>
    <w:rsid w:val="F7FD3BF3"/>
    <w:rsid w:val="F7FD77D1"/>
    <w:rsid w:val="F7FE180B"/>
    <w:rsid w:val="F7FF47BD"/>
    <w:rsid w:val="F7FF834A"/>
    <w:rsid w:val="F7FFB8CC"/>
    <w:rsid w:val="F7FFD1B7"/>
    <w:rsid w:val="F83B4E3B"/>
    <w:rsid w:val="F88310C5"/>
    <w:rsid w:val="F8FA60FA"/>
    <w:rsid w:val="F8FB9B47"/>
    <w:rsid w:val="F8FE51A7"/>
    <w:rsid w:val="F8FF8932"/>
    <w:rsid w:val="F90BF106"/>
    <w:rsid w:val="F97CDEDE"/>
    <w:rsid w:val="F9AF8E38"/>
    <w:rsid w:val="F9BEF065"/>
    <w:rsid w:val="F9DA328F"/>
    <w:rsid w:val="F9DFAE61"/>
    <w:rsid w:val="F9EF421A"/>
    <w:rsid w:val="F9F1DA0F"/>
    <w:rsid w:val="F9F505F3"/>
    <w:rsid w:val="F9F744E7"/>
    <w:rsid w:val="F9FBD759"/>
    <w:rsid w:val="F9FC2C2C"/>
    <w:rsid w:val="F9FF88A4"/>
    <w:rsid w:val="F9FFFE1D"/>
    <w:rsid w:val="FA673DF2"/>
    <w:rsid w:val="FA6FEE09"/>
    <w:rsid w:val="FA7F76F0"/>
    <w:rsid w:val="FA7FC3BC"/>
    <w:rsid w:val="FABC35A7"/>
    <w:rsid w:val="FABF155A"/>
    <w:rsid w:val="FAEB77D1"/>
    <w:rsid w:val="FAECAF6E"/>
    <w:rsid w:val="FAFC686C"/>
    <w:rsid w:val="FAFE7846"/>
    <w:rsid w:val="FAFF9CC5"/>
    <w:rsid w:val="FB28BDED"/>
    <w:rsid w:val="FB2DD7EA"/>
    <w:rsid w:val="FB2F9DD4"/>
    <w:rsid w:val="FB3F0626"/>
    <w:rsid w:val="FB3F1783"/>
    <w:rsid w:val="FB3FA318"/>
    <w:rsid w:val="FB6B9736"/>
    <w:rsid w:val="FB771294"/>
    <w:rsid w:val="FB7769D5"/>
    <w:rsid w:val="FB7AD585"/>
    <w:rsid w:val="FB7BB5B7"/>
    <w:rsid w:val="FB7BD297"/>
    <w:rsid w:val="FB7CABE0"/>
    <w:rsid w:val="FB7F7FE7"/>
    <w:rsid w:val="FB7FA4D8"/>
    <w:rsid w:val="FB7FF9BB"/>
    <w:rsid w:val="FB86A39C"/>
    <w:rsid w:val="FB9568D3"/>
    <w:rsid w:val="FBA35DB4"/>
    <w:rsid w:val="FBAEA427"/>
    <w:rsid w:val="FBAF688C"/>
    <w:rsid w:val="FBB0E058"/>
    <w:rsid w:val="FBB5DE07"/>
    <w:rsid w:val="FBB7D113"/>
    <w:rsid w:val="FBBB0C59"/>
    <w:rsid w:val="FBBBA577"/>
    <w:rsid w:val="FBBC54B6"/>
    <w:rsid w:val="FBBEB755"/>
    <w:rsid w:val="FBBF98FC"/>
    <w:rsid w:val="FBBFEED6"/>
    <w:rsid w:val="FBCFA5FA"/>
    <w:rsid w:val="FBD7921F"/>
    <w:rsid w:val="FBDB63F1"/>
    <w:rsid w:val="FBDBB44D"/>
    <w:rsid w:val="FBDE054F"/>
    <w:rsid w:val="FBDEDB12"/>
    <w:rsid w:val="FBDF1A33"/>
    <w:rsid w:val="FBDF3CA4"/>
    <w:rsid w:val="FBDFE53E"/>
    <w:rsid w:val="FBE34C4D"/>
    <w:rsid w:val="FBEA7E70"/>
    <w:rsid w:val="FBED7BA8"/>
    <w:rsid w:val="FBEF0DE3"/>
    <w:rsid w:val="FBF30F98"/>
    <w:rsid w:val="FBF93A4D"/>
    <w:rsid w:val="FBFAED7E"/>
    <w:rsid w:val="FBFB4F8C"/>
    <w:rsid w:val="FBFBD5EC"/>
    <w:rsid w:val="FBFD1CD7"/>
    <w:rsid w:val="FBFD8F1B"/>
    <w:rsid w:val="FBFE2666"/>
    <w:rsid w:val="FBFF0BD1"/>
    <w:rsid w:val="FBFF7075"/>
    <w:rsid w:val="FBFFAD1A"/>
    <w:rsid w:val="FC230332"/>
    <w:rsid w:val="FC3ECE4B"/>
    <w:rsid w:val="FC7BE815"/>
    <w:rsid w:val="FCB7524C"/>
    <w:rsid w:val="FCBE0F84"/>
    <w:rsid w:val="FCBF5543"/>
    <w:rsid w:val="FCE1CB1A"/>
    <w:rsid w:val="FCEB762A"/>
    <w:rsid w:val="FCECD087"/>
    <w:rsid w:val="FCEF3966"/>
    <w:rsid w:val="FCFEB16F"/>
    <w:rsid w:val="FCFF2C18"/>
    <w:rsid w:val="FCFF5896"/>
    <w:rsid w:val="FCFF6CB1"/>
    <w:rsid w:val="FD5484C3"/>
    <w:rsid w:val="FD5D7C11"/>
    <w:rsid w:val="FD5EE497"/>
    <w:rsid w:val="FD6E6218"/>
    <w:rsid w:val="FD7E2788"/>
    <w:rsid w:val="FD7F158D"/>
    <w:rsid w:val="FD7F7FCE"/>
    <w:rsid w:val="FD7FCDD7"/>
    <w:rsid w:val="FD7FE30B"/>
    <w:rsid w:val="FD8F3EB0"/>
    <w:rsid w:val="FD9107FA"/>
    <w:rsid w:val="FD9B0BE7"/>
    <w:rsid w:val="FDAB6B8F"/>
    <w:rsid w:val="FDB5A707"/>
    <w:rsid w:val="FDBF3F31"/>
    <w:rsid w:val="FDD7BAD7"/>
    <w:rsid w:val="FDE59A6E"/>
    <w:rsid w:val="FDE73D1E"/>
    <w:rsid w:val="FDE7459F"/>
    <w:rsid w:val="FDE835A1"/>
    <w:rsid w:val="FDEA7E75"/>
    <w:rsid w:val="FDEFD55E"/>
    <w:rsid w:val="FDEFE3D2"/>
    <w:rsid w:val="FDF3247B"/>
    <w:rsid w:val="FDF60E58"/>
    <w:rsid w:val="FDF71689"/>
    <w:rsid w:val="FDF7D624"/>
    <w:rsid w:val="FDF7F358"/>
    <w:rsid w:val="FDFB6AFE"/>
    <w:rsid w:val="FDFD76B9"/>
    <w:rsid w:val="FDFE27C5"/>
    <w:rsid w:val="FDFE5D6C"/>
    <w:rsid w:val="FDFE7F92"/>
    <w:rsid w:val="FDFEF556"/>
    <w:rsid w:val="FDFF035E"/>
    <w:rsid w:val="FDFF8C08"/>
    <w:rsid w:val="FDFF98E2"/>
    <w:rsid w:val="FDFFB5D1"/>
    <w:rsid w:val="FDFFC508"/>
    <w:rsid w:val="FDFFF0E6"/>
    <w:rsid w:val="FE3FEEC8"/>
    <w:rsid w:val="FE4F9169"/>
    <w:rsid w:val="FE5BCD8B"/>
    <w:rsid w:val="FE65A4AC"/>
    <w:rsid w:val="FE6D3915"/>
    <w:rsid w:val="FE6EA89B"/>
    <w:rsid w:val="FE76B635"/>
    <w:rsid w:val="FE774804"/>
    <w:rsid w:val="FE7D67D0"/>
    <w:rsid w:val="FE7D7EC8"/>
    <w:rsid w:val="FE7EFD5C"/>
    <w:rsid w:val="FE7F393D"/>
    <w:rsid w:val="FE8D0498"/>
    <w:rsid w:val="FEA52EAC"/>
    <w:rsid w:val="FEB676BB"/>
    <w:rsid w:val="FEB79FF2"/>
    <w:rsid w:val="FED5F4C4"/>
    <w:rsid w:val="FED7E2D1"/>
    <w:rsid w:val="FEDA3D77"/>
    <w:rsid w:val="FEDF278D"/>
    <w:rsid w:val="FEE334E4"/>
    <w:rsid w:val="FEEBB876"/>
    <w:rsid w:val="FEEBFE41"/>
    <w:rsid w:val="FEF546A4"/>
    <w:rsid w:val="FEF5D5D0"/>
    <w:rsid w:val="FEF9697F"/>
    <w:rsid w:val="FEFA9E6A"/>
    <w:rsid w:val="FEFAF1AC"/>
    <w:rsid w:val="FEFB187A"/>
    <w:rsid w:val="FEFB4FC7"/>
    <w:rsid w:val="FEFCA2DA"/>
    <w:rsid w:val="FEFDF094"/>
    <w:rsid w:val="FEFE666C"/>
    <w:rsid w:val="FEFF7B0E"/>
    <w:rsid w:val="FEFFA2C1"/>
    <w:rsid w:val="FF1B65D8"/>
    <w:rsid w:val="FF1BE431"/>
    <w:rsid w:val="FF1E5216"/>
    <w:rsid w:val="FF277A6A"/>
    <w:rsid w:val="FF2F5525"/>
    <w:rsid w:val="FF2FDF3A"/>
    <w:rsid w:val="FF33E1F9"/>
    <w:rsid w:val="FF3703F0"/>
    <w:rsid w:val="FF3BDC51"/>
    <w:rsid w:val="FF3D4E7D"/>
    <w:rsid w:val="FF3F1DE2"/>
    <w:rsid w:val="FF494B4D"/>
    <w:rsid w:val="FF569EBD"/>
    <w:rsid w:val="FF5BD5F9"/>
    <w:rsid w:val="FF5C016C"/>
    <w:rsid w:val="FF5E20A6"/>
    <w:rsid w:val="FF5F2CD9"/>
    <w:rsid w:val="FF5FBD2E"/>
    <w:rsid w:val="FF61347B"/>
    <w:rsid w:val="FF63648F"/>
    <w:rsid w:val="FF637D1B"/>
    <w:rsid w:val="FF6EDA1B"/>
    <w:rsid w:val="FF6F2B61"/>
    <w:rsid w:val="FF796873"/>
    <w:rsid w:val="FF797131"/>
    <w:rsid w:val="FF7A5264"/>
    <w:rsid w:val="FF7D80B5"/>
    <w:rsid w:val="FF7D8751"/>
    <w:rsid w:val="FF7F1564"/>
    <w:rsid w:val="FF7F27AB"/>
    <w:rsid w:val="FF7F4219"/>
    <w:rsid w:val="FF7F680C"/>
    <w:rsid w:val="FF7F7C47"/>
    <w:rsid w:val="FF7FBCAD"/>
    <w:rsid w:val="FF890153"/>
    <w:rsid w:val="FF8E1E54"/>
    <w:rsid w:val="FF9313D4"/>
    <w:rsid w:val="FF9773E6"/>
    <w:rsid w:val="FF9D29AE"/>
    <w:rsid w:val="FF9E1A0E"/>
    <w:rsid w:val="FFA39031"/>
    <w:rsid w:val="FFAAA187"/>
    <w:rsid w:val="FFAAE5AE"/>
    <w:rsid w:val="FFAD0D13"/>
    <w:rsid w:val="FFB3A549"/>
    <w:rsid w:val="FFB642BF"/>
    <w:rsid w:val="FFB7B288"/>
    <w:rsid w:val="FFB9D7A0"/>
    <w:rsid w:val="FFBB4AF3"/>
    <w:rsid w:val="FFBB9E6F"/>
    <w:rsid w:val="FFBBD756"/>
    <w:rsid w:val="FFBBD890"/>
    <w:rsid w:val="FFBC8A17"/>
    <w:rsid w:val="FFBD831B"/>
    <w:rsid w:val="FFBF3F83"/>
    <w:rsid w:val="FFBF9A52"/>
    <w:rsid w:val="FFBF9DC0"/>
    <w:rsid w:val="FFBFCBF0"/>
    <w:rsid w:val="FFC3FED7"/>
    <w:rsid w:val="FFC7B948"/>
    <w:rsid w:val="FFCD7FDE"/>
    <w:rsid w:val="FFCF5466"/>
    <w:rsid w:val="FFCF6AB2"/>
    <w:rsid w:val="FFD374BC"/>
    <w:rsid w:val="FFD77F2B"/>
    <w:rsid w:val="FFD9A628"/>
    <w:rsid w:val="FFDB50CB"/>
    <w:rsid w:val="FFDC0AD5"/>
    <w:rsid w:val="FFDC4DB2"/>
    <w:rsid w:val="FFDCCED3"/>
    <w:rsid w:val="FFDCF347"/>
    <w:rsid w:val="FFDEC691"/>
    <w:rsid w:val="FFDEDBDD"/>
    <w:rsid w:val="FFDEE0D5"/>
    <w:rsid w:val="FFDF2C9F"/>
    <w:rsid w:val="FFDF4031"/>
    <w:rsid w:val="FFDF4FBE"/>
    <w:rsid w:val="FFDF6CF8"/>
    <w:rsid w:val="FFDF7379"/>
    <w:rsid w:val="FFDFB0B0"/>
    <w:rsid w:val="FFE2477C"/>
    <w:rsid w:val="FFE66B7B"/>
    <w:rsid w:val="FFE77C14"/>
    <w:rsid w:val="FFE7CA84"/>
    <w:rsid w:val="FFE7E88C"/>
    <w:rsid w:val="FFEA63F3"/>
    <w:rsid w:val="FFEB21EA"/>
    <w:rsid w:val="FFEB460D"/>
    <w:rsid w:val="FFEBEA74"/>
    <w:rsid w:val="FFEDF684"/>
    <w:rsid w:val="FFEEAE7D"/>
    <w:rsid w:val="FFEF5BAF"/>
    <w:rsid w:val="FFEFF33C"/>
    <w:rsid w:val="FFEFF457"/>
    <w:rsid w:val="FFF36C94"/>
    <w:rsid w:val="FFF3CEF6"/>
    <w:rsid w:val="FFF3F4C1"/>
    <w:rsid w:val="FFF4436F"/>
    <w:rsid w:val="FFF5281C"/>
    <w:rsid w:val="FFF54202"/>
    <w:rsid w:val="FFF5599E"/>
    <w:rsid w:val="FFF61847"/>
    <w:rsid w:val="FFF6852E"/>
    <w:rsid w:val="FFF70DCC"/>
    <w:rsid w:val="FFF72F42"/>
    <w:rsid w:val="FFF76A72"/>
    <w:rsid w:val="FFF7F42B"/>
    <w:rsid w:val="FFF8B5DA"/>
    <w:rsid w:val="FFF938B6"/>
    <w:rsid w:val="FFF97A33"/>
    <w:rsid w:val="FFF98955"/>
    <w:rsid w:val="FFF9A04D"/>
    <w:rsid w:val="FFFA0431"/>
    <w:rsid w:val="FFFA4F8A"/>
    <w:rsid w:val="FFFAEDF6"/>
    <w:rsid w:val="FFFB2141"/>
    <w:rsid w:val="FFFB523B"/>
    <w:rsid w:val="FFFB7F9F"/>
    <w:rsid w:val="FFFC268F"/>
    <w:rsid w:val="FFFCADFC"/>
    <w:rsid w:val="FFFD0FD0"/>
    <w:rsid w:val="FFFD3D03"/>
    <w:rsid w:val="FFFD6812"/>
    <w:rsid w:val="FFFD9B33"/>
    <w:rsid w:val="FFFD9FA6"/>
    <w:rsid w:val="FFFDB979"/>
    <w:rsid w:val="FFFE0FB3"/>
    <w:rsid w:val="FFFE5317"/>
    <w:rsid w:val="FFFE767F"/>
    <w:rsid w:val="FFFE78E9"/>
    <w:rsid w:val="FFFE934A"/>
    <w:rsid w:val="FFFE9350"/>
    <w:rsid w:val="FFFEC0DD"/>
    <w:rsid w:val="FFFED38C"/>
    <w:rsid w:val="FFFF3B58"/>
    <w:rsid w:val="FFFF3FE0"/>
    <w:rsid w:val="FFFF46D3"/>
    <w:rsid w:val="FFFF63CC"/>
    <w:rsid w:val="FFFF63EB"/>
    <w:rsid w:val="FFFF7BF8"/>
    <w:rsid w:val="FFFF9757"/>
    <w:rsid w:val="FFFFACA1"/>
    <w:rsid w:val="FFFFAF70"/>
    <w:rsid w:val="FFFFC218"/>
    <w:rsid w:val="FFFFCD87"/>
    <w:rsid w:val="FFFFD5E7"/>
    <w:rsid w:val="FFFFE039"/>
    <w:rsid w:val="FFFFEBCC"/>
    <w:rsid w:val="000023C9"/>
    <w:rsid w:val="00006370"/>
    <w:rsid w:val="0001292C"/>
    <w:rsid w:val="00012967"/>
    <w:rsid w:val="000137DB"/>
    <w:rsid w:val="0001475C"/>
    <w:rsid w:val="00015276"/>
    <w:rsid w:val="0001598B"/>
    <w:rsid w:val="00015A65"/>
    <w:rsid w:val="0002030C"/>
    <w:rsid w:val="00022A83"/>
    <w:rsid w:val="000271CA"/>
    <w:rsid w:val="00030AA2"/>
    <w:rsid w:val="000364CA"/>
    <w:rsid w:val="00036ED9"/>
    <w:rsid w:val="00037D46"/>
    <w:rsid w:val="0004224D"/>
    <w:rsid w:val="000441F4"/>
    <w:rsid w:val="00044CCF"/>
    <w:rsid w:val="00045B5F"/>
    <w:rsid w:val="000470B9"/>
    <w:rsid w:val="000507F6"/>
    <w:rsid w:val="00050E87"/>
    <w:rsid w:val="00050EBE"/>
    <w:rsid w:val="00056E22"/>
    <w:rsid w:val="00057A6E"/>
    <w:rsid w:val="000602F9"/>
    <w:rsid w:val="00060F60"/>
    <w:rsid w:val="00062712"/>
    <w:rsid w:val="00063B4C"/>
    <w:rsid w:val="00063BDA"/>
    <w:rsid w:val="000653EC"/>
    <w:rsid w:val="00075460"/>
    <w:rsid w:val="00075B19"/>
    <w:rsid w:val="00077A43"/>
    <w:rsid w:val="00077CA3"/>
    <w:rsid w:val="00083577"/>
    <w:rsid w:val="0008491A"/>
    <w:rsid w:val="00084C3D"/>
    <w:rsid w:val="000863DC"/>
    <w:rsid w:val="000901A2"/>
    <w:rsid w:val="00091A26"/>
    <w:rsid w:val="00092B38"/>
    <w:rsid w:val="0009643E"/>
    <w:rsid w:val="000A0A49"/>
    <w:rsid w:val="000A429F"/>
    <w:rsid w:val="000A61CC"/>
    <w:rsid w:val="000A63F1"/>
    <w:rsid w:val="000A7E7F"/>
    <w:rsid w:val="000B0884"/>
    <w:rsid w:val="000B2257"/>
    <w:rsid w:val="000B51F5"/>
    <w:rsid w:val="000B61D4"/>
    <w:rsid w:val="000B742A"/>
    <w:rsid w:val="000C0AD1"/>
    <w:rsid w:val="000C3754"/>
    <w:rsid w:val="000C4768"/>
    <w:rsid w:val="000C4BBE"/>
    <w:rsid w:val="000C4C0F"/>
    <w:rsid w:val="000C5563"/>
    <w:rsid w:val="000C630F"/>
    <w:rsid w:val="000C6EC6"/>
    <w:rsid w:val="000C6F00"/>
    <w:rsid w:val="000D0F4A"/>
    <w:rsid w:val="000D2178"/>
    <w:rsid w:val="000D33AD"/>
    <w:rsid w:val="000D5E51"/>
    <w:rsid w:val="000D66C7"/>
    <w:rsid w:val="000D6CC2"/>
    <w:rsid w:val="000E08C0"/>
    <w:rsid w:val="000E09C0"/>
    <w:rsid w:val="000E5E30"/>
    <w:rsid w:val="000E7BB0"/>
    <w:rsid w:val="000F496A"/>
    <w:rsid w:val="000F4B46"/>
    <w:rsid w:val="000F52B2"/>
    <w:rsid w:val="000F565F"/>
    <w:rsid w:val="000F598E"/>
    <w:rsid w:val="000F5BD5"/>
    <w:rsid w:val="000F6964"/>
    <w:rsid w:val="000F7851"/>
    <w:rsid w:val="00101942"/>
    <w:rsid w:val="00106151"/>
    <w:rsid w:val="001102C6"/>
    <w:rsid w:val="00112EA0"/>
    <w:rsid w:val="0011331A"/>
    <w:rsid w:val="00113CCF"/>
    <w:rsid w:val="00115D51"/>
    <w:rsid w:val="00122093"/>
    <w:rsid w:val="00122743"/>
    <w:rsid w:val="00123C9D"/>
    <w:rsid w:val="00125131"/>
    <w:rsid w:val="001258EE"/>
    <w:rsid w:val="00126925"/>
    <w:rsid w:val="00130C91"/>
    <w:rsid w:val="00130E78"/>
    <w:rsid w:val="0013495A"/>
    <w:rsid w:val="00134D24"/>
    <w:rsid w:val="00134E92"/>
    <w:rsid w:val="0013571B"/>
    <w:rsid w:val="0013737B"/>
    <w:rsid w:val="00141273"/>
    <w:rsid w:val="001446D9"/>
    <w:rsid w:val="001448EA"/>
    <w:rsid w:val="00146549"/>
    <w:rsid w:val="001468FE"/>
    <w:rsid w:val="00146C83"/>
    <w:rsid w:val="00147197"/>
    <w:rsid w:val="001472BE"/>
    <w:rsid w:val="001476E5"/>
    <w:rsid w:val="00156902"/>
    <w:rsid w:val="00156BAB"/>
    <w:rsid w:val="00161E1A"/>
    <w:rsid w:val="00163869"/>
    <w:rsid w:val="001645D4"/>
    <w:rsid w:val="00164629"/>
    <w:rsid w:val="001646EA"/>
    <w:rsid w:val="00167046"/>
    <w:rsid w:val="00167E33"/>
    <w:rsid w:val="00170BFA"/>
    <w:rsid w:val="001712C2"/>
    <w:rsid w:val="00183DC3"/>
    <w:rsid w:val="00184EDD"/>
    <w:rsid w:val="001862F4"/>
    <w:rsid w:val="00186714"/>
    <w:rsid w:val="0018790F"/>
    <w:rsid w:val="00187E1C"/>
    <w:rsid w:val="00191678"/>
    <w:rsid w:val="00194117"/>
    <w:rsid w:val="001943B0"/>
    <w:rsid w:val="00195069"/>
    <w:rsid w:val="00197A35"/>
    <w:rsid w:val="001A0AA5"/>
    <w:rsid w:val="001A0E8C"/>
    <w:rsid w:val="001A11A3"/>
    <w:rsid w:val="001A12ED"/>
    <w:rsid w:val="001A14EB"/>
    <w:rsid w:val="001A4077"/>
    <w:rsid w:val="001A42EE"/>
    <w:rsid w:val="001A58DC"/>
    <w:rsid w:val="001A6A02"/>
    <w:rsid w:val="001B14E6"/>
    <w:rsid w:val="001B42FD"/>
    <w:rsid w:val="001B504E"/>
    <w:rsid w:val="001C0ED0"/>
    <w:rsid w:val="001C11F6"/>
    <w:rsid w:val="001C1706"/>
    <w:rsid w:val="001C435F"/>
    <w:rsid w:val="001C50CE"/>
    <w:rsid w:val="001C5474"/>
    <w:rsid w:val="001C61FC"/>
    <w:rsid w:val="001C648F"/>
    <w:rsid w:val="001D02DB"/>
    <w:rsid w:val="001D0649"/>
    <w:rsid w:val="001D16F3"/>
    <w:rsid w:val="001D1CDA"/>
    <w:rsid w:val="001D2831"/>
    <w:rsid w:val="001D43E5"/>
    <w:rsid w:val="001D49F2"/>
    <w:rsid w:val="001E4567"/>
    <w:rsid w:val="001E5260"/>
    <w:rsid w:val="001E5396"/>
    <w:rsid w:val="001E5BCC"/>
    <w:rsid w:val="001E6323"/>
    <w:rsid w:val="001E7411"/>
    <w:rsid w:val="001E76C7"/>
    <w:rsid w:val="001F0D95"/>
    <w:rsid w:val="001F3D76"/>
    <w:rsid w:val="001F54E9"/>
    <w:rsid w:val="00200B93"/>
    <w:rsid w:val="00201308"/>
    <w:rsid w:val="0020386A"/>
    <w:rsid w:val="00203970"/>
    <w:rsid w:val="002040A2"/>
    <w:rsid w:val="0020499F"/>
    <w:rsid w:val="0020567C"/>
    <w:rsid w:val="00206191"/>
    <w:rsid w:val="002069B6"/>
    <w:rsid w:val="00206A36"/>
    <w:rsid w:val="0021212A"/>
    <w:rsid w:val="00214F5D"/>
    <w:rsid w:val="002150FB"/>
    <w:rsid w:val="002154B9"/>
    <w:rsid w:val="002161E5"/>
    <w:rsid w:val="00216EB3"/>
    <w:rsid w:val="00217397"/>
    <w:rsid w:val="00217E55"/>
    <w:rsid w:val="002212D1"/>
    <w:rsid w:val="00222322"/>
    <w:rsid w:val="00227C49"/>
    <w:rsid w:val="00234710"/>
    <w:rsid w:val="00236C54"/>
    <w:rsid w:val="0024004B"/>
    <w:rsid w:val="002417AF"/>
    <w:rsid w:val="00243E12"/>
    <w:rsid w:val="002442D1"/>
    <w:rsid w:val="00244A2F"/>
    <w:rsid w:val="00245464"/>
    <w:rsid w:val="00246AAE"/>
    <w:rsid w:val="00247101"/>
    <w:rsid w:val="00250899"/>
    <w:rsid w:val="0025351B"/>
    <w:rsid w:val="002560EB"/>
    <w:rsid w:val="00260DC2"/>
    <w:rsid w:val="002610D3"/>
    <w:rsid w:val="00264667"/>
    <w:rsid w:val="00265C5E"/>
    <w:rsid w:val="002666C3"/>
    <w:rsid w:val="00266E74"/>
    <w:rsid w:val="00266EF9"/>
    <w:rsid w:val="00267329"/>
    <w:rsid w:val="0027225E"/>
    <w:rsid w:val="00272735"/>
    <w:rsid w:val="00272959"/>
    <w:rsid w:val="00274461"/>
    <w:rsid w:val="002773D9"/>
    <w:rsid w:val="0028266D"/>
    <w:rsid w:val="00283A79"/>
    <w:rsid w:val="00283F45"/>
    <w:rsid w:val="0028405D"/>
    <w:rsid w:val="0028680F"/>
    <w:rsid w:val="00286DA4"/>
    <w:rsid w:val="0029098D"/>
    <w:rsid w:val="00290C5A"/>
    <w:rsid w:val="00294651"/>
    <w:rsid w:val="00294827"/>
    <w:rsid w:val="002978F5"/>
    <w:rsid w:val="002A1849"/>
    <w:rsid w:val="002A4156"/>
    <w:rsid w:val="002A4948"/>
    <w:rsid w:val="002A7BE9"/>
    <w:rsid w:val="002B191D"/>
    <w:rsid w:val="002B3347"/>
    <w:rsid w:val="002B349F"/>
    <w:rsid w:val="002B3B9D"/>
    <w:rsid w:val="002B6657"/>
    <w:rsid w:val="002B6949"/>
    <w:rsid w:val="002C102C"/>
    <w:rsid w:val="002C1A9D"/>
    <w:rsid w:val="002C1B45"/>
    <w:rsid w:val="002C4146"/>
    <w:rsid w:val="002C4A8F"/>
    <w:rsid w:val="002C5E8F"/>
    <w:rsid w:val="002C7B62"/>
    <w:rsid w:val="002D2C29"/>
    <w:rsid w:val="002D323E"/>
    <w:rsid w:val="002D4AA0"/>
    <w:rsid w:val="002D4BED"/>
    <w:rsid w:val="002D5D2C"/>
    <w:rsid w:val="002E03A7"/>
    <w:rsid w:val="002E21E1"/>
    <w:rsid w:val="002E5CB0"/>
    <w:rsid w:val="002E69F2"/>
    <w:rsid w:val="002E6D8C"/>
    <w:rsid w:val="002F1C4B"/>
    <w:rsid w:val="002F46A1"/>
    <w:rsid w:val="002F7463"/>
    <w:rsid w:val="002F762C"/>
    <w:rsid w:val="002F7BB7"/>
    <w:rsid w:val="002F7D6D"/>
    <w:rsid w:val="0030225A"/>
    <w:rsid w:val="00303365"/>
    <w:rsid w:val="00306051"/>
    <w:rsid w:val="00307058"/>
    <w:rsid w:val="00307188"/>
    <w:rsid w:val="003079FE"/>
    <w:rsid w:val="00310CE2"/>
    <w:rsid w:val="00311FE8"/>
    <w:rsid w:val="00312C8A"/>
    <w:rsid w:val="00313034"/>
    <w:rsid w:val="00313611"/>
    <w:rsid w:val="0031470D"/>
    <w:rsid w:val="00314CC7"/>
    <w:rsid w:val="00315D84"/>
    <w:rsid w:val="00316636"/>
    <w:rsid w:val="0031707D"/>
    <w:rsid w:val="00317D30"/>
    <w:rsid w:val="003222A8"/>
    <w:rsid w:val="0032301A"/>
    <w:rsid w:val="003245DC"/>
    <w:rsid w:val="003252B2"/>
    <w:rsid w:val="00326027"/>
    <w:rsid w:val="00327E09"/>
    <w:rsid w:val="00330277"/>
    <w:rsid w:val="00336536"/>
    <w:rsid w:val="00337702"/>
    <w:rsid w:val="00342541"/>
    <w:rsid w:val="003438F2"/>
    <w:rsid w:val="003445C8"/>
    <w:rsid w:val="00344934"/>
    <w:rsid w:val="00344AA9"/>
    <w:rsid w:val="00344E51"/>
    <w:rsid w:val="00351589"/>
    <w:rsid w:val="00352272"/>
    <w:rsid w:val="0035390B"/>
    <w:rsid w:val="0035391F"/>
    <w:rsid w:val="003539D5"/>
    <w:rsid w:val="00356478"/>
    <w:rsid w:val="003564BD"/>
    <w:rsid w:val="0035753A"/>
    <w:rsid w:val="00357DC5"/>
    <w:rsid w:val="00361302"/>
    <w:rsid w:val="003620D9"/>
    <w:rsid w:val="00362255"/>
    <w:rsid w:val="003623AF"/>
    <w:rsid w:val="00362E3E"/>
    <w:rsid w:val="003640CE"/>
    <w:rsid w:val="003642A7"/>
    <w:rsid w:val="00364822"/>
    <w:rsid w:val="00366DC4"/>
    <w:rsid w:val="003673AF"/>
    <w:rsid w:val="00370107"/>
    <w:rsid w:val="0037180E"/>
    <w:rsid w:val="003729E3"/>
    <w:rsid w:val="00372BBB"/>
    <w:rsid w:val="00372CED"/>
    <w:rsid w:val="0037399B"/>
    <w:rsid w:val="00380219"/>
    <w:rsid w:val="00381143"/>
    <w:rsid w:val="00382024"/>
    <w:rsid w:val="00383297"/>
    <w:rsid w:val="003846E9"/>
    <w:rsid w:val="003863A6"/>
    <w:rsid w:val="003906D0"/>
    <w:rsid w:val="00390966"/>
    <w:rsid w:val="00390C8D"/>
    <w:rsid w:val="00390FB9"/>
    <w:rsid w:val="00391B86"/>
    <w:rsid w:val="00392BE1"/>
    <w:rsid w:val="00392F4F"/>
    <w:rsid w:val="00394E42"/>
    <w:rsid w:val="0039561A"/>
    <w:rsid w:val="003963B2"/>
    <w:rsid w:val="003A3323"/>
    <w:rsid w:val="003A4187"/>
    <w:rsid w:val="003A431B"/>
    <w:rsid w:val="003A481D"/>
    <w:rsid w:val="003A486B"/>
    <w:rsid w:val="003A50D8"/>
    <w:rsid w:val="003A65A9"/>
    <w:rsid w:val="003A70F8"/>
    <w:rsid w:val="003A7319"/>
    <w:rsid w:val="003A79C8"/>
    <w:rsid w:val="003B06F8"/>
    <w:rsid w:val="003B0C05"/>
    <w:rsid w:val="003B0C4E"/>
    <w:rsid w:val="003B2BCF"/>
    <w:rsid w:val="003B2D62"/>
    <w:rsid w:val="003B2EAB"/>
    <w:rsid w:val="003B3285"/>
    <w:rsid w:val="003B3F5A"/>
    <w:rsid w:val="003B5F20"/>
    <w:rsid w:val="003B6323"/>
    <w:rsid w:val="003B68A1"/>
    <w:rsid w:val="003B789E"/>
    <w:rsid w:val="003C1FB3"/>
    <w:rsid w:val="003D1270"/>
    <w:rsid w:val="003D1C9F"/>
    <w:rsid w:val="003D23A2"/>
    <w:rsid w:val="003D312A"/>
    <w:rsid w:val="003D37A7"/>
    <w:rsid w:val="003D4260"/>
    <w:rsid w:val="003D5A07"/>
    <w:rsid w:val="003D6484"/>
    <w:rsid w:val="003D7FC7"/>
    <w:rsid w:val="003E3263"/>
    <w:rsid w:val="003E3317"/>
    <w:rsid w:val="003E3CFD"/>
    <w:rsid w:val="003E696B"/>
    <w:rsid w:val="003E7DB6"/>
    <w:rsid w:val="003F02F1"/>
    <w:rsid w:val="003F2483"/>
    <w:rsid w:val="003F373D"/>
    <w:rsid w:val="003F4502"/>
    <w:rsid w:val="003F5734"/>
    <w:rsid w:val="004016DD"/>
    <w:rsid w:val="0040329D"/>
    <w:rsid w:val="004040D8"/>
    <w:rsid w:val="00404E7E"/>
    <w:rsid w:val="0040633A"/>
    <w:rsid w:val="0040758E"/>
    <w:rsid w:val="00410149"/>
    <w:rsid w:val="004112ED"/>
    <w:rsid w:val="0041303D"/>
    <w:rsid w:val="004134F1"/>
    <w:rsid w:val="004141C8"/>
    <w:rsid w:val="0042009D"/>
    <w:rsid w:val="00420C98"/>
    <w:rsid w:val="00421FB1"/>
    <w:rsid w:val="00425F32"/>
    <w:rsid w:val="00427FFC"/>
    <w:rsid w:val="00432452"/>
    <w:rsid w:val="00433B9F"/>
    <w:rsid w:val="00433FE8"/>
    <w:rsid w:val="00435BB6"/>
    <w:rsid w:val="00436B88"/>
    <w:rsid w:val="004411A0"/>
    <w:rsid w:val="00444059"/>
    <w:rsid w:val="00444B3A"/>
    <w:rsid w:val="00446F04"/>
    <w:rsid w:val="00453B09"/>
    <w:rsid w:val="00453B5E"/>
    <w:rsid w:val="004546BE"/>
    <w:rsid w:val="00455E63"/>
    <w:rsid w:val="00455E70"/>
    <w:rsid w:val="004604CE"/>
    <w:rsid w:val="00460586"/>
    <w:rsid w:val="0046060B"/>
    <w:rsid w:val="00460B7F"/>
    <w:rsid w:val="00462895"/>
    <w:rsid w:val="00462B28"/>
    <w:rsid w:val="00470363"/>
    <w:rsid w:val="00471917"/>
    <w:rsid w:val="004743CF"/>
    <w:rsid w:val="00474D31"/>
    <w:rsid w:val="0047501D"/>
    <w:rsid w:val="0047562A"/>
    <w:rsid w:val="0047696B"/>
    <w:rsid w:val="00480A2D"/>
    <w:rsid w:val="00483ACB"/>
    <w:rsid w:val="00486135"/>
    <w:rsid w:val="00496D2F"/>
    <w:rsid w:val="00497051"/>
    <w:rsid w:val="004A2A25"/>
    <w:rsid w:val="004A2E34"/>
    <w:rsid w:val="004A3BA3"/>
    <w:rsid w:val="004A6230"/>
    <w:rsid w:val="004A67CF"/>
    <w:rsid w:val="004A6A78"/>
    <w:rsid w:val="004A78A3"/>
    <w:rsid w:val="004B3810"/>
    <w:rsid w:val="004B68B4"/>
    <w:rsid w:val="004B6F8D"/>
    <w:rsid w:val="004C3EAB"/>
    <w:rsid w:val="004C641E"/>
    <w:rsid w:val="004C7E66"/>
    <w:rsid w:val="004D02A5"/>
    <w:rsid w:val="004D031A"/>
    <w:rsid w:val="004D11F7"/>
    <w:rsid w:val="004D1AC1"/>
    <w:rsid w:val="004D65C3"/>
    <w:rsid w:val="004D6750"/>
    <w:rsid w:val="004D6F99"/>
    <w:rsid w:val="004D79F1"/>
    <w:rsid w:val="004E23D7"/>
    <w:rsid w:val="004E270A"/>
    <w:rsid w:val="004E4B38"/>
    <w:rsid w:val="004E56B6"/>
    <w:rsid w:val="004F09B9"/>
    <w:rsid w:val="004F1463"/>
    <w:rsid w:val="004F2253"/>
    <w:rsid w:val="004F229C"/>
    <w:rsid w:val="004F34D4"/>
    <w:rsid w:val="004F3712"/>
    <w:rsid w:val="004F3BDE"/>
    <w:rsid w:val="004F55F7"/>
    <w:rsid w:val="004F71FE"/>
    <w:rsid w:val="00502233"/>
    <w:rsid w:val="0050359E"/>
    <w:rsid w:val="00504DEE"/>
    <w:rsid w:val="00511647"/>
    <w:rsid w:val="00514359"/>
    <w:rsid w:val="00514F84"/>
    <w:rsid w:val="00515402"/>
    <w:rsid w:val="0052291B"/>
    <w:rsid w:val="00523BCA"/>
    <w:rsid w:val="005247C3"/>
    <w:rsid w:val="00525CC2"/>
    <w:rsid w:val="005266BF"/>
    <w:rsid w:val="00526FF0"/>
    <w:rsid w:val="00530A36"/>
    <w:rsid w:val="005310F7"/>
    <w:rsid w:val="0053157F"/>
    <w:rsid w:val="0053303C"/>
    <w:rsid w:val="005341A6"/>
    <w:rsid w:val="00540960"/>
    <w:rsid w:val="005410BF"/>
    <w:rsid w:val="00541E27"/>
    <w:rsid w:val="00542DB6"/>
    <w:rsid w:val="00545CE0"/>
    <w:rsid w:val="005463E6"/>
    <w:rsid w:val="0054668C"/>
    <w:rsid w:val="005470F2"/>
    <w:rsid w:val="00550949"/>
    <w:rsid w:val="0055151A"/>
    <w:rsid w:val="00552AC6"/>
    <w:rsid w:val="00552CFB"/>
    <w:rsid w:val="00555F2F"/>
    <w:rsid w:val="00557C38"/>
    <w:rsid w:val="00561DF2"/>
    <w:rsid w:val="00564E59"/>
    <w:rsid w:val="00567546"/>
    <w:rsid w:val="00567C9A"/>
    <w:rsid w:val="00574E41"/>
    <w:rsid w:val="00580EE8"/>
    <w:rsid w:val="00581F11"/>
    <w:rsid w:val="00582C65"/>
    <w:rsid w:val="0058740B"/>
    <w:rsid w:val="00591400"/>
    <w:rsid w:val="0059159A"/>
    <w:rsid w:val="00591B47"/>
    <w:rsid w:val="00593EB7"/>
    <w:rsid w:val="0059486A"/>
    <w:rsid w:val="005949C5"/>
    <w:rsid w:val="005952B6"/>
    <w:rsid w:val="005A04B0"/>
    <w:rsid w:val="005A64AA"/>
    <w:rsid w:val="005A746D"/>
    <w:rsid w:val="005B146F"/>
    <w:rsid w:val="005B1F70"/>
    <w:rsid w:val="005B3E33"/>
    <w:rsid w:val="005B4C26"/>
    <w:rsid w:val="005B5175"/>
    <w:rsid w:val="005B52F6"/>
    <w:rsid w:val="005B5F1D"/>
    <w:rsid w:val="005B7A00"/>
    <w:rsid w:val="005C15B7"/>
    <w:rsid w:val="005C25ED"/>
    <w:rsid w:val="005C25F3"/>
    <w:rsid w:val="005C27A1"/>
    <w:rsid w:val="005C411A"/>
    <w:rsid w:val="005C44D4"/>
    <w:rsid w:val="005C4FB6"/>
    <w:rsid w:val="005C6192"/>
    <w:rsid w:val="005C7CC9"/>
    <w:rsid w:val="005D1176"/>
    <w:rsid w:val="005D19DC"/>
    <w:rsid w:val="005D2541"/>
    <w:rsid w:val="005D6387"/>
    <w:rsid w:val="005D67E9"/>
    <w:rsid w:val="005E471E"/>
    <w:rsid w:val="005E5518"/>
    <w:rsid w:val="005E651F"/>
    <w:rsid w:val="005F04DB"/>
    <w:rsid w:val="005F077C"/>
    <w:rsid w:val="005F0B3A"/>
    <w:rsid w:val="005F4091"/>
    <w:rsid w:val="005F5479"/>
    <w:rsid w:val="006005D0"/>
    <w:rsid w:val="006028E3"/>
    <w:rsid w:val="00602E53"/>
    <w:rsid w:val="00604FE8"/>
    <w:rsid w:val="00605EE0"/>
    <w:rsid w:val="0061289E"/>
    <w:rsid w:val="00612E6C"/>
    <w:rsid w:val="00614FA9"/>
    <w:rsid w:val="00616550"/>
    <w:rsid w:val="00622904"/>
    <w:rsid w:val="00623C20"/>
    <w:rsid w:val="00624FE2"/>
    <w:rsid w:val="0063026C"/>
    <w:rsid w:val="006307E2"/>
    <w:rsid w:val="00630F90"/>
    <w:rsid w:val="00631730"/>
    <w:rsid w:val="0063176C"/>
    <w:rsid w:val="00632CBD"/>
    <w:rsid w:val="00634142"/>
    <w:rsid w:val="00636596"/>
    <w:rsid w:val="00637C44"/>
    <w:rsid w:val="00641950"/>
    <w:rsid w:val="00642AB1"/>
    <w:rsid w:val="00645506"/>
    <w:rsid w:val="006467BB"/>
    <w:rsid w:val="00647B98"/>
    <w:rsid w:val="00651914"/>
    <w:rsid w:val="00652AC1"/>
    <w:rsid w:val="0065622C"/>
    <w:rsid w:val="00656832"/>
    <w:rsid w:val="00657EE3"/>
    <w:rsid w:val="00660494"/>
    <w:rsid w:val="00660F6E"/>
    <w:rsid w:val="00660FC5"/>
    <w:rsid w:val="00661655"/>
    <w:rsid w:val="006618A6"/>
    <w:rsid w:val="00665AC9"/>
    <w:rsid w:val="0066661E"/>
    <w:rsid w:val="00670328"/>
    <w:rsid w:val="00671AC8"/>
    <w:rsid w:val="0067439F"/>
    <w:rsid w:val="00674BA7"/>
    <w:rsid w:val="00675901"/>
    <w:rsid w:val="00675A79"/>
    <w:rsid w:val="00680626"/>
    <w:rsid w:val="00685319"/>
    <w:rsid w:val="00686C40"/>
    <w:rsid w:val="00691938"/>
    <w:rsid w:val="00692BC2"/>
    <w:rsid w:val="006945AF"/>
    <w:rsid w:val="00695D1D"/>
    <w:rsid w:val="00696F70"/>
    <w:rsid w:val="00697D6B"/>
    <w:rsid w:val="006A01AB"/>
    <w:rsid w:val="006A06CE"/>
    <w:rsid w:val="006A1432"/>
    <w:rsid w:val="006A4E60"/>
    <w:rsid w:val="006A51DF"/>
    <w:rsid w:val="006A64A2"/>
    <w:rsid w:val="006B002C"/>
    <w:rsid w:val="006B256E"/>
    <w:rsid w:val="006B2FFB"/>
    <w:rsid w:val="006B423B"/>
    <w:rsid w:val="006B460A"/>
    <w:rsid w:val="006B5760"/>
    <w:rsid w:val="006C1F0E"/>
    <w:rsid w:val="006C230B"/>
    <w:rsid w:val="006C2758"/>
    <w:rsid w:val="006C2AAD"/>
    <w:rsid w:val="006C4B1E"/>
    <w:rsid w:val="006D021B"/>
    <w:rsid w:val="006D1546"/>
    <w:rsid w:val="006D19F8"/>
    <w:rsid w:val="006D2D1A"/>
    <w:rsid w:val="006D4F83"/>
    <w:rsid w:val="006E0C23"/>
    <w:rsid w:val="006E0ED4"/>
    <w:rsid w:val="006E0FC8"/>
    <w:rsid w:val="006E289E"/>
    <w:rsid w:val="006E42F5"/>
    <w:rsid w:val="006E444A"/>
    <w:rsid w:val="006E4987"/>
    <w:rsid w:val="006E58D0"/>
    <w:rsid w:val="006E79CD"/>
    <w:rsid w:val="006F1FFD"/>
    <w:rsid w:val="006F3B05"/>
    <w:rsid w:val="006F59E0"/>
    <w:rsid w:val="006F62EE"/>
    <w:rsid w:val="006F6F4A"/>
    <w:rsid w:val="00700DD0"/>
    <w:rsid w:val="007033BE"/>
    <w:rsid w:val="007038B2"/>
    <w:rsid w:val="007077D8"/>
    <w:rsid w:val="00707FC6"/>
    <w:rsid w:val="00710C22"/>
    <w:rsid w:val="00713415"/>
    <w:rsid w:val="0071569E"/>
    <w:rsid w:val="007163B4"/>
    <w:rsid w:val="00717993"/>
    <w:rsid w:val="00720F27"/>
    <w:rsid w:val="00725451"/>
    <w:rsid w:val="00726F38"/>
    <w:rsid w:val="0075209F"/>
    <w:rsid w:val="007524FE"/>
    <w:rsid w:val="00752B95"/>
    <w:rsid w:val="007537ED"/>
    <w:rsid w:val="00753CC0"/>
    <w:rsid w:val="00753F23"/>
    <w:rsid w:val="00754AF3"/>
    <w:rsid w:val="00757B20"/>
    <w:rsid w:val="007610B7"/>
    <w:rsid w:val="00764981"/>
    <w:rsid w:val="00765DC3"/>
    <w:rsid w:val="00765FDA"/>
    <w:rsid w:val="00766195"/>
    <w:rsid w:val="00766F6A"/>
    <w:rsid w:val="00772464"/>
    <w:rsid w:val="007725DC"/>
    <w:rsid w:val="00772989"/>
    <w:rsid w:val="007752F9"/>
    <w:rsid w:val="00775FAB"/>
    <w:rsid w:val="0077676B"/>
    <w:rsid w:val="00781A68"/>
    <w:rsid w:val="00781AE4"/>
    <w:rsid w:val="00781BA3"/>
    <w:rsid w:val="00781C23"/>
    <w:rsid w:val="0078234E"/>
    <w:rsid w:val="00786156"/>
    <w:rsid w:val="0078652A"/>
    <w:rsid w:val="007872FA"/>
    <w:rsid w:val="00790C83"/>
    <w:rsid w:val="00791A52"/>
    <w:rsid w:val="007926C1"/>
    <w:rsid w:val="007967E4"/>
    <w:rsid w:val="00796F73"/>
    <w:rsid w:val="007A13ED"/>
    <w:rsid w:val="007A4647"/>
    <w:rsid w:val="007A63CB"/>
    <w:rsid w:val="007A64F6"/>
    <w:rsid w:val="007B1498"/>
    <w:rsid w:val="007B1EC7"/>
    <w:rsid w:val="007B2FD7"/>
    <w:rsid w:val="007B3DBF"/>
    <w:rsid w:val="007B6226"/>
    <w:rsid w:val="007B6770"/>
    <w:rsid w:val="007B78BC"/>
    <w:rsid w:val="007C1367"/>
    <w:rsid w:val="007C27B7"/>
    <w:rsid w:val="007C2B3B"/>
    <w:rsid w:val="007C3950"/>
    <w:rsid w:val="007C57DD"/>
    <w:rsid w:val="007C609D"/>
    <w:rsid w:val="007C79C5"/>
    <w:rsid w:val="007D1479"/>
    <w:rsid w:val="007D3335"/>
    <w:rsid w:val="007D3408"/>
    <w:rsid w:val="007E034D"/>
    <w:rsid w:val="007E0AFF"/>
    <w:rsid w:val="007E1F98"/>
    <w:rsid w:val="007E246C"/>
    <w:rsid w:val="007E3B8A"/>
    <w:rsid w:val="007E3FC8"/>
    <w:rsid w:val="007E4290"/>
    <w:rsid w:val="007E4A6A"/>
    <w:rsid w:val="007E50AD"/>
    <w:rsid w:val="007E5744"/>
    <w:rsid w:val="007E5812"/>
    <w:rsid w:val="007E598A"/>
    <w:rsid w:val="007F18D2"/>
    <w:rsid w:val="007F1A99"/>
    <w:rsid w:val="007F1E2F"/>
    <w:rsid w:val="007F2CB8"/>
    <w:rsid w:val="007F710D"/>
    <w:rsid w:val="007F738A"/>
    <w:rsid w:val="007F7D96"/>
    <w:rsid w:val="00801340"/>
    <w:rsid w:val="00810E4E"/>
    <w:rsid w:val="00812770"/>
    <w:rsid w:val="00817084"/>
    <w:rsid w:val="00821C41"/>
    <w:rsid w:val="00821CD3"/>
    <w:rsid w:val="00821F8B"/>
    <w:rsid w:val="00822CCF"/>
    <w:rsid w:val="00826862"/>
    <w:rsid w:val="00826B49"/>
    <w:rsid w:val="00832C2B"/>
    <w:rsid w:val="00840ACE"/>
    <w:rsid w:val="00840D3F"/>
    <w:rsid w:val="0084175E"/>
    <w:rsid w:val="00841EBC"/>
    <w:rsid w:val="00844E40"/>
    <w:rsid w:val="00845202"/>
    <w:rsid w:val="00845D28"/>
    <w:rsid w:val="00847206"/>
    <w:rsid w:val="008475FE"/>
    <w:rsid w:val="00851A99"/>
    <w:rsid w:val="00851DC2"/>
    <w:rsid w:val="00852F50"/>
    <w:rsid w:val="00854F41"/>
    <w:rsid w:val="00860C15"/>
    <w:rsid w:val="00861649"/>
    <w:rsid w:val="008629FE"/>
    <w:rsid w:val="008660CE"/>
    <w:rsid w:val="0087053C"/>
    <w:rsid w:val="00870FDC"/>
    <w:rsid w:val="00871A70"/>
    <w:rsid w:val="008721FA"/>
    <w:rsid w:val="00872965"/>
    <w:rsid w:val="00872BB8"/>
    <w:rsid w:val="0087358A"/>
    <w:rsid w:val="00873A5F"/>
    <w:rsid w:val="00873BDF"/>
    <w:rsid w:val="00874774"/>
    <w:rsid w:val="00875426"/>
    <w:rsid w:val="00877918"/>
    <w:rsid w:val="00877953"/>
    <w:rsid w:val="00877C76"/>
    <w:rsid w:val="00880D6C"/>
    <w:rsid w:val="0088191E"/>
    <w:rsid w:val="00882220"/>
    <w:rsid w:val="00883EC4"/>
    <w:rsid w:val="00884561"/>
    <w:rsid w:val="00885979"/>
    <w:rsid w:val="00887F1F"/>
    <w:rsid w:val="008939D7"/>
    <w:rsid w:val="008940A3"/>
    <w:rsid w:val="00894AC9"/>
    <w:rsid w:val="008963DD"/>
    <w:rsid w:val="008A085F"/>
    <w:rsid w:val="008A1145"/>
    <w:rsid w:val="008A2267"/>
    <w:rsid w:val="008A3872"/>
    <w:rsid w:val="008A3D8F"/>
    <w:rsid w:val="008A5F77"/>
    <w:rsid w:val="008B0314"/>
    <w:rsid w:val="008B0894"/>
    <w:rsid w:val="008B08C1"/>
    <w:rsid w:val="008B09A2"/>
    <w:rsid w:val="008B0D3F"/>
    <w:rsid w:val="008B14CE"/>
    <w:rsid w:val="008B1D8C"/>
    <w:rsid w:val="008B321A"/>
    <w:rsid w:val="008B48E4"/>
    <w:rsid w:val="008B689A"/>
    <w:rsid w:val="008B752C"/>
    <w:rsid w:val="008C1058"/>
    <w:rsid w:val="008C10B2"/>
    <w:rsid w:val="008C1BB7"/>
    <w:rsid w:val="008C1D8B"/>
    <w:rsid w:val="008C1E9E"/>
    <w:rsid w:val="008C27D6"/>
    <w:rsid w:val="008C2D7A"/>
    <w:rsid w:val="008C56D6"/>
    <w:rsid w:val="008C6A6F"/>
    <w:rsid w:val="008C6C27"/>
    <w:rsid w:val="008D011F"/>
    <w:rsid w:val="008D0D74"/>
    <w:rsid w:val="008D1E4B"/>
    <w:rsid w:val="008D2972"/>
    <w:rsid w:val="008D3580"/>
    <w:rsid w:val="008D3988"/>
    <w:rsid w:val="008D3DBC"/>
    <w:rsid w:val="008E3047"/>
    <w:rsid w:val="008E5260"/>
    <w:rsid w:val="008E6927"/>
    <w:rsid w:val="008F1B41"/>
    <w:rsid w:val="008F3EB1"/>
    <w:rsid w:val="008F5361"/>
    <w:rsid w:val="00900080"/>
    <w:rsid w:val="00901A6F"/>
    <w:rsid w:val="00901FB8"/>
    <w:rsid w:val="00901FCA"/>
    <w:rsid w:val="00902956"/>
    <w:rsid w:val="00903369"/>
    <w:rsid w:val="00903B0C"/>
    <w:rsid w:val="00904F85"/>
    <w:rsid w:val="009055D4"/>
    <w:rsid w:val="009101DF"/>
    <w:rsid w:val="00910A9C"/>
    <w:rsid w:val="00912595"/>
    <w:rsid w:val="00912751"/>
    <w:rsid w:val="00912D4B"/>
    <w:rsid w:val="00912FA1"/>
    <w:rsid w:val="00913308"/>
    <w:rsid w:val="00915261"/>
    <w:rsid w:val="009174E9"/>
    <w:rsid w:val="00917986"/>
    <w:rsid w:val="009205FF"/>
    <w:rsid w:val="009216EC"/>
    <w:rsid w:val="00921D9B"/>
    <w:rsid w:val="00922D5A"/>
    <w:rsid w:val="009245FA"/>
    <w:rsid w:val="0092600A"/>
    <w:rsid w:val="00930174"/>
    <w:rsid w:val="009320E2"/>
    <w:rsid w:val="009322D1"/>
    <w:rsid w:val="00932A5B"/>
    <w:rsid w:val="009331A7"/>
    <w:rsid w:val="00933F31"/>
    <w:rsid w:val="0093784F"/>
    <w:rsid w:val="00937931"/>
    <w:rsid w:val="009379F2"/>
    <w:rsid w:val="0094000E"/>
    <w:rsid w:val="00940FEF"/>
    <w:rsid w:val="00941377"/>
    <w:rsid w:val="009427B3"/>
    <w:rsid w:val="00942E12"/>
    <w:rsid w:val="00943197"/>
    <w:rsid w:val="009436E9"/>
    <w:rsid w:val="0095067F"/>
    <w:rsid w:val="00950E92"/>
    <w:rsid w:val="00951081"/>
    <w:rsid w:val="009518B2"/>
    <w:rsid w:val="0095217B"/>
    <w:rsid w:val="00956C7A"/>
    <w:rsid w:val="00956CDE"/>
    <w:rsid w:val="009574F6"/>
    <w:rsid w:val="009602A8"/>
    <w:rsid w:val="009612E1"/>
    <w:rsid w:val="00961FF2"/>
    <w:rsid w:val="009621E4"/>
    <w:rsid w:val="0096379B"/>
    <w:rsid w:val="00964C5F"/>
    <w:rsid w:val="00964CDF"/>
    <w:rsid w:val="0096533B"/>
    <w:rsid w:val="009657E4"/>
    <w:rsid w:val="0097425E"/>
    <w:rsid w:val="00974439"/>
    <w:rsid w:val="009758C6"/>
    <w:rsid w:val="00976230"/>
    <w:rsid w:val="00981741"/>
    <w:rsid w:val="00982A78"/>
    <w:rsid w:val="00983F8C"/>
    <w:rsid w:val="00985642"/>
    <w:rsid w:val="00986566"/>
    <w:rsid w:val="009870E6"/>
    <w:rsid w:val="00987AC5"/>
    <w:rsid w:val="00990252"/>
    <w:rsid w:val="00990392"/>
    <w:rsid w:val="00990AB3"/>
    <w:rsid w:val="00990FB1"/>
    <w:rsid w:val="00992B0B"/>
    <w:rsid w:val="009932E6"/>
    <w:rsid w:val="00993D53"/>
    <w:rsid w:val="00994377"/>
    <w:rsid w:val="0099508F"/>
    <w:rsid w:val="00995DB7"/>
    <w:rsid w:val="00996138"/>
    <w:rsid w:val="009964DB"/>
    <w:rsid w:val="009A02CF"/>
    <w:rsid w:val="009A176F"/>
    <w:rsid w:val="009A26F1"/>
    <w:rsid w:val="009A3D8C"/>
    <w:rsid w:val="009A5862"/>
    <w:rsid w:val="009A7887"/>
    <w:rsid w:val="009B0E87"/>
    <w:rsid w:val="009B4F7A"/>
    <w:rsid w:val="009B5B63"/>
    <w:rsid w:val="009B620D"/>
    <w:rsid w:val="009B6B0B"/>
    <w:rsid w:val="009C1A30"/>
    <w:rsid w:val="009C1AD5"/>
    <w:rsid w:val="009C2ED5"/>
    <w:rsid w:val="009C3FEC"/>
    <w:rsid w:val="009C48A7"/>
    <w:rsid w:val="009C53A1"/>
    <w:rsid w:val="009D0107"/>
    <w:rsid w:val="009D0FE9"/>
    <w:rsid w:val="009D1C96"/>
    <w:rsid w:val="009D344E"/>
    <w:rsid w:val="009D3941"/>
    <w:rsid w:val="009D4DDC"/>
    <w:rsid w:val="009E31E5"/>
    <w:rsid w:val="009E4944"/>
    <w:rsid w:val="009E77FA"/>
    <w:rsid w:val="009F0528"/>
    <w:rsid w:val="009F06AA"/>
    <w:rsid w:val="009F2310"/>
    <w:rsid w:val="009F366C"/>
    <w:rsid w:val="009F4409"/>
    <w:rsid w:val="009F4431"/>
    <w:rsid w:val="00A00258"/>
    <w:rsid w:val="00A03135"/>
    <w:rsid w:val="00A03F7D"/>
    <w:rsid w:val="00A06396"/>
    <w:rsid w:val="00A07C80"/>
    <w:rsid w:val="00A10AA5"/>
    <w:rsid w:val="00A10FD8"/>
    <w:rsid w:val="00A117DA"/>
    <w:rsid w:val="00A139B4"/>
    <w:rsid w:val="00A13DE9"/>
    <w:rsid w:val="00A146FC"/>
    <w:rsid w:val="00A17A38"/>
    <w:rsid w:val="00A200E1"/>
    <w:rsid w:val="00A20545"/>
    <w:rsid w:val="00A20DF2"/>
    <w:rsid w:val="00A22978"/>
    <w:rsid w:val="00A23C02"/>
    <w:rsid w:val="00A24039"/>
    <w:rsid w:val="00A240C1"/>
    <w:rsid w:val="00A256E7"/>
    <w:rsid w:val="00A300C1"/>
    <w:rsid w:val="00A31001"/>
    <w:rsid w:val="00A31CCB"/>
    <w:rsid w:val="00A34CEA"/>
    <w:rsid w:val="00A36642"/>
    <w:rsid w:val="00A3713D"/>
    <w:rsid w:val="00A37396"/>
    <w:rsid w:val="00A4137E"/>
    <w:rsid w:val="00A423E3"/>
    <w:rsid w:val="00A4315C"/>
    <w:rsid w:val="00A43806"/>
    <w:rsid w:val="00A43E50"/>
    <w:rsid w:val="00A43E8B"/>
    <w:rsid w:val="00A4483D"/>
    <w:rsid w:val="00A4572C"/>
    <w:rsid w:val="00A4643A"/>
    <w:rsid w:val="00A5258D"/>
    <w:rsid w:val="00A537DA"/>
    <w:rsid w:val="00A54666"/>
    <w:rsid w:val="00A54B1D"/>
    <w:rsid w:val="00A55D07"/>
    <w:rsid w:val="00A55DA1"/>
    <w:rsid w:val="00A62EFD"/>
    <w:rsid w:val="00A665C8"/>
    <w:rsid w:val="00A66DFB"/>
    <w:rsid w:val="00A670DC"/>
    <w:rsid w:val="00A700AA"/>
    <w:rsid w:val="00A70A84"/>
    <w:rsid w:val="00A71103"/>
    <w:rsid w:val="00A7262D"/>
    <w:rsid w:val="00A729E0"/>
    <w:rsid w:val="00A75592"/>
    <w:rsid w:val="00A76BD0"/>
    <w:rsid w:val="00A828F7"/>
    <w:rsid w:val="00A839EB"/>
    <w:rsid w:val="00A84554"/>
    <w:rsid w:val="00A856DE"/>
    <w:rsid w:val="00A86157"/>
    <w:rsid w:val="00A86C68"/>
    <w:rsid w:val="00A87025"/>
    <w:rsid w:val="00A870F0"/>
    <w:rsid w:val="00A87992"/>
    <w:rsid w:val="00A91C15"/>
    <w:rsid w:val="00A92065"/>
    <w:rsid w:val="00A92901"/>
    <w:rsid w:val="00A955C2"/>
    <w:rsid w:val="00AA0CDA"/>
    <w:rsid w:val="00AA11D7"/>
    <w:rsid w:val="00AA1A92"/>
    <w:rsid w:val="00AA5017"/>
    <w:rsid w:val="00AA51B9"/>
    <w:rsid w:val="00AA5346"/>
    <w:rsid w:val="00AA6C12"/>
    <w:rsid w:val="00AB2FAD"/>
    <w:rsid w:val="00AB3D75"/>
    <w:rsid w:val="00AB45F9"/>
    <w:rsid w:val="00AC1232"/>
    <w:rsid w:val="00AC2666"/>
    <w:rsid w:val="00AC26C2"/>
    <w:rsid w:val="00AC5142"/>
    <w:rsid w:val="00AC539A"/>
    <w:rsid w:val="00AC5615"/>
    <w:rsid w:val="00AC5FEB"/>
    <w:rsid w:val="00AC64FF"/>
    <w:rsid w:val="00AC6C8A"/>
    <w:rsid w:val="00AC6D15"/>
    <w:rsid w:val="00AC6FEA"/>
    <w:rsid w:val="00AC7107"/>
    <w:rsid w:val="00AC7271"/>
    <w:rsid w:val="00AD2132"/>
    <w:rsid w:val="00AD2DDF"/>
    <w:rsid w:val="00AD4294"/>
    <w:rsid w:val="00AD768B"/>
    <w:rsid w:val="00AE00E9"/>
    <w:rsid w:val="00AE3D34"/>
    <w:rsid w:val="00AE59D9"/>
    <w:rsid w:val="00AE7523"/>
    <w:rsid w:val="00AF08F7"/>
    <w:rsid w:val="00AF0989"/>
    <w:rsid w:val="00AF0B12"/>
    <w:rsid w:val="00AF11DF"/>
    <w:rsid w:val="00AF1B43"/>
    <w:rsid w:val="00AF6DD1"/>
    <w:rsid w:val="00AF6F9D"/>
    <w:rsid w:val="00B02364"/>
    <w:rsid w:val="00B023E9"/>
    <w:rsid w:val="00B05358"/>
    <w:rsid w:val="00B05473"/>
    <w:rsid w:val="00B05594"/>
    <w:rsid w:val="00B0638A"/>
    <w:rsid w:val="00B119AE"/>
    <w:rsid w:val="00B12A30"/>
    <w:rsid w:val="00B13001"/>
    <w:rsid w:val="00B13258"/>
    <w:rsid w:val="00B143E7"/>
    <w:rsid w:val="00B15405"/>
    <w:rsid w:val="00B15B48"/>
    <w:rsid w:val="00B21439"/>
    <w:rsid w:val="00B21966"/>
    <w:rsid w:val="00B2461E"/>
    <w:rsid w:val="00B26477"/>
    <w:rsid w:val="00B328CD"/>
    <w:rsid w:val="00B32B43"/>
    <w:rsid w:val="00B33725"/>
    <w:rsid w:val="00B35DD9"/>
    <w:rsid w:val="00B3752F"/>
    <w:rsid w:val="00B40898"/>
    <w:rsid w:val="00B41949"/>
    <w:rsid w:val="00B42AC0"/>
    <w:rsid w:val="00B434DC"/>
    <w:rsid w:val="00B4530C"/>
    <w:rsid w:val="00B45B1E"/>
    <w:rsid w:val="00B521DE"/>
    <w:rsid w:val="00B52C83"/>
    <w:rsid w:val="00B52CA4"/>
    <w:rsid w:val="00B53092"/>
    <w:rsid w:val="00B57028"/>
    <w:rsid w:val="00B572E3"/>
    <w:rsid w:val="00B57B22"/>
    <w:rsid w:val="00B60B6D"/>
    <w:rsid w:val="00B60E60"/>
    <w:rsid w:val="00B71843"/>
    <w:rsid w:val="00B73942"/>
    <w:rsid w:val="00B73973"/>
    <w:rsid w:val="00B7580E"/>
    <w:rsid w:val="00B76BDC"/>
    <w:rsid w:val="00B774CE"/>
    <w:rsid w:val="00B7788C"/>
    <w:rsid w:val="00B77E84"/>
    <w:rsid w:val="00B80401"/>
    <w:rsid w:val="00B80E4E"/>
    <w:rsid w:val="00B80F5D"/>
    <w:rsid w:val="00B82E40"/>
    <w:rsid w:val="00B874BE"/>
    <w:rsid w:val="00B903EA"/>
    <w:rsid w:val="00B9399E"/>
    <w:rsid w:val="00B93AF0"/>
    <w:rsid w:val="00B952E7"/>
    <w:rsid w:val="00BA1C24"/>
    <w:rsid w:val="00BA222F"/>
    <w:rsid w:val="00BA3021"/>
    <w:rsid w:val="00BA31F3"/>
    <w:rsid w:val="00BA35CA"/>
    <w:rsid w:val="00BA4A3A"/>
    <w:rsid w:val="00BA72F7"/>
    <w:rsid w:val="00BB01C5"/>
    <w:rsid w:val="00BB031F"/>
    <w:rsid w:val="00BB0B49"/>
    <w:rsid w:val="00BB1235"/>
    <w:rsid w:val="00BB3514"/>
    <w:rsid w:val="00BB5DD2"/>
    <w:rsid w:val="00BB6058"/>
    <w:rsid w:val="00BB72BD"/>
    <w:rsid w:val="00BB7BE3"/>
    <w:rsid w:val="00BC0DDC"/>
    <w:rsid w:val="00BC1DE5"/>
    <w:rsid w:val="00BC53EE"/>
    <w:rsid w:val="00BC7017"/>
    <w:rsid w:val="00BD0462"/>
    <w:rsid w:val="00BD2D57"/>
    <w:rsid w:val="00BD4759"/>
    <w:rsid w:val="00BD5032"/>
    <w:rsid w:val="00BD6D9D"/>
    <w:rsid w:val="00BE1034"/>
    <w:rsid w:val="00BE1EB9"/>
    <w:rsid w:val="00BE2548"/>
    <w:rsid w:val="00BE3767"/>
    <w:rsid w:val="00BE398D"/>
    <w:rsid w:val="00BE61B3"/>
    <w:rsid w:val="00BE620F"/>
    <w:rsid w:val="00BE7769"/>
    <w:rsid w:val="00BF2339"/>
    <w:rsid w:val="00BF27F5"/>
    <w:rsid w:val="00BF4724"/>
    <w:rsid w:val="00BF5438"/>
    <w:rsid w:val="00C00102"/>
    <w:rsid w:val="00C010DA"/>
    <w:rsid w:val="00C01440"/>
    <w:rsid w:val="00C02B18"/>
    <w:rsid w:val="00C038E7"/>
    <w:rsid w:val="00C0408B"/>
    <w:rsid w:val="00C06D77"/>
    <w:rsid w:val="00C12F24"/>
    <w:rsid w:val="00C20B90"/>
    <w:rsid w:val="00C2177F"/>
    <w:rsid w:val="00C21DA7"/>
    <w:rsid w:val="00C24D46"/>
    <w:rsid w:val="00C25A73"/>
    <w:rsid w:val="00C26569"/>
    <w:rsid w:val="00C26D5A"/>
    <w:rsid w:val="00C26D89"/>
    <w:rsid w:val="00C3345E"/>
    <w:rsid w:val="00C3410A"/>
    <w:rsid w:val="00C34743"/>
    <w:rsid w:val="00C36443"/>
    <w:rsid w:val="00C37AF6"/>
    <w:rsid w:val="00C4335A"/>
    <w:rsid w:val="00C46045"/>
    <w:rsid w:val="00C4613F"/>
    <w:rsid w:val="00C46CA0"/>
    <w:rsid w:val="00C501E3"/>
    <w:rsid w:val="00C560B7"/>
    <w:rsid w:val="00C60F55"/>
    <w:rsid w:val="00C634EB"/>
    <w:rsid w:val="00C64301"/>
    <w:rsid w:val="00C65C7C"/>
    <w:rsid w:val="00C70800"/>
    <w:rsid w:val="00C72467"/>
    <w:rsid w:val="00C7486D"/>
    <w:rsid w:val="00C766E5"/>
    <w:rsid w:val="00C77483"/>
    <w:rsid w:val="00C77573"/>
    <w:rsid w:val="00C775A1"/>
    <w:rsid w:val="00C82984"/>
    <w:rsid w:val="00C829CD"/>
    <w:rsid w:val="00C851E2"/>
    <w:rsid w:val="00C87A4E"/>
    <w:rsid w:val="00C9178D"/>
    <w:rsid w:val="00C94704"/>
    <w:rsid w:val="00C9545A"/>
    <w:rsid w:val="00C95475"/>
    <w:rsid w:val="00C95D7F"/>
    <w:rsid w:val="00C96D6D"/>
    <w:rsid w:val="00CA084B"/>
    <w:rsid w:val="00CA0A9F"/>
    <w:rsid w:val="00CA104C"/>
    <w:rsid w:val="00CA10A6"/>
    <w:rsid w:val="00CA117A"/>
    <w:rsid w:val="00CA31D4"/>
    <w:rsid w:val="00CA3683"/>
    <w:rsid w:val="00CA5971"/>
    <w:rsid w:val="00CA6B37"/>
    <w:rsid w:val="00CA7021"/>
    <w:rsid w:val="00CB24DB"/>
    <w:rsid w:val="00CB4319"/>
    <w:rsid w:val="00CB7EA4"/>
    <w:rsid w:val="00CC0E1B"/>
    <w:rsid w:val="00CC20FA"/>
    <w:rsid w:val="00CC2DD7"/>
    <w:rsid w:val="00CC30AA"/>
    <w:rsid w:val="00CC4D02"/>
    <w:rsid w:val="00CD2BA3"/>
    <w:rsid w:val="00CD420B"/>
    <w:rsid w:val="00CD494C"/>
    <w:rsid w:val="00CD5984"/>
    <w:rsid w:val="00CE0611"/>
    <w:rsid w:val="00CF0490"/>
    <w:rsid w:val="00CF053C"/>
    <w:rsid w:val="00CF16AA"/>
    <w:rsid w:val="00CF1C22"/>
    <w:rsid w:val="00CF28B9"/>
    <w:rsid w:val="00CF2E1D"/>
    <w:rsid w:val="00CF3EB6"/>
    <w:rsid w:val="00CF5E92"/>
    <w:rsid w:val="00CF64CA"/>
    <w:rsid w:val="00CF6CF2"/>
    <w:rsid w:val="00D00FE7"/>
    <w:rsid w:val="00D02099"/>
    <w:rsid w:val="00D035D0"/>
    <w:rsid w:val="00D03EC3"/>
    <w:rsid w:val="00D054F0"/>
    <w:rsid w:val="00D058D2"/>
    <w:rsid w:val="00D065C4"/>
    <w:rsid w:val="00D113C8"/>
    <w:rsid w:val="00D11F5D"/>
    <w:rsid w:val="00D123C5"/>
    <w:rsid w:val="00D12529"/>
    <w:rsid w:val="00D15C1F"/>
    <w:rsid w:val="00D15EE2"/>
    <w:rsid w:val="00D1713F"/>
    <w:rsid w:val="00D219A5"/>
    <w:rsid w:val="00D22349"/>
    <w:rsid w:val="00D23D6F"/>
    <w:rsid w:val="00D27467"/>
    <w:rsid w:val="00D32568"/>
    <w:rsid w:val="00D32EBB"/>
    <w:rsid w:val="00D354FB"/>
    <w:rsid w:val="00D35855"/>
    <w:rsid w:val="00D36B40"/>
    <w:rsid w:val="00D40138"/>
    <w:rsid w:val="00D402D8"/>
    <w:rsid w:val="00D4072D"/>
    <w:rsid w:val="00D41E42"/>
    <w:rsid w:val="00D42704"/>
    <w:rsid w:val="00D47167"/>
    <w:rsid w:val="00D50A3F"/>
    <w:rsid w:val="00D529B3"/>
    <w:rsid w:val="00D53106"/>
    <w:rsid w:val="00D53952"/>
    <w:rsid w:val="00D54CCF"/>
    <w:rsid w:val="00D57657"/>
    <w:rsid w:val="00D57937"/>
    <w:rsid w:val="00D604C2"/>
    <w:rsid w:val="00D6175D"/>
    <w:rsid w:val="00D61876"/>
    <w:rsid w:val="00D62C88"/>
    <w:rsid w:val="00D67B29"/>
    <w:rsid w:val="00D7219D"/>
    <w:rsid w:val="00D72FD1"/>
    <w:rsid w:val="00D734BB"/>
    <w:rsid w:val="00D741E0"/>
    <w:rsid w:val="00D74F98"/>
    <w:rsid w:val="00D75181"/>
    <w:rsid w:val="00D7645C"/>
    <w:rsid w:val="00D7722F"/>
    <w:rsid w:val="00D80E4D"/>
    <w:rsid w:val="00D81349"/>
    <w:rsid w:val="00D82457"/>
    <w:rsid w:val="00D82C71"/>
    <w:rsid w:val="00D83A3B"/>
    <w:rsid w:val="00D83EEB"/>
    <w:rsid w:val="00D83F0A"/>
    <w:rsid w:val="00D84951"/>
    <w:rsid w:val="00D84F89"/>
    <w:rsid w:val="00D8562E"/>
    <w:rsid w:val="00D873D0"/>
    <w:rsid w:val="00D90A95"/>
    <w:rsid w:val="00D9212E"/>
    <w:rsid w:val="00D92592"/>
    <w:rsid w:val="00D93F9E"/>
    <w:rsid w:val="00DA1B0A"/>
    <w:rsid w:val="00DA29E6"/>
    <w:rsid w:val="00DA51AB"/>
    <w:rsid w:val="00DB3557"/>
    <w:rsid w:val="00DB3609"/>
    <w:rsid w:val="00DB3AED"/>
    <w:rsid w:val="00DB579A"/>
    <w:rsid w:val="00DC4981"/>
    <w:rsid w:val="00DC5E1C"/>
    <w:rsid w:val="00DD35EE"/>
    <w:rsid w:val="00DD5188"/>
    <w:rsid w:val="00DD7AD8"/>
    <w:rsid w:val="00DD7F7D"/>
    <w:rsid w:val="00DE050C"/>
    <w:rsid w:val="00DE081B"/>
    <w:rsid w:val="00DE1649"/>
    <w:rsid w:val="00DF0513"/>
    <w:rsid w:val="00DF1A59"/>
    <w:rsid w:val="00DF46B3"/>
    <w:rsid w:val="00DF4706"/>
    <w:rsid w:val="00DF724D"/>
    <w:rsid w:val="00E00B6D"/>
    <w:rsid w:val="00E00F6F"/>
    <w:rsid w:val="00E01890"/>
    <w:rsid w:val="00E01F1D"/>
    <w:rsid w:val="00E0426F"/>
    <w:rsid w:val="00E05CC3"/>
    <w:rsid w:val="00E06B73"/>
    <w:rsid w:val="00E07BAE"/>
    <w:rsid w:val="00E10F69"/>
    <w:rsid w:val="00E1128E"/>
    <w:rsid w:val="00E14E55"/>
    <w:rsid w:val="00E16A70"/>
    <w:rsid w:val="00E2030C"/>
    <w:rsid w:val="00E2408C"/>
    <w:rsid w:val="00E253B2"/>
    <w:rsid w:val="00E26A0F"/>
    <w:rsid w:val="00E278BF"/>
    <w:rsid w:val="00E317D8"/>
    <w:rsid w:val="00E37774"/>
    <w:rsid w:val="00E42EFA"/>
    <w:rsid w:val="00E44243"/>
    <w:rsid w:val="00E502A9"/>
    <w:rsid w:val="00E52098"/>
    <w:rsid w:val="00E53A47"/>
    <w:rsid w:val="00E557A0"/>
    <w:rsid w:val="00E567A1"/>
    <w:rsid w:val="00E5697F"/>
    <w:rsid w:val="00E56DAA"/>
    <w:rsid w:val="00E603D6"/>
    <w:rsid w:val="00E6153A"/>
    <w:rsid w:val="00E6288C"/>
    <w:rsid w:val="00E62B1C"/>
    <w:rsid w:val="00E62DC6"/>
    <w:rsid w:val="00E6570D"/>
    <w:rsid w:val="00E65735"/>
    <w:rsid w:val="00E70EE4"/>
    <w:rsid w:val="00E71010"/>
    <w:rsid w:val="00E73753"/>
    <w:rsid w:val="00E758B7"/>
    <w:rsid w:val="00E76B3E"/>
    <w:rsid w:val="00E80B43"/>
    <w:rsid w:val="00E823BC"/>
    <w:rsid w:val="00E82EF6"/>
    <w:rsid w:val="00E8388C"/>
    <w:rsid w:val="00E8489F"/>
    <w:rsid w:val="00E87107"/>
    <w:rsid w:val="00E92104"/>
    <w:rsid w:val="00E95DB9"/>
    <w:rsid w:val="00EA0E20"/>
    <w:rsid w:val="00EA2AE7"/>
    <w:rsid w:val="00EA3B49"/>
    <w:rsid w:val="00EA40A8"/>
    <w:rsid w:val="00EA5556"/>
    <w:rsid w:val="00EA604B"/>
    <w:rsid w:val="00EA6ACC"/>
    <w:rsid w:val="00EA7435"/>
    <w:rsid w:val="00EA76CE"/>
    <w:rsid w:val="00EB0449"/>
    <w:rsid w:val="00EB06C7"/>
    <w:rsid w:val="00EB10AB"/>
    <w:rsid w:val="00EB19D1"/>
    <w:rsid w:val="00EB29C0"/>
    <w:rsid w:val="00EB33D3"/>
    <w:rsid w:val="00EB366E"/>
    <w:rsid w:val="00EB39D2"/>
    <w:rsid w:val="00EB4FDE"/>
    <w:rsid w:val="00EB6051"/>
    <w:rsid w:val="00EB6159"/>
    <w:rsid w:val="00EB717D"/>
    <w:rsid w:val="00EB7252"/>
    <w:rsid w:val="00EC0280"/>
    <w:rsid w:val="00EC0321"/>
    <w:rsid w:val="00EC15D0"/>
    <w:rsid w:val="00EC24AF"/>
    <w:rsid w:val="00EC2943"/>
    <w:rsid w:val="00ED04C6"/>
    <w:rsid w:val="00ED2DFF"/>
    <w:rsid w:val="00ED3F2A"/>
    <w:rsid w:val="00ED50D9"/>
    <w:rsid w:val="00ED56D7"/>
    <w:rsid w:val="00ED62A5"/>
    <w:rsid w:val="00ED6451"/>
    <w:rsid w:val="00ED6EDE"/>
    <w:rsid w:val="00EE1035"/>
    <w:rsid w:val="00EE1101"/>
    <w:rsid w:val="00EE29BE"/>
    <w:rsid w:val="00EE2F61"/>
    <w:rsid w:val="00EE30B5"/>
    <w:rsid w:val="00EE4B08"/>
    <w:rsid w:val="00EE622C"/>
    <w:rsid w:val="00EE6704"/>
    <w:rsid w:val="00EF1E44"/>
    <w:rsid w:val="00EF1F10"/>
    <w:rsid w:val="00EF1F71"/>
    <w:rsid w:val="00EF4606"/>
    <w:rsid w:val="00EF4724"/>
    <w:rsid w:val="00EF554F"/>
    <w:rsid w:val="00EF5674"/>
    <w:rsid w:val="00EF66DD"/>
    <w:rsid w:val="00EF77E7"/>
    <w:rsid w:val="00F007F9"/>
    <w:rsid w:val="00F00BFD"/>
    <w:rsid w:val="00F01969"/>
    <w:rsid w:val="00F01F63"/>
    <w:rsid w:val="00F040D1"/>
    <w:rsid w:val="00F048D0"/>
    <w:rsid w:val="00F07033"/>
    <w:rsid w:val="00F11ACF"/>
    <w:rsid w:val="00F11CA5"/>
    <w:rsid w:val="00F139FB"/>
    <w:rsid w:val="00F1428A"/>
    <w:rsid w:val="00F14A91"/>
    <w:rsid w:val="00F15C8E"/>
    <w:rsid w:val="00F2154A"/>
    <w:rsid w:val="00F22C32"/>
    <w:rsid w:val="00F24697"/>
    <w:rsid w:val="00F25EEC"/>
    <w:rsid w:val="00F26261"/>
    <w:rsid w:val="00F30DEC"/>
    <w:rsid w:val="00F313D8"/>
    <w:rsid w:val="00F31A53"/>
    <w:rsid w:val="00F31D2C"/>
    <w:rsid w:val="00F33421"/>
    <w:rsid w:val="00F34CFB"/>
    <w:rsid w:val="00F354CA"/>
    <w:rsid w:val="00F35A54"/>
    <w:rsid w:val="00F36435"/>
    <w:rsid w:val="00F37F09"/>
    <w:rsid w:val="00F42D18"/>
    <w:rsid w:val="00F45736"/>
    <w:rsid w:val="00F46EAC"/>
    <w:rsid w:val="00F47F0D"/>
    <w:rsid w:val="00F556DB"/>
    <w:rsid w:val="00F57722"/>
    <w:rsid w:val="00F57FD4"/>
    <w:rsid w:val="00F60201"/>
    <w:rsid w:val="00F60467"/>
    <w:rsid w:val="00F61543"/>
    <w:rsid w:val="00F622EB"/>
    <w:rsid w:val="00F632F1"/>
    <w:rsid w:val="00F65AE4"/>
    <w:rsid w:val="00F67C5B"/>
    <w:rsid w:val="00F67F54"/>
    <w:rsid w:val="00F71FC6"/>
    <w:rsid w:val="00F75D5F"/>
    <w:rsid w:val="00F77298"/>
    <w:rsid w:val="00F805F5"/>
    <w:rsid w:val="00F80911"/>
    <w:rsid w:val="00F80F85"/>
    <w:rsid w:val="00F8118E"/>
    <w:rsid w:val="00F817D7"/>
    <w:rsid w:val="00F830A6"/>
    <w:rsid w:val="00F853C1"/>
    <w:rsid w:val="00F86087"/>
    <w:rsid w:val="00F9046B"/>
    <w:rsid w:val="00F907A2"/>
    <w:rsid w:val="00F910BD"/>
    <w:rsid w:val="00F9436B"/>
    <w:rsid w:val="00F9441D"/>
    <w:rsid w:val="00F976AE"/>
    <w:rsid w:val="00F97872"/>
    <w:rsid w:val="00FA0120"/>
    <w:rsid w:val="00FA3362"/>
    <w:rsid w:val="00FA5ED6"/>
    <w:rsid w:val="00FA6B83"/>
    <w:rsid w:val="00FB6D71"/>
    <w:rsid w:val="00FC0247"/>
    <w:rsid w:val="00FC068F"/>
    <w:rsid w:val="00FC08F1"/>
    <w:rsid w:val="00FC17FC"/>
    <w:rsid w:val="00FC3225"/>
    <w:rsid w:val="00FC4780"/>
    <w:rsid w:val="00FC4D9F"/>
    <w:rsid w:val="00FD18D6"/>
    <w:rsid w:val="00FD261D"/>
    <w:rsid w:val="00FD34F0"/>
    <w:rsid w:val="00FD3FF0"/>
    <w:rsid w:val="00FD5AB9"/>
    <w:rsid w:val="00FD5D67"/>
    <w:rsid w:val="00FD7DFB"/>
    <w:rsid w:val="00FE5109"/>
    <w:rsid w:val="00FE66B0"/>
    <w:rsid w:val="00FE78D7"/>
    <w:rsid w:val="00FF262F"/>
    <w:rsid w:val="00FF3692"/>
    <w:rsid w:val="00FF3A96"/>
    <w:rsid w:val="00FF4C78"/>
    <w:rsid w:val="00FF4EE1"/>
    <w:rsid w:val="00FF6234"/>
    <w:rsid w:val="00FF6DD4"/>
    <w:rsid w:val="00FF71C3"/>
    <w:rsid w:val="020E11E6"/>
    <w:rsid w:val="065C6B62"/>
    <w:rsid w:val="0771024E"/>
    <w:rsid w:val="0AFE12FF"/>
    <w:rsid w:val="0AFF91E6"/>
    <w:rsid w:val="0B4B0C9E"/>
    <w:rsid w:val="0B7CB990"/>
    <w:rsid w:val="0BFEB2F6"/>
    <w:rsid w:val="0CFDD9E6"/>
    <w:rsid w:val="0D23E675"/>
    <w:rsid w:val="0E4D9A94"/>
    <w:rsid w:val="0EF7C1C2"/>
    <w:rsid w:val="0F4E7BC0"/>
    <w:rsid w:val="0F636167"/>
    <w:rsid w:val="0F96F61B"/>
    <w:rsid w:val="0FBFED8B"/>
    <w:rsid w:val="0FDF0ED9"/>
    <w:rsid w:val="0FFDDD20"/>
    <w:rsid w:val="0FFF2C0A"/>
    <w:rsid w:val="13BF519C"/>
    <w:rsid w:val="13D7CAD2"/>
    <w:rsid w:val="155E3F5E"/>
    <w:rsid w:val="165FEDBE"/>
    <w:rsid w:val="16DB8003"/>
    <w:rsid w:val="1735B99D"/>
    <w:rsid w:val="173FC345"/>
    <w:rsid w:val="177404EF"/>
    <w:rsid w:val="17829F43"/>
    <w:rsid w:val="17BCD9FE"/>
    <w:rsid w:val="17BF468B"/>
    <w:rsid w:val="19F03947"/>
    <w:rsid w:val="1AFDD583"/>
    <w:rsid w:val="1BD63FFD"/>
    <w:rsid w:val="1BE97A4E"/>
    <w:rsid w:val="1BEF0A1F"/>
    <w:rsid w:val="1CDF88DF"/>
    <w:rsid w:val="1CEE6488"/>
    <w:rsid w:val="1DDCE8DB"/>
    <w:rsid w:val="1DFB460E"/>
    <w:rsid w:val="1DFB8C1C"/>
    <w:rsid w:val="1E7F5AEE"/>
    <w:rsid w:val="1EED5E62"/>
    <w:rsid w:val="1EEF7854"/>
    <w:rsid w:val="1EFC6660"/>
    <w:rsid w:val="1F2FBE51"/>
    <w:rsid w:val="1F352CFC"/>
    <w:rsid w:val="1F5DFBA3"/>
    <w:rsid w:val="1F6C494D"/>
    <w:rsid w:val="1F7E23EB"/>
    <w:rsid w:val="1F973095"/>
    <w:rsid w:val="1F97DCCA"/>
    <w:rsid w:val="1FAB45EE"/>
    <w:rsid w:val="1FED0729"/>
    <w:rsid w:val="1FEFD535"/>
    <w:rsid w:val="1FF4C379"/>
    <w:rsid w:val="1FF69E40"/>
    <w:rsid w:val="1FFCE1C8"/>
    <w:rsid w:val="1FFEE15F"/>
    <w:rsid w:val="1FFF69FC"/>
    <w:rsid w:val="22FEFA23"/>
    <w:rsid w:val="239E6F4A"/>
    <w:rsid w:val="23D9F968"/>
    <w:rsid w:val="23F272AD"/>
    <w:rsid w:val="253DAB64"/>
    <w:rsid w:val="257F2202"/>
    <w:rsid w:val="25EF13E4"/>
    <w:rsid w:val="25FAE169"/>
    <w:rsid w:val="27AF9A16"/>
    <w:rsid w:val="27B8EF96"/>
    <w:rsid w:val="27E7B8F8"/>
    <w:rsid w:val="27EFEE7A"/>
    <w:rsid w:val="27F5EC4B"/>
    <w:rsid w:val="29EE6FC1"/>
    <w:rsid w:val="29F3D867"/>
    <w:rsid w:val="29FBC142"/>
    <w:rsid w:val="2A8950BD"/>
    <w:rsid w:val="2AFA5F51"/>
    <w:rsid w:val="2B7A0187"/>
    <w:rsid w:val="2BAFE6AC"/>
    <w:rsid w:val="2BBCB520"/>
    <w:rsid w:val="2BBD07C3"/>
    <w:rsid w:val="2BBF1D84"/>
    <w:rsid w:val="2BDF0D65"/>
    <w:rsid w:val="2BE7EEC1"/>
    <w:rsid w:val="2DEFF206"/>
    <w:rsid w:val="2DF5FD4A"/>
    <w:rsid w:val="2E65651B"/>
    <w:rsid w:val="2E8E3216"/>
    <w:rsid w:val="2EBDA81F"/>
    <w:rsid w:val="2EBF6ECF"/>
    <w:rsid w:val="2EDD0644"/>
    <w:rsid w:val="2EFBB3B1"/>
    <w:rsid w:val="2EFE26F9"/>
    <w:rsid w:val="2EFF8EE9"/>
    <w:rsid w:val="2EFFB251"/>
    <w:rsid w:val="2F03A304"/>
    <w:rsid w:val="2F4FE77A"/>
    <w:rsid w:val="2F75609A"/>
    <w:rsid w:val="2F767E72"/>
    <w:rsid w:val="2F776962"/>
    <w:rsid w:val="2F97A1A9"/>
    <w:rsid w:val="2F9C4A3B"/>
    <w:rsid w:val="2FBB0C3E"/>
    <w:rsid w:val="2FDB53F4"/>
    <w:rsid w:val="2FDE65BF"/>
    <w:rsid w:val="2FDF5D34"/>
    <w:rsid w:val="2FE3CCF9"/>
    <w:rsid w:val="2FE4B3EE"/>
    <w:rsid w:val="2FF6AB16"/>
    <w:rsid w:val="2FF7083D"/>
    <w:rsid w:val="2FFB0E14"/>
    <w:rsid w:val="2FFBBA1A"/>
    <w:rsid w:val="2FFF06EF"/>
    <w:rsid w:val="2FFF6613"/>
    <w:rsid w:val="312BAA42"/>
    <w:rsid w:val="31CE68EC"/>
    <w:rsid w:val="31F77DA4"/>
    <w:rsid w:val="31F7D309"/>
    <w:rsid w:val="31FA9A80"/>
    <w:rsid w:val="32BEC442"/>
    <w:rsid w:val="32BF6FAB"/>
    <w:rsid w:val="32ED0E5B"/>
    <w:rsid w:val="333B932B"/>
    <w:rsid w:val="337D5BE1"/>
    <w:rsid w:val="33EDC175"/>
    <w:rsid w:val="34BBCECE"/>
    <w:rsid w:val="354B900F"/>
    <w:rsid w:val="35AFCDAF"/>
    <w:rsid w:val="35BA77BC"/>
    <w:rsid w:val="35E6B11F"/>
    <w:rsid w:val="35ECABE4"/>
    <w:rsid w:val="35EF2937"/>
    <w:rsid w:val="35F12801"/>
    <w:rsid w:val="36D37562"/>
    <w:rsid w:val="36DF6260"/>
    <w:rsid w:val="36E6A7FC"/>
    <w:rsid w:val="36FFEC69"/>
    <w:rsid w:val="371DFAE7"/>
    <w:rsid w:val="375E91D9"/>
    <w:rsid w:val="37787173"/>
    <w:rsid w:val="377E8A55"/>
    <w:rsid w:val="377FE400"/>
    <w:rsid w:val="37BC8A28"/>
    <w:rsid w:val="37C6132A"/>
    <w:rsid w:val="37DFC686"/>
    <w:rsid w:val="37EF4736"/>
    <w:rsid w:val="37FB8740"/>
    <w:rsid w:val="37FE1497"/>
    <w:rsid w:val="37FF3168"/>
    <w:rsid w:val="38FA8013"/>
    <w:rsid w:val="399D3DC6"/>
    <w:rsid w:val="399DBFFE"/>
    <w:rsid w:val="39B61C91"/>
    <w:rsid w:val="39ED4BB0"/>
    <w:rsid w:val="39FE42F9"/>
    <w:rsid w:val="3A5E16DE"/>
    <w:rsid w:val="3A7F8ECB"/>
    <w:rsid w:val="3A7FE1C9"/>
    <w:rsid w:val="3AF01D8A"/>
    <w:rsid w:val="3AF5436F"/>
    <w:rsid w:val="3AFB6003"/>
    <w:rsid w:val="3B2BE574"/>
    <w:rsid w:val="3B2D9A92"/>
    <w:rsid w:val="3B5FB4E2"/>
    <w:rsid w:val="3B7626D9"/>
    <w:rsid w:val="3B7D476C"/>
    <w:rsid w:val="3BCF73B6"/>
    <w:rsid w:val="3BDE5C10"/>
    <w:rsid w:val="3BE9B686"/>
    <w:rsid w:val="3BEF073B"/>
    <w:rsid w:val="3BF776C2"/>
    <w:rsid w:val="3BFFDDAA"/>
    <w:rsid w:val="3C3DCA51"/>
    <w:rsid w:val="3C4B903D"/>
    <w:rsid w:val="3C70F5E6"/>
    <w:rsid w:val="3CDEA0C1"/>
    <w:rsid w:val="3CE93546"/>
    <w:rsid w:val="3CFA9E6E"/>
    <w:rsid w:val="3D2FCB2F"/>
    <w:rsid w:val="3D3D82D1"/>
    <w:rsid w:val="3D3EF836"/>
    <w:rsid w:val="3D7F3AAF"/>
    <w:rsid w:val="3DAE544C"/>
    <w:rsid w:val="3DAED0E7"/>
    <w:rsid w:val="3DAFCAD4"/>
    <w:rsid w:val="3DC60302"/>
    <w:rsid w:val="3DF70475"/>
    <w:rsid w:val="3DFF0B97"/>
    <w:rsid w:val="3E15094C"/>
    <w:rsid w:val="3E3F9670"/>
    <w:rsid w:val="3E576E22"/>
    <w:rsid w:val="3E6E2EBC"/>
    <w:rsid w:val="3EA39A0C"/>
    <w:rsid w:val="3EBCB303"/>
    <w:rsid w:val="3EBF5E17"/>
    <w:rsid w:val="3ED3D86D"/>
    <w:rsid w:val="3EE941FB"/>
    <w:rsid w:val="3EEF4438"/>
    <w:rsid w:val="3EF5B379"/>
    <w:rsid w:val="3EF9D257"/>
    <w:rsid w:val="3EFE165B"/>
    <w:rsid w:val="3EFE5FDE"/>
    <w:rsid w:val="3F38F861"/>
    <w:rsid w:val="3F4DC388"/>
    <w:rsid w:val="3F4F05D3"/>
    <w:rsid w:val="3F5A04D8"/>
    <w:rsid w:val="3F673600"/>
    <w:rsid w:val="3F6B0544"/>
    <w:rsid w:val="3F6D69F7"/>
    <w:rsid w:val="3F755187"/>
    <w:rsid w:val="3F77DBEA"/>
    <w:rsid w:val="3F7B46C7"/>
    <w:rsid w:val="3F7D6962"/>
    <w:rsid w:val="3F7DA068"/>
    <w:rsid w:val="3F7FA98B"/>
    <w:rsid w:val="3F9D1810"/>
    <w:rsid w:val="3FAA3611"/>
    <w:rsid w:val="3FAFABD0"/>
    <w:rsid w:val="3FB58708"/>
    <w:rsid w:val="3FBF38E9"/>
    <w:rsid w:val="3FBF6075"/>
    <w:rsid w:val="3FBF8735"/>
    <w:rsid w:val="3FCD905A"/>
    <w:rsid w:val="3FCF7181"/>
    <w:rsid w:val="3FD588F4"/>
    <w:rsid w:val="3FD6812F"/>
    <w:rsid w:val="3FDF0CD7"/>
    <w:rsid w:val="3FE3231F"/>
    <w:rsid w:val="3FE7E255"/>
    <w:rsid w:val="3FEF56D8"/>
    <w:rsid w:val="3FF378CF"/>
    <w:rsid w:val="3FF40BC0"/>
    <w:rsid w:val="3FF509E1"/>
    <w:rsid w:val="3FF56155"/>
    <w:rsid w:val="3FF625F4"/>
    <w:rsid w:val="3FF63006"/>
    <w:rsid w:val="3FF7B10D"/>
    <w:rsid w:val="3FF92F30"/>
    <w:rsid w:val="3FFD22AC"/>
    <w:rsid w:val="3FFD393A"/>
    <w:rsid w:val="3FFEB434"/>
    <w:rsid w:val="3FFEDCFE"/>
    <w:rsid w:val="3FFF05A0"/>
    <w:rsid w:val="3FFF32CA"/>
    <w:rsid w:val="3FFF392C"/>
    <w:rsid w:val="3FFF51EB"/>
    <w:rsid w:val="3FFF59B8"/>
    <w:rsid w:val="3FFF95F7"/>
    <w:rsid w:val="3FFF9A83"/>
    <w:rsid w:val="3FFFC829"/>
    <w:rsid w:val="41DDD16B"/>
    <w:rsid w:val="42F219DA"/>
    <w:rsid w:val="43DFCC8F"/>
    <w:rsid w:val="43FB8600"/>
    <w:rsid w:val="45E984A4"/>
    <w:rsid w:val="45FDD3CB"/>
    <w:rsid w:val="45FFD262"/>
    <w:rsid w:val="47AFE590"/>
    <w:rsid w:val="47EBEA1C"/>
    <w:rsid w:val="48F8A11F"/>
    <w:rsid w:val="4A6BA04B"/>
    <w:rsid w:val="4AE7B8DE"/>
    <w:rsid w:val="4AF53FD2"/>
    <w:rsid w:val="4BB9972E"/>
    <w:rsid w:val="4BBF91FB"/>
    <w:rsid w:val="4BFFE80A"/>
    <w:rsid w:val="4C7FA480"/>
    <w:rsid w:val="4CE7DCC8"/>
    <w:rsid w:val="4DDDA071"/>
    <w:rsid w:val="4DED14AB"/>
    <w:rsid w:val="4DF3C65D"/>
    <w:rsid w:val="4DFBF1DF"/>
    <w:rsid w:val="4DFEE92F"/>
    <w:rsid w:val="4ED5023A"/>
    <w:rsid w:val="4EDD47D8"/>
    <w:rsid w:val="4EF830E5"/>
    <w:rsid w:val="4EFB76C8"/>
    <w:rsid w:val="4EFBB2F2"/>
    <w:rsid w:val="4EFE4B24"/>
    <w:rsid w:val="4F2E962C"/>
    <w:rsid w:val="4F37CDE5"/>
    <w:rsid w:val="4F3FEC07"/>
    <w:rsid w:val="4F6FDE80"/>
    <w:rsid w:val="4F78AC81"/>
    <w:rsid w:val="4FA14F8B"/>
    <w:rsid w:val="4FB753E0"/>
    <w:rsid w:val="4FBFDA9B"/>
    <w:rsid w:val="4FDF817F"/>
    <w:rsid w:val="4FEF086C"/>
    <w:rsid w:val="4FEF7955"/>
    <w:rsid w:val="4FEFE78C"/>
    <w:rsid w:val="4FF95D3F"/>
    <w:rsid w:val="4FFE2519"/>
    <w:rsid w:val="4FFF1C80"/>
    <w:rsid w:val="50FEC18F"/>
    <w:rsid w:val="513D4FFF"/>
    <w:rsid w:val="519FCB11"/>
    <w:rsid w:val="51A27738"/>
    <w:rsid w:val="51FB794C"/>
    <w:rsid w:val="52BFB076"/>
    <w:rsid w:val="52F7A1E2"/>
    <w:rsid w:val="535F0AC1"/>
    <w:rsid w:val="537FDCAD"/>
    <w:rsid w:val="53DD127D"/>
    <w:rsid w:val="53DD28E2"/>
    <w:rsid w:val="53DE128F"/>
    <w:rsid w:val="53E77AC0"/>
    <w:rsid w:val="53EFEFA7"/>
    <w:rsid w:val="53F52884"/>
    <w:rsid w:val="53FFD53E"/>
    <w:rsid w:val="54D39AED"/>
    <w:rsid w:val="54DDB05E"/>
    <w:rsid w:val="54EFDD9C"/>
    <w:rsid w:val="54FF4600"/>
    <w:rsid w:val="553B0F28"/>
    <w:rsid w:val="55BF7A33"/>
    <w:rsid w:val="55DF7629"/>
    <w:rsid w:val="55EE3EDF"/>
    <w:rsid w:val="55EFECEA"/>
    <w:rsid w:val="56ABDE7B"/>
    <w:rsid w:val="56BFA5A4"/>
    <w:rsid w:val="56F92EDC"/>
    <w:rsid w:val="56FE3DA0"/>
    <w:rsid w:val="575E8BE7"/>
    <w:rsid w:val="576F2FE3"/>
    <w:rsid w:val="576F82EA"/>
    <w:rsid w:val="57ADFD9F"/>
    <w:rsid w:val="57BD1B06"/>
    <w:rsid w:val="57BD5B1E"/>
    <w:rsid w:val="57D68140"/>
    <w:rsid w:val="57DBFD11"/>
    <w:rsid w:val="57FBFA17"/>
    <w:rsid w:val="57FC79B9"/>
    <w:rsid w:val="57FDE3FB"/>
    <w:rsid w:val="57FE6282"/>
    <w:rsid w:val="57FF7A59"/>
    <w:rsid w:val="583B6F32"/>
    <w:rsid w:val="59FF1844"/>
    <w:rsid w:val="59FF54DA"/>
    <w:rsid w:val="5A7EE0AA"/>
    <w:rsid w:val="5AFF0570"/>
    <w:rsid w:val="5B0F833B"/>
    <w:rsid w:val="5B51A09E"/>
    <w:rsid w:val="5B78D963"/>
    <w:rsid w:val="5B7BBBBC"/>
    <w:rsid w:val="5B7F06C5"/>
    <w:rsid w:val="5B8FF752"/>
    <w:rsid w:val="5BB5ADE7"/>
    <w:rsid w:val="5BD15342"/>
    <w:rsid w:val="5BF647B5"/>
    <w:rsid w:val="5BFB6092"/>
    <w:rsid w:val="5BFBE7F2"/>
    <w:rsid w:val="5BFDD836"/>
    <w:rsid w:val="5BFF066A"/>
    <w:rsid w:val="5BFF954A"/>
    <w:rsid w:val="5CFBBB0F"/>
    <w:rsid w:val="5D57822F"/>
    <w:rsid w:val="5D6729E9"/>
    <w:rsid w:val="5D6E44CD"/>
    <w:rsid w:val="5D6F6CB2"/>
    <w:rsid w:val="5D9FCD9A"/>
    <w:rsid w:val="5DB7A3B7"/>
    <w:rsid w:val="5DD76CB9"/>
    <w:rsid w:val="5DD9C72F"/>
    <w:rsid w:val="5DE72463"/>
    <w:rsid w:val="5DE7926B"/>
    <w:rsid w:val="5DFB00C8"/>
    <w:rsid w:val="5DFDBFD0"/>
    <w:rsid w:val="5DFF943F"/>
    <w:rsid w:val="5DFFA43D"/>
    <w:rsid w:val="5DFFC8EE"/>
    <w:rsid w:val="5E5E4FDF"/>
    <w:rsid w:val="5E5F98D7"/>
    <w:rsid w:val="5E8E5CDE"/>
    <w:rsid w:val="5E9F5AD7"/>
    <w:rsid w:val="5E9F8C45"/>
    <w:rsid w:val="5EBD9763"/>
    <w:rsid w:val="5EBE0C34"/>
    <w:rsid w:val="5EDC9243"/>
    <w:rsid w:val="5EDDF13D"/>
    <w:rsid w:val="5EDF2FF3"/>
    <w:rsid w:val="5EDF82A4"/>
    <w:rsid w:val="5EE79DD8"/>
    <w:rsid w:val="5EED53E9"/>
    <w:rsid w:val="5EFF12EB"/>
    <w:rsid w:val="5EFFC3AB"/>
    <w:rsid w:val="5F1DAD5D"/>
    <w:rsid w:val="5F310C3D"/>
    <w:rsid w:val="5F3793EA"/>
    <w:rsid w:val="5F76980B"/>
    <w:rsid w:val="5F7BE676"/>
    <w:rsid w:val="5F7D054C"/>
    <w:rsid w:val="5F7E4D11"/>
    <w:rsid w:val="5F83220C"/>
    <w:rsid w:val="5FAF1C5E"/>
    <w:rsid w:val="5FB6A1BE"/>
    <w:rsid w:val="5FB97E7F"/>
    <w:rsid w:val="5FBB0C8D"/>
    <w:rsid w:val="5FBC2EDE"/>
    <w:rsid w:val="5FBEAED4"/>
    <w:rsid w:val="5FBF37E6"/>
    <w:rsid w:val="5FBFB956"/>
    <w:rsid w:val="5FCF5346"/>
    <w:rsid w:val="5FDFE536"/>
    <w:rsid w:val="5FDFF85A"/>
    <w:rsid w:val="5FE40881"/>
    <w:rsid w:val="5FE4A62C"/>
    <w:rsid w:val="5FE67E7B"/>
    <w:rsid w:val="5FE796C4"/>
    <w:rsid w:val="5FECE5EB"/>
    <w:rsid w:val="5FEE5A2F"/>
    <w:rsid w:val="5FEE95F6"/>
    <w:rsid w:val="5FEF4A38"/>
    <w:rsid w:val="5FEF8DB6"/>
    <w:rsid w:val="5FEFAD5F"/>
    <w:rsid w:val="5FEFEC12"/>
    <w:rsid w:val="5FF39BE1"/>
    <w:rsid w:val="5FF53FF1"/>
    <w:rsid w:val="5FF72C51"/>
    <w:rsid w:val="5FFAD6A5"/>
    <w:rsid w:val="5FFB08AF"/>
    <w:rsid w:val="5FFB2864"/>
    <w:rsid w:val="5FFB411A"/>
    <w:rsid w:val="5FFB999F"/>
    <w:rsid w:val="5FFB9A4D"/>
    <w:rsid w:val="5FFBA99D"/>
    <w:rsid w:val="5FFE137E"/>
    <w:rsid w:val="5FFEAB96"/>
    <w:rsid w:val="5FFF7C5C"/>
    <w:rsid w:val="5FFF8684"/>
    <w:rsid w:val="5FFFE72F"/>
    <w:rsid w:val="62FD641D"/>
    <w:rsid w:val="637FC5D9"/>
    <w:rsid w:val="63D72440"/>
    <w:rsid w:val="63ED29C4"/>
    <w:rsid w:val="63F979EF"/>
    <w:rsid w:val="63FF2B41"/>
    <w:rsid w:val="64E5BE3B"/>
    <w:rsid w:val="656F31C0"/>
    <w:rsid w:val="657F9B82"/>
    <w:rsid w:val="658F22DB"/>
    <w:rsid w:val="65BF63CA"/>
    <w:rsid w:val="65F66ADB"/>
    <w:rsid w:val="65FFB7FF"/>
    <w:rsid w:val="65FFFFB6"/>
    <w:rsid w:val="66EE0397"/>
    <w:rsid w:val="66EE26DB"/>
    <w:rsid w:val="673BE439"/>
    <w:rsid w:val="677C3702"/>
    <w:rsid w:val="677F2AC0"/>
    <w:rsid w:val="677F5A22"/>
    <w:rsid w:val="679F5B78"/>
    <w:rsid w:val="67AEE152"/>
    <w:rsid w:val="67C81147"/>
    <w:rsid w:val="67D79205"/>
    <w:rsid w:val="67E12E5B"/>
    <w:rsid w:val="67F35D01"/>
    <w:rsid w:val="67F76F3C"/>
    <w:rsid w:val="67FBFE30"/>
    <w:rsid w:val="67FF1B96"/>
    <w:rsid w:val="67FF56FC"/>
    <w:rsid w:val="67FFB713"/>
    <w:rsid w:val="68EFA0AA"/>
    <w:rsid w:val="695EF7DE"/>
    <w:rsid w:val="69BDC8CB"/>
    <w:rsid w:val="69C9AEA1"/>
    <w:rsid w:val="69CA7D4A"/>
    <w:rsid w:val="6A47572E"/>
    <w:rsid w:val="6AEB9004"/>
    <w:rsid w:val="6AEDC3D1"/>
    <w:rsid w:val="6AFB637A"/>
    <w:rsid w:val="6B170D14"/>
    <w:rsid w:val="6BB98C6D"/>
    <w:rsid w:val="6BCC7F6A"/>
    <w:rsid w:val="6BD94025"/>
    <w:rsid w:val="6BDEDA2F"/>
    <w:rsid w:val="6BE33896"/>
    <w:rsid w:val="6BE60DF6"/>
    <w:rsid w:val="6BE9ACE5"/>
    <w:rsid w:val="6BEDD3ED"/>
    <w:rsid w:val="6BEE6DB3"/>
    <w:rsid w:val="6BEF053C"/>
    <w:rsid w:val="6BF7BBF9"/>
    <w:rsid w:val="6BF91F3A"/>
    <w:rsid w:val="6BF9B938"/>
    <w:rsid w:val="6BFB7258"/>
    <w:rsid w:val="6BFDC935"/>
    <w:rsid w:val="6BFE12AE"/>
    <w:rsid w:val="6BFEF6CD"/>
    <w:rsid w:val="6BFF8E37"/>
    <w:rsid w:val="6BFFC46E"/>
    <w:rsid w:val="6BFFD5D3"/>
    <w:rsid w:val="6C7BC7D6"/>
    <w:rsid w:val="6CAF560B"/>
    <w:rsid w:val="6CEACEAC"/>
    <w:rsid w:val="6CFD404D"/>
    <w:rsid w:val="6D3C3CBF"/>
    <w:rsid w:val="6DD730CF"/>
    <w:rsid w:val="6DE5412F"/>
    <w:rsid w:val="6DEFD099"/>
    <w:rsid w:val="6DF14BD0"/>
    <w:rsid w:val="6DF69D2A"/>
    <w:rsid w:val="6DF74894"/>
    <w:rsid w:val="6E37B3FA"/>
    <w:rsid w:val="6E395575"/>
    <w:rsid w:val="6E5C8AC8"/>
    <w:rsid w:val="6E773AC6"/>
    <w:rsid w:val="6E7A352D"/>
    <w:rsid w:val="6ED52E7D"/>
    <w:rsid w:val="6ED729FB"/>
    <w:rsid w:val="6ED8161F"/>
    <w:rsid w:val="6EDB8B79"/>
    <w:rsid w:val="6EEF33CD"/>
    <w:rsid w:val="6EF31B0C"/>
    <w:rsid w:val="6EF7F367"/>
    <w:rsid w:val="6EFBE524"/>
    <w:rsid w:val="6EFD8D09"/>
    <w:rsid w:val="6EFEE04B"/>
    <w:rsid w:val="6EFEEB28"/>
    <w:rsid w:val="6EFF0949"/>
    <w:rsid w:val="6EFF0FA1"/>
    <w:rsid w:val="6EFFD7C7"/>
    <w:rsid w:val="6F07484F"/>
    <w:rsid w:val="6F26FD35"/>
    <w:rsid w:val="6F292EE3"/>
    <w:rsid w:val="6F3FC9B7"/>
    <w:rsid w:val="6F5DF33D"/>
    <w:rsid w:val="6F6AD780"/>
    <w:rsid w:val="6F6B53D3"/>
    <w:rsid w:val="6F6FFA4B"/>
    <w:rsid w:val="6F79B22C"/>
    <w:rsid w:val="6F7F184B"/>
    <w:rsid w:val="6F9F07BE"/>
    <w:rsid w:val="6FA38ED0"/>
    <w:rsid w:val="6FA876BB"/>
    <w:rsid w:val="6FB39ED4"/>
    <w:rsid w:val="6FBAA293"/>
    <w:rsid w:val="6FBACDA8"/>
    <w:rsid w:val="6FBBB365"/>
    <w:rsid w:val="6FBBF07E"/>
    <w:rsid w:val="6FBD5813"/>
    <w:rsid w:val="6FBE1148"/>
    <w:rsid w:val="6FBF50D0"/>
    <w:rsid w:val="6FCF0233"/>
    <w:rsid w:val="6FDC3FB6"/>
    <w:rsid w:val="6FDD7D16"/>
    <w:rsid w:val="6FDEA5A2"/>
    <w:rsid w:val="6FDEAFFD"/>
    <w:rsid w:val="6FDFE26C"/>
    <w:rsid w:val="6FE3F4F9"/>
    <w:rsid w:val="6FE54BC0"/>
    <w:rsid w:val="6FE71526"/>
    <w:rsid w:val="6FE86CFC"/>
    <w:rsid w:val="6FEAF337"/>
    <w:rsid w:val="6FEE35FD"/>
    <w:rsid w:val="6FEEDD13"/>
    <w:rsid w:val="6FF3023B"/>
    <w:rsid w:val="6FF32B9A"/>
    <w:rsid w:val="6FF38F46"/>
    <w:rsid w:val="6FF5ED6B"/>
    <w:rsid w:val="6FF8E99A"/>
    <w:rsid w:val="6FFB2061"/>
    <w:rsid w:val="6FFD7B94"/>
    <w:rsid w:val="6FFDD34F"/>
    <w:rsid w:val="6FFE8252"/>
    <w:rsid w:val="6FFF553C"/>
    <w:rsid w:val="6FFF5D59"/>
    <w:rsid w:val="6FFFB674"/>
    <w:rsid w:val="6FFFEEF1"/>
    <w:rsid w:val="70AFA2DB"/>
    <w:rsid w:val="70CED6E9"/>
    <w:rsid w:val="716B3EE0"/>
    <w:rsid w:val="71FD027D"/>
    <w:rsid w:val="71FD0DB8"/>
    <w:rsid w:val="71FE5A84"/>
    <w:rsid w:val="71FF9154"/>
    <w:rsid w:val="725B1BBC"/>
    <w:rsid w:val="72BFFA3E"/>
    <w:rsid w:val="72EC7EAD"/>
    <w:rsid w:val="72EFB67C"/>
    <w:rsid w:val="72F4F815"/>
    <w:rsid w:val="72FFB14A"/>
    <w:rsid w:val="7333B681"/>
    <w:rsid w:val="733B051E"/>
    <w:rsid w:val="735FF275"/>
    <w:rsid w:val="737A0627"/>
    <w:rsid w:val="73A42D4D"/>
    <w:rsid w:val="73AFCF4D"/>
    <w:rsid w:val="73B78474"/>
    <w:rsid w:val="73BF31CD"/>
    <w:rsid w:val="73BF7717"/>
    <w:rsid w:val="73BF91A9"/>
    <w:rsid w:val="73DBB86A"/>
    <w:rsid w:val="73DD7918"/>
    <w:rsid w:val="73EF9A39"/>
    <w:rsid w:val="73F730E9"/>
    <w:rsid w:val="73F746D5"/>
    <w:rsid w:val="73FEF11B"/>
    <w:rsid w:val="73FF1F52"/>
    <w:rsid w:val="745E9D82"/>
    <w:rsid w:val="74FD4AE8"/>
    <w:rsid w:val="753F3039"/>
    <w:rsid w:val="7559B6BC"/>
    <w:rsid w:val="757FC72F"/>
    <w:rsid w:val="757FDC71"/>
    <w:rsid w:val="75B79E5F"/>
    <w:rsid w:val="75BE2C86"/>
    <w:rsid w:val="75CF34D5"/>
    <w:rsid w:val="75DFD0B2"/>
    <w:rsid w:val="75EFD95B"/>
    <w:rsid w:val="75F2F9DD"/>
    <w:rsid w:val="75F725DF"/>
    <w:rsid w:val="7637DC8D"/>
    <w:rsid w:val="76472B2D"/>
    <w:rsid w:val="766FF86C"/>
    <w:rsid w:val="76774F97"/>
    <w:rsid w:val="767D8F6B"/>
    <w:rsid w:val="76ADAB52"/>
    <w:rsid w:val="76BBE299"/>
    <w:rsid w:val="76BD780F"/>
    <w:rsid w:val="76EE35A4"/>
    <w:rsid w:val="76EEB8BF"/>
    <w:rsid w:val="76F79A93"/>
    <w:rsid w:val="76FD150B"/>
    <w:rsid w:val="76FE507C"/>
    <w:rsid w:val="76FE5F80"/>
    <w:rsid w:val="76FE6358"/>
    <w:rsid w:val="76FF4222"/>
    <w:rsid w:val="771FD42E"/>
    <w:rsid w:val="772C03B2"/>
    <w:rsid w:val="772FC372"/>
    <w:rsid w:val="773EACF5"/>
    <w:rsid w:val="7749DC13"/>
    <w:rsid w:val="774BB1CC"/>
    <w:rsid w:val="774E1AB1"/>
    <w:rsid w:val="7759FE4B"/>
    <w:rsid w:val="775ED4B0"/>
    <w:rsid w:val="77665C88"/>
    <w:rsid w:val="7766E60B"/>
    <w:rsid w:val="7775CEEE"/>
    <w:rsid w:val="7777ABD1"/>
    <w:rsid w:val="77788678"/>
    <w:rsid w:val="777D0AE1"/>
    <w:rsid w:val="777EA866"/>
    <w:rsid w:val="777FD0D9"/>
    <w:rsid w:val="778FB29D"/>
    <w:rsid w:val="779BD36D"/>
    <w:rsid w:val="779D899B"/>
    <w:rsid w:val="779E0022"/>
    <w:rsid w:val="77AF2F47"/>
    <w:rsid w:val="77B3AC9F"/>
    <w:rsid w:val="77B8056A"/>
    <w:rsid w:val="77BD042C"/>
    <w:rsid w:val="77BE19EC"/>
    <w:rsid w:val="77BF0233"/>
    <w:rsid w:val="77BF507A"/>
    <w:rsid w:val="77BFCA20"/>
    <w:rsid w:val="77CB3F26"/>
    <w:rsid w:val="77CC60AC"/>
    <w:rsid w:val="77D709EA"/>
    <w:rsid w:val="77DBED6B"/>
    <w:rsid w:val="77DEF5A8"/>
    <w:rsid w:val="77E6B5C6"/>
    <w:rsid w:val="77E7CA4C"/>
    <w:rsid w:val="77E94976"/>
    <w:rsid w:val="77EDC7C4"/>
    <w:rsid w:val="77EEFED2"/>
    <w:rsid w:val="77EFEF0A"/>
    <w:rsid w:val="77F1E58F"/>
    <w:rsid w:val="77F8632A"/>
    <w:rsid w:val="77F9CC11"/>
    <w:rsid w:val="77FB0211"/>
    <w:rsid w:val="77FD5CDA"/>
    <w:rsid w:val="77FD693D"/>
    <w:rsid w:val="77FE187C"/>
    <w:rsid w:val="77FFD9C9"/>
    <w:rsid w:val="77FFDADA"/>
    <w:rsid w:val="77FFDE99"/>
    <w:rsid w:val="77FFE605"/>
    <w:rsid w:val="780C832B"/>
    <w:rsid w:val="786F670E"/>
    <w:rsid w:val="78D4D3F1"/>
    <w:rsid w:val="797F2831"/>
    <w:rsid w:val="797F718F"/>
    <w:rsid w:val="797FEC2B"/>
    <w:rsid w:val="79BE8B3C"/>
    <w:rsid w:val="79BF2431"/>
    <w:rsid w:val="79BF97A4"/>
    <w:rsid w:val="79C72508"/>
    <w:rsid w:val="79D3DA4F"/>
    <w:rsid w:val="79DD4D0A"/>
    <w:rsid w:val="79EDEF7E"/>
    <w:rsid w:val="79EF81D7"/>
    <w:rsid w:val="79F7DE92"/>
    <w:rsid w:val="79FB170E"/>
    <w:rsid w:val="79FD27E6"/>
    <w:rsid w:val="79FF7D91"/>
    <w:rsid w:val="7A0D8D98"/>
    <w:rsid w:val="7A3F833C"/>
    <w:rsid w:val="7A55CB96"/>
    <w:rsid w:val="7A743F64"/>
    <w:rsid w:val="7A7BA78D"/>
    <w:rsid w:val="7A7D4D2B"/>
    <w:rsid w:val="7A8B0276"/>
    <w:rsid w:val="7ABB81C5"/>
    <w:rsid w:val="7AC705A0"/>
    <w:rsid w:val="7ADE29C2"/>
    <w:rsid w:val="7AE93F41"/>
    <w:rsid w:val="7AEF31A8"/>
    <w:rsid w:val="7AEFED63"/>
    <w:rsid w:val="7AF5EDF5"/>
    <w:rsid w:val="7AF68268"/>
    <w:rsid w:val="7AF7D3ED"/>
    <w:rsid w:val="7AFD87AA"/>
    <w:rsid w:val="7AFE7340"/>
    <w:rsid w:val="7AFF74F3"/>
    <w:rsid w:val="7B3ADE08"/>
    <w:rsid w:val="7B3B0262"/>
    <w:rsid w:val="7B5ED12F"/>
    <w:rsid w:val="7B5EE2A2"/>
    <w:rsid w:val="7B66A5FA"/>
    <w:rsid w:val="7B6D2007"/>
    <w:rsid w:val="7B769F59"/>
    <w:rsid w:val="7B8DE15A"/>
    <w:rsid w:val="7B8F41BD"/>
    <w:rsid w:val="7B90F3C8"/>
    <w:rsid w:val="7B9F4414"/>
    <w:rsid w:val="7BA7AF34"/>
    <w:rsid w:val="7BAC005D"/>
    <w:rsid w:val="7BAFBC69"/>
    <w:rsid w:val="7BBB1047"/>
    <w:rsid w:val="7BBBDE0B"/>
    <w:rsid w:val="7BBCBCF9"/>
    <w:rsid w:val="7BBD20EA"/>
    <w:rsid w:val="7BBD8876"/>
    <w:rsid w:val="7BBFA4F9"/>
    <w:rsid w:val="7BBFE7A6"/>
    <w:rsid w:val="7BC943EB"/>
    <w:rsid w:val="7BD58730"/>
    <w:rsid w:val="7BDDF78D"/>
    <w:rsid w:val="7BDF6F6D"/>
    <w:rsid w:val="7BE3686B"/>
    <w:rsid w:val="7BE7C9D7"/>
    <w:rsid w:val="7BEB8883"/>
    <w:rsid w:val="7BF0C13F"/>
    <w:rsid w:val="7BF78A8C"/>
    <w:rsid w:val="7BF9F5F4"/>
    <w:rsid w:val="7BFA1093"/>
    <w:rsid w:val="7BFBCD11"/>
    <w:rsid w:val="7BFD8E75"/>
    <w:rsid w:val="7BFE5CEC"/>
    <w:rsid w:val="7BFE71FA"/>
    <w:rsid w:val="7BFF40B4"/>
    <w:rsid w:val="7BFF6157"/>
    <w:rsid w:val="7BFF7F71"/>
    <w:rsid w:val="7BFF8035"/>
    <w:rsid w:val="7C3F29EF"/>
    <w:rsid w:val="7C4F0DEA"/>
    <w:rsid w:val="7C7786AD"/>
    <w:rsid w:val="7C95DF63"/>
    <w:rsid w:val="7CADE664"/>
    <w:rsid w:val="7CB23A2D"/>
    <w:rsid w:val="7CB7D8E3"/>
    <w:rsid w:val="7CDD0E2F"/>
    <w:rsid w:val="7CEE85AE"/>
    <w:rsid w:val="7CEF83FC"/>
    <w:rsid w:val="7CFB060B"/>
    <w:rsid w:val="7CFF26F7"/>
    <w:rsid w:val="7CFF71F4"/>
    <w:rsid w:val="7D1BE07C"/>
    <w:rsid w:val="7D3FDC6F"/>
    <w:rsid w:val="7D5AC545"/>
    <w:rsid w:val="7D7ADF2D"/>
    <w:rsid w:val="7D7E12CA"/>
    <w:rsid w:val="7D7E90D3"/>
    <w:rsid w:val="7D7F30E7"/>
    <w:rsid w:val="7D9B1840"/>
    <w:rsid w:val="7D9EA719"/>
    <w:rsid w:val="7D9F8181"/>
    <w:rsid w:val="7DAE9E3B"/>
    <w:rsid w:val="7DBD5A37"/>
    <w:rsid w:val="7DCBF328"/>
    <w:rsid w:val="7DD38422"/>
    <w:rsid w:val="7DD52CF7"/>
    <w:rsid w:val="7DD74EA2"/>
    <w:rsid w:val="7DD75FC9"/>
    <w:rsid w:val="7DDFBB8D"/>
    <w:rsid w:val="7DEC7CEE"/>
    <w:rsid w:val="7DEE50F1"/>
    <w:rsid w:val="7DEF560C"/>
    <w:rsid w:val="7DEF857D"/>
    <w:rsid w:val="7DEFAE52"/>
    <w:rsid w:val="7DF72866"/>
    <w:rsid w:val="7DF9E0FC"/>
    <w:rsid w:val="7DFA3BE2"/>
    <w:rsid w:val="7DFBCC63"/>
    <w:rsid w:val="7DFBF9BF"/>
    <w:rsid w:val="7DFC7B9C"/>
    <w:rsid w:val="7DFE7F07"/>
    <w:rsid w:val="7DFEDDA2"/>
    <w:rsid w:val="7DFEE0F6"/>
    <w:rsid w:val="7DFFC151"/>
    <w:rsid w:val="7E25334E"/>
    <w:rsid w:val="7E2F8507"/>
    <w:rsid w:val="7E3DF2F4"/>
    <w:rsid w:val="7E4E06B3"/>
    <w:rsid w:val="7E53E216"/>
    <w:rsid w:val="7E5BC1FD"/>
    <w:rsid w:val="7E6F91C2"/>
    <w:rsid w:val="7E6FC0A7"/>
    <w:rsid w:val="7E73DB3B"/>
    <w:rsid w:val="7E77F65F"/>
    <w:rsid w:val="7E79B7AA"/>
    <w:rsid w:val="7E7F2342"/>
    <w:rsid w:val="7E9E1E78"/>
    <w:rsid w:val="7E9F2003"/>
    <w:rsid w:val="7EABF2B9"/>
    <w:rsid w:val="7EAD716C"/>
    <w:rsid w:val="7EB38D3C"/>
    <w:rsid w:val="7EBC6F25"/>
    <w:rsid w:val="7EBF3E83"/>
    <w:rsid w:val="7EBF611C"/>
    <w:rsid w:val="7EBF77CE"/>
    <w:rsid w:val="7EBF8ED6"/>
    <w:rsid w:val="7ECFF698"/>
    <w:rsid w:val="7EDCCC94"/>
    <w:rsid w:val="7EDF1870"/>
    <w:rsid w:val="7EDF407E"/>
    <w:rsid w:val="7EDFEF9C"/>
    <w:rsid w:val="7EE398DA"/>
    <w:rsid w:val="7EE5CC49"/>
    <w:rsid w:val="7EE74F1C"/>
    <w:rsid w:val="7EEB491C"/>
    <w:rsid w:val="7EED5F98"/>
    <w:rsid w:val="7EEDF450"/>
    <w:rsid w:val="7EEF0D2A"/>
    <w:rsid w:val="7EF71D77"/>
    <w:rsid w:val="7EF7C4B5"/>
    <w:rsid w:val="7EF7DFBF"/>
    <w:rsid w:val="7EF9646C"/>
    <w:rsid w:val="7EF97850"/>
    <w:rsid w:val="7EF99214"/>
    <w:rsid w:val="7EFABD57"/>
    <w:rsid w:val="7EFB8445"/>
    <w:rsid w:val="7EFCA321"/>
    <w:rsid w:val="7EFDAC46"/>
    <w:rsid w:val="7EFDB059"/>
    <w:rsid w:val="7EFE503F"/>
    <w:rsid w:val="7EFEF54A"/>
    <w:rsid w:val="7EFF3AC7"/>
    <w:rsid w:val="7EFFF0F0"/>
    <w:rsid w:val="7EFFF1FD"/>
    <w:rsid w:val="7EFFF5DE"/>
    <w:rsid w:val="7F0916D5"/>
    <w:rsid w:val="7F0EFAAB"/>
    <w:rsid w:val="7F1A3545"/>
    <w:rsid w:val="7F1B9200"/>
    <w:rsid w:val="7F237E59"/>
    <w:rsid w:val="7F2589B2"/>
    <w:rsid w:val="7F2C9A41"/>
    <w:rsid w:val="7F2D2EDD"/>
    <w:rsid w:val="7F2FEB76"/>
    <w:rsid w:val="7F33CC33"/>
    <w:rsid w:val="7F353443"/>
    <w:rsid w:val="7F366568"/>
    <w:rsid w:val="7F3E1A80"/>
    <w:rsid w:val="7F460A9B"/>
    <w:rsid w:val="7F477388"/>
    <w:rsid w:val="7F4FB107"/>
    <w:rsid w:val="7F55AE6A"/>
    <w:rsid w:val="7F576034"/>
    <w:rsid w:val="7F57B91F"/>
    <w:rsid w:val="7F5EC700"/>
    <w:rsid w:val="7F5FD12F"/>
    <w:rsid w:val="7F5FEC85"/>
    <w:rsid w:val="7F664B52"/>
    <w:rsid w:val="7F6841AA"/>
    <w:rsid w:val="7F6B4536"/>
    <w:rsid w:val="7F6BADBF"/>
    <w:rsid w:val="7F71333C"/>
    <w:rsid w:val="7F73855E"/>
    <w:rsid w:val="7F74D754"/>
    <w:rsid w:val="7F79E402"/>
    <w:rsid w:val="7F7B32A5"/>
    <w:rsid w:val="7F7BB05B"/>
    <w:rsid w:val="7F7D76A6"/>
    <w:rsid w:val="7F7F519B"/>
    <w:rsid w:val="7F7F61EA"/>
    <w:rsid w:val="7F7F8B07"/>
    <w:rsid w:val="7F8C6CCC"/>
    <w:rsid w:val="7F8CB429"/>
    <w:rsid w:val="7F93039F"/>
    <w:rsid w:val="7F9930A0"/>
    <w:rsid w:val="7F9A1AD0"/>
    <w:rsid w:val="7F9D044F"/>
    <w:rsid w:val="7F9E7B7F"/>
    <w:rsid w:val="7F9F0AD5"/>
    <w:rsid w:val="7F9F5FDE"/>
    <w:rsid w:val="7FA92178"/>
    <w:rsid w:val="7FAB709D"/>
    <w:rsid w:val="7FABB9BC"/>
    <w:rsid w:val="7FADA9D2"/>
    <w:rsid w:val="7FADC890"/>
    <w:rsid w:val="7FB020DB"/>
    <w:rsid w:val="7FB35697"/>
    <w:rsid w:val="7FB4E656"/>
    <w:rsid w:val="7FB5E915"/>
    <w:rsid w:val="7FB63E01"/>
    <w:rsid w:val="7FB7EA45"/>
    <w:rsid w:val="7FB7FAFB"/>
    <w:rsid w:val="7FBA41A0"/>
    <w:rsid w:val="7FBA6A1F"/>
    <w:rsid w:val="7FBF84B7"/>
    <w:rsid w:val="7FBFBDE3"/>
    <w:rsid w:val="7FBFCBFA"/>
    <w:rsid w:val="7FCA9675"/>
    <w:rsid w:val="7FCDAB82"/>
    <w:rsid w:val="7FD58609"/>
    <w:rsid w:val="7FD645BD"/>
    <w:rsid w:val="7FD73BAB"/>
    <w:rsid w:val="7FD7815A"/>
    <w:rsid w:val="7FD9C10A"/>
    <w:rsid w:val="7FDAF50B"/>
    <w:rsid w:val="7FDBDB3A"/>
    <w:rsid w:val="7FDD7F47"/>
    <w:rsid w:val="7FDDE26F"/>
    <w:rsid w:val="7FDE42B4"/>
    <w:rsid w:val="7FDF0B89"/>
    <w:rsid w:val="7FDF4F46"/>
    <w:rsid w:val="7FDF6E7A"/>
    <w:rsid w:val="7FE30E35"/>
    <w:rsid w:val="7FE3E2DB"/>
    <w:rsid w:val="7FE654D9"/>
    <w:rsid w:val="7FE665E2"/>
    <w:rsid w:val="7FE71A82"/>
    <w:rsid w:val="7FE76F6C"/>
    <w:rsid w:val="7FEB0A14"/>
    <w:rsid w:val="7FEB6D05"/>
    <w:rsid w:val="7FED080E"/>
    <w:rsid w:val="7FED5F85"/>
    <w:rsid w:val="7FED6C08"/>
    <w:rsid w:val="7FED9424"/>
    <w:rsid w:val="7FEDF710"/>
    <w:rsid w:val="7FEF7D5D"/>
    <w:rsid w:val="7FEFAD90"/>
    <w:rsid w:val="7FEFAFBB"/>
    <w:rsid w:val="7FEFBB93"/>
    <w:rsid w:val="7FF1178E"/>
    <w:rsid w:val="7FF49264"/>
    <w:rsid w:val="7FF4BEA5"/>
    <w:rsid w:val="7FF545FD"/>
    <w:rsid w:val="7FF747EE"/>
    <w:rsid w:val="7FF7FD6D"/>
    <w:rsid w:val="7FF9CAD1"/>
    <w:rsid w:val="7FF9F4E6"/>
    <w:rsid w:val="7FFA3492"/>
    <w:rsid w:val="7FFAE83E"/>
    <w:rsid w:val="7FFAFF85"/>
    <w:rsid w:val="7FFB2D87"/>
    <w:rsid w:val="7FFB6ABD"/>
    <w:rsid w:val="7FFBC331"/>
    <w:rsid w:val="7FFD0B4E"/>
    <w:rsid w:val="7FFD80C2"/>
    <w:rsid w:val="7FFDA19C"/>
    <w:rsid w:val="7FFE0157"/>
    <w:rsid w:val="7FFE0B7E"/>
    <w:rsid w:val="7FFE0EFF"/>
    <w:rsid w:val="7FFE1E85"/>
    <w:rsid w:val="7FFE2B96"/>
    <w:rsid w:val="7FFE8AB5"/>
    <w:rsid w:val="7FFEDE4C"/>
    <w:rsid w:val="7FFEE2D9"/>
    <w:rsid w:val="7FFEE9E8"/>
    <w:rsid w:val="7FFEFDEF"/>
    <w:rsid w:val="7FFF30A5"/>
    <w:rsid w:val="7FFF469A"/>
    <w:rsid w:val="7FFF49DC"/>
    <w:rsid w:val="7FFF890C"/>
    <w:rsid w:val="7FFF956E"/>
    <w:rsid w:val="7FFFA3FE"/>
    <w:rsid w:val="7FFFB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46469E9-EDCB-4922-84F1-AE6ECDC1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11"/>
    <w:qFormat/>
    <w:rPr>
      <w:rFonts w:eastAsia="黑体"/>
      <w:b/>
      <w:bCs/>
      <w:spacing w:val="20"/>
      <w:kern w:val="52"/>
      <w:sz w:val="56"/>
    </w:rPr>
  </w:style>
  <w:style w:type="paragraph" w:customStyle="1" w:styleId="11">
    <w:name w:val="目录 11"/>
    <w:next w:val="a"/>
    <w:uiPriority w:val="99"/>
    <w:qFormat/>
    <w:pPr>
      <w:wordWrap w:val="0"/>
      <w:jc w:val="both"/>
    </w:pPr>
    <w:rPr>
      <w:sz w:val="21"/>
      <w:szCs w:val="22"/>
    </w:r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Body Text Indent"/>
    <w:basedOn w:val="a"/>
    <w:link w:val="a7"/>
    <w:qFormat/>
    <w:pPr>
      <w:spacing w:after="120"/>
      <w:ind w:leftChars="200" w:left="200"/>
    </w:pPr>
  </w:style>
  <w:style w:type="paragraph" w:styleId="a8">
    <w:name w:val="Balloon Text"/>
    <w:basedOn w:val="a"/>
    <w:link w:val="a9"/>
    <w:uiPriority w:val="99"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e">
    <w:name w:val="annotation subject"/>
    <w:basedOn w:val="a4"/>
    <w:next w:val="a4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1"/>
    <w:uiPriority w:val="99"/>
    <w:unhideWhenUsed/>
    <w:qFormat/>
    <w:rPr>
      <w:color w:val="0000FF"/>
      <w:u w:val="single"/>
    </w:rPr>
  </w:style>
  <w:style w:type="character" w:styleId="af2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ad">
    <w:name w:val="页眉 字符"/>
    <w:basedOn w:val="a1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1"/>
    <w:link w:val="aa"/>
    <w:uiPriority w:val="99"/>
    <w:qFormat/>
    <w:rPr>
      <w:sz w:val="18"/>
      <w:szCs w:val="18"/>
    </w:rPr>
  </w:style>
  <w:style w:type="character" w:customStyle="1" w:styleId="a7">
    <w:name w:val="正文文本缩进 字符"/>
    <w:basedOn w:val="a1"/>
    <w:link w:val="a6"/>
    <w:qFormat/>
    <w:rPr>
      <w:rFonts w:ascii="Times New Roman" w:eastAsia="宋体" w:hAnsi="Times New Roman" w:cs="Times New Roman"/>
      <w:szCs w:val="20"/>
    </w:rPr>
  </w:style>
  <w:style w:type="character" w:customStyle="1" w:styleId="a9">
    <w:name w:val="批注框文本 字符"/>
    <w:basedOn w:val="a1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文字 字符"/>
    <w:basedOn w:val="a1"/>
    <w:link w:val="a4"/>
    <w:uiPriority w:val="99"/>
    <w:semiHidden/>
    <w:qFormat/>
    <w:rPr>
      <w:rFonts w:ascii="Times New Roman" w:eastAsia="宋体" w:hAnsi="Times New Roman" w:cs="Times New Roman"/>
      <w:kern w:val="2"/>
      <w:sz w:val="21"/>
    </w:rPr>
  </w:style>
  <w:style w:type="character" w:customStyle="1" w:styleId="af">
    <w:name w:val="批注主题 字符"/>
    <w:basedOn w:val="a5"/>
    <w:link w:val="ae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</w:rPr>
  </w:style>
  <w:style w:type="character" w:customStyle="1" w:styleId="fontstyle01">
    <w:name w:val="fontstyle01"/>
    <w:basedOn w:val="a1"/>
    <w:qFormat/>
    <w:rPr>
      <w:rFonts w:ascii="宋体" w:eastAsia="宋体" w:hAnsi="宋体" w:hint="eastAsia"/>
      <w:color w:val="000000"/>
      <w:sz w:val="26"/>
      <w:szCs w:val="26"/>
    </w:rPr>
  </w:style>
  <w:style w:type="character" w:customStyle="1" w:styleId="fontstyle21">
    <w:name w:val="fontstyle21"/>
    <w:basedOn w:val="a1"/>
    <w:qFormat/>
    <w:rPr>
      <w:rFonts w:ascii="MicrosoftYaHei" w:hAnsi="MicrosoftYaHei" w:hint="default"/>
      <w:color w:val="000000"/>
      <w:sz w:val="22"/>
      <w:szCs w:val="22"/>
    </w:rPr>
  </w:style>
  <w:style w:type="paragraph" w:customStyle="1" w:styleId="1">
    <w:name w:val="修订1"/>
    <w:hidden/>
    <w:uiPriority w:val="99"/>
    <w:semiHidden/>
    <w:qFormat/>
    <w:rPr>
      <w:kern w:val="2"/>
      <w:sz w:val="21"/>
    </w:rPr>
  </w:style>
  <w:style w:type="paragraph" w:customStyle="1" w:styleId="2">
    <w:name w:val="修订2"/>
    <w:hidden/>
    <w:uiPriority w:val="99"/>
    <w:semiHidden/>
    <w:qFormat/>
    <w:rPr>
      <w:kern w:val="2"/>
      <w:sz w:val="21"/>
    </w:rPr>
  </w:style>
  <w:style w:type="paragraph" w:customStyle="1" w:styleId="3">
    <w:name w:val="修订3"/>
    <w:hidden/>
    <w:uiPriority w:val="99"/>
    <w:semiHidden/>
    <w:qFormat/>
    <w:rPr>
      <w:kern w:val="2"/>
      <w:sz w:val="21"/>
    </w:rPr>
  </w:style>
  <w:style w:type="paragraph" w:customStyle="1" w:styleId="4">
    <w:name w:val="修订4"/>
    <w:hidden/>
    <w:uiPriority w:val="99"/>
    <w:semiHidden/>
    <w:qFormat/>
    <w:rPr>
      <w:kern w:val="2"/>
      <w:sz w:val="21"/>
    </w:rPr>
  </w:style>
  <w:style w:type="paragraph" w:customStyle="1" w:styleId="5">
    <w:name w:val="修订5"/>
    <w:hidden/>
    <w:uiPriority w:val="99"/>
    <w:semiHidden/>
    <w:qFormat/>
    <w:rPr>
      <w:kern w:val="2"/>
      <w:sz w:val="21"/>
    </w:rPr>
  </w:style>
  <w:style w:type="paragraph" w:customStyle="1" w:styleId="6">
    <w:name w:val="修订6"/>
    <w:hidden/>
    <w:uiPriority w:val="99"/>
    <w:semiHidden/>
    <w:qFormat/>
    <w:rPr>
      <w:kern w:val="2"/>
      <w:sz w:val="21"/>
    </w:rPr>
  </w:style>
  <w:style w:type="paragraph" w:customStyle="1" w:styleId="7">
    <w:name w:val="修订7"/>
    <w:hidden/>
    <w:uiPriority w:val="99"/>
    <w:semiHidden/>
    <w:qFormat/>
    <w:rPr>
      <w:kern w:val="2"/>
      <w:sz w:val="21"/>
    </w:rPr>
  </w:style>
  <w:style w:type="paragraph" w:customStyle="1" w:styleId="8">
    <w:name w:val="修订8"/>
    <w:hidden/>
    <w:uiPriority w:val="99"/>
    <w:semiHidden/>
    <w:qFormat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725</Words>
  <Characters>4137</Characters>
  <Application>Microsoft Office Word</Application>
  <DocSecurity>0</DocSecurity>
  <Lines>34</Lines>
  <Paragraphs>9</Paragraphs>
  <ScaleCrop>false</ScaleCrop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558</cp:revision>
  <cp:lastPrinted>2023-11-15T13:27:00Z</cp:lastPrinted>
  <dcterms:created xsi:type="dcterms:W3CDTF">2022-07-28T14:48:00Z</dcterms:created>
  <dcterms:modified xsi:type="dcterms:W3CDTF">2024-10-31T08:58:00Z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2052-11.1.0.11720</vt:lpwstr>
  </property>
  <property fmtid="{D5CDD505-2E9C-101B-9397-08002B2CF9AE}" pid="3" name="ICV">
    <vt:lpwstr>1E83315AA161493DA567EAC29771970C</vt:lpwstr>
  </property>
</Properties>
</file>