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AED6A">
      <w:pPr>
        <w:spacing w:before="156" w:beforeLines="50" w:line="560" w:lineRule="exact"/>
        <w:jc w:val="center"/>
        <w:rPr>
          <w:rFonts w:ascii="黑体" w:hAnsi="黑体" w:eastAsia="黑体"/>
          <w:b/>
          <w:sz w:val="36"/>
          <w:szCs w:val="36"/>
        </w:rPr>
      </w:pPr>
      <w:r>
        <w:rPr>
          <w:rFonts w:hint="eastAsia" w:ascii="黑体" w:hAnsi="黑体" w:eastAsia="黑体"/>
          <w:b/>
          <w:sz w:val="36"/>
          <w:szCs w:val="36"/>
        </w:rPr>
        <w:t>广东富信科技股份有限公司</w:t>
      </w:r>
    </w:p>
    <w:p w14:paraId="39FDBECB">
      <w:pPr>
        <w:jc w:val="center"/>
        <w:rPr>
          <w:rFonts w:ascii="黑体" w:hAnsi="黑体" w:eastAsia="黑体"/>
          <w:b/>
          <w:sz w:val="36"/>
          <w:szCs w:val="36"/>
        </w:rPr>
      </w:pPr>
      <w:r>
        <w:rPr>
          <w:rFonts w:hint="eastAsia" w:ascii="黑体" w:hAnsi="黑体" w:eastAsia="黑体"/>
          <w:b/>
          <w:sz w:val="36"/>
          <w:szCs w:val="36"/>
        </w:rPr>
        <w:t>投资者关系活动记录表</w:t>
      </w:r>
    </w:p>
    <w:p w14:paraId="42695518">
      <w:pPr>
        <w:jc w:val="both"/>
        <w:rPr>
          <w:rFonts w:hint="default" w:ascii="Times New Roman" w:hAnsi="Times New Roman" w:eastAsia="黑体"/>
          <w:bCs/>
          <w:sz w:val="36"/>
          <w:szCs w:val="36"/>
          <w:lang w:val="en-US" w:eastAsia="zh-CN"/>
        </w:rPr>
      </w:pPr>
      <w:r>
        <w:rPr>
          <w:rFonts w:hint="eastAsia" w:ascii="黑体" w:hAnsi="黑体" w:eastAsia="黑体"/>
          <w:bCs/>
          <w:sz w:val="28"/>
          <w:szCs w:val="28"/>
        </w:rPr>
        <w:t>股票简称：富信科技</w:t>
      </w:r>
      <w:r>
        <w:rPr>
          <w:rFonts w:hint="eastAsia" w:ascii="黑体" w:hAnsi="黑体" w:eastAsia="黑体"/>
          <w:bCs/>
          <w:sz w:val="28"/>
          <w:szCs w:val="28"/>
          <w:lang w:val="en-US" w:eastAsia="zh-CN"/>
        </w:rPr>
        <w:t xml:space="preserve">   </w:t>
      </w:r>
      <w:r>
        <w:rPr>
          <w:rFonts w:hint="eastAsia" w:ascii="黑体" w:hAnsi="黑体" w:eastAsia="黑体"/>
          <w:bCs/>
          <w:sz w:val="28"/>
          <w:szCs w:val="28"/>
        </w:rPr>
        <w:t>证券代码：</w:t>
      </w:r>
      <w:r>
        <w:rPr>
          <w:rFonts w:hint="eastAsia" w:ascii="Times New Roman" w:hAnsi="Times New Roman" w:eastAsia="黑体"/>
          <w:bCs/>
          <w:sz w:val="28"/>
          <w:szCs w:val="28"/>
        </w:rPr>
        <w:t>68866</w:t>
      </w:r>
      <w:r>
        <w:rPr>
          <w:rFonts w:hint="eastAsia" w:ascii="Times New Roman" w:hAnsi="Times New Roman" w:eastAsia="黑体"/>
          <w:bCs/>
          <w:sz w:val="28"/>
          <w:szCs w:val="28"/>
          <w:lang w:val="en-US" w:eastAsia="zh-CN"/>
        </w:rPr>
        <w:t>2</w:t>
      </w:r>
      <w:r>
        <w:rPr>
          <w:rFonts w:hint="eastAsia" w:eastAsia="黑体"/>
          <w:bCs/>
          <w:sz w:val="28"/>
          <w:szCs w:val="28"/>
          <w:lang w:val="en-US" w:eastAsia="zh-CN"/>
        </w:rPr>
        <w:t xml:space="preserve">   </w:t>
      </w:r>
      <w:r>
        <w:rPr>
          <w:rFonts w:hint="eastAsia" w:ascii="黑体" w:hAnsi="黑体" w:eastAsia="黑体"/>
          <w:bCs/>
          <w:sz w:val="28"/>
          <w:szCs w:val="28"/>
        </w:rPr>
        <w:t>记录表编号：</w:t>
      </w:r>
      <w:r>
        <w:rPr>
          <w:rFonts w:hint="eastAsia" w:ascii="Times New Roman" w:hAnsi="Times New Roman" w:eastAsia="黑体"/>
          <w:bCs/>
          <w:sz w:val="28"/>
          <w:szCs w:val="28"/>
        </w:rPr>
        <w:t>202</w:t>
      </w:r>
      <w:r>
        <w:rPr>
          <w:rFonts w:hint="eastAsia" w:ascii="Times New Roman" w:hAnsi="Times New Roman" w:eastAsia="黑体"/>
          <w:bCs/>
          <w:sz w:val="28"/>
          <w:szCs w:val="28"/>
          <w:lang w:val="en-US" w:eastAsia="zh-CN"/>
        </w:rPr>
        <w:t>4</w:t>
      </w:r>
      <w:r>
        <w:rPr>
          <w:rFonts w:hint="eastAsia" w:ascii="黑体" w:hAnsi="黑体" w:eastAsia="黑体"/>
          <w:bCs/>
          <w:sz w:val="28"/>
          <w:szCs w:val="28"/>
        </w:rPr>
        <w:t>-</w:t>
      </w:r>
      <w:r>
        <w:rPr>
          <w:rFonts w:hint="eastAsia" w:ascii="Times New Roman" w:hAnsi="Times New Roman" w:eastAsia="黑体"/>
          <w:bCs/>
          <w:sz w:val="28"/>
          <w:szCs w:val="28"/>
        </w:rPr>
        <w:t>0</w:t>
      </w:r>
      <w:r>
        <w:rPr>
          <w:rFonts w:hint="eastAsia" w:ascii="Times New Roman" w:hAnsi="Times New Roman" w:eastAsia="黑体"/>
          <w:bCs/>
          <w:sz w:val="28"/>
          <w:szCs w:val="28"/>
          <w:lang w:val="en-US" w:eastAsia="zh-CN"/>
        </w:rPr>
        <w:t>09</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554"/>
      </w:tblGrid>
      <w:tr w14:paraId="2EDE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965" w:type="dxa"/>
            <w:shd w:val="clear" w:color="auto" w:fill="auto"/>
            <w:vAlign w:val="center"/>
          </w:tcPr>
          <w:p w14:paraId="2524BAF4">
            <w:pPr>
              <w:keepNext w:val="0"/>
              <w:keepLines w:val="0"/>
              <w:pageBreakBefore w:val="0"/>
              <w:widowControl w:val="0"/>
              <w:kinsoku/>
              <w:wordWrap/>
              <w:overflowPunct/>
              <w:topLinePunct w:val="0"/>
              <w:autoSpaceDE/>
              <w:autoSpaceDN/>
              <w:bidi w:val="0"/>
              <w:adjustRightInd/>
              <w:snapToGrid/>
              <w:spacing w:line="360" w:lineRule="auto"/>
              <w:ind w:right="-119" w:rightChars="0"/>
              <w:jc w:val="center"/>
              <w:textAlignment w:val="auto"/>
              <w:rPr>
                <w:rFonts w:ascii="宋体" w:hAnsi="宋体" w:cs="宋体"/>
                <w:sz w:val="24"/>
                <w:szCs w:val="24"/>
              </w:rPr>
            </w:pPr>
            <w:r>
              <w:rPr>
                <w:rFonts w:hint="eastAsia" w:ascii="宋体" w:hAnsi="宋体" w:cs="宋体"/>
                <w:sz w:val="24"/>
                <w:szCs w:val="24"/>
              </w:rPr>
              <w:t>投资者关系活动类别</w:t>
            </w:r>
          </w:p>
        </w:tc>
        <w:tc>
          <w:tcPr>
            <w:tcW w:w="6554" w:type="dxa"/>
            <w:shd w:val="clear" w:color="auto" w:fill="auto"/>
            <w:vAlign w:val="center"/>
          </w:tcPr>
          <w:p w14:paraId="0F864CC2">
            <w:pPr>
              <w:spacing w:before="156" w:beforeLines="50" w:line="348" w:lineRule="auto"/>
              <w:jc w:val="left"/>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特定对象调研</w:t>
            </w:r>
            <w:r>
              <w:rPr>
                <w:rFonts w:hint="eastAsia" w:ascii="宋体" w:hAnsi="宋体" w:cs="宋体"/>
                <w:sz w:val="24"/>
                <w:szCs w:val="24"/>
                <w:lang w:val="en-US" w:eastAsia="zh-CN"/>
              </w:rPr>
              <w:t xml:space="preserve">       </w:t>
            </w:r>
            <w:r>
              <w:rPr>
                <w:rFonts w:hint="eastAsia" w:ascii="宋体" w:hAnsi="宋体" w:cs="宋体"/>
                <w:sz w:val="24"/>
                <w:szCs w:val="24"/>
              </w:rPr>
              <w:t>□分析师会议</w:t>
            </w:r>
            <w:r>
              <w:rPr>
                <w:rFonts w:hint="eastAsia" w:ascii="宋体" w:hAnsi="宋体" w:cs="宋体"/>
                <w:sz w:val="24"/>
                <w:szCs w:val="24"/>
                <w:lang w:val="en-US" w:eastAsia="zh-CN"/>
              </w:rPr>
              <w:t xml:space="preserve">       </w:t>
            </w:r>
            <w:r>
              <w:rPr>
                <w:rFonts w:hint="eastAsia" w:ascii="宋体" w:hAnsi="宋体" w:cs="宋体"/>
                <w:sz w:val="24"/>
                <w:szCs w:val="24"/>
              </w:rPr>
              <w:sym w:font="Wingdings 2" w:char="00A3"/>
            </w:r>
            <w:r>
              <w:rPr>
                <w:rFonts w:hint="eastAsia" w:ascii="宋体" w:hAnsi="宋体" w:cs="宋体"/>
                <w:sz w:val="24"/>
                <w:szCs w:val="24"/>
              </w:rPr>
              <w:t>媒体采访</w:t>
            </w:r>
          </w:p>
          <w:p w14:paraId="3D89593F">
            <w:pPr>
              <w:spacing w:before="156" w:beforeLines="50" w:line="348" w:lineRule="auto"/>
              <w:jc w:val="left"/>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业绩说明会</w:t>
            </w:r>
            <w:r>
              <w:rPr>
                <w:rFonts w:hint="eastAsia" w:ascii="宋体" w:hAnsi="宋体" w:cs="宋体"/>
                <w:sz w:val="24"/>
                <w:szCs w:val="24"/>
                <w:lang w:val="en-US" w:eastAsia="zh-CN"/>
              </w:rPr>
              <w:t xml:space="preserve">         </w:t>
            </w:r>
            <w:r>
              <w:rPr>
                <w:rFonts w:hint="eastAsia" w:ascii="宋体" w:hAnsi="宋体" w:cs="宋体"/>
                <w:sz w:val="24"/>
                <w:szCs w:val="24"/>
              </w:rPr>
              <w:sym w:font="Wingdings 2" w:char="00A3"/>
            </w:r>
            <w:r>
              <w:rPr>
                <w:rFonts w:hint="eastAsia" w:ascii="宋体" w:hAnsi="宋体" w:cs="宋体"/>
                <w:sz w:val="24"/>
                <w:szCs w:val="24"/>
              </w:rPr>
              <w:t>新闻发布会</w:t>
            </w:r>
            <w:r>
              <w:rPr>
                <w:rFonts w:hint="eastAsia" w:ascii="宋体" w:hAnsi="宋体" w:cs="宋体"/>
                <w:sz w:val="24"/>
                <w:szCs w:val="24"/>
                <w:lang w:val="en-US" w:eastAsia="zh-CN"/>
              </w:rPr>
              <w:t xml:space="preserve">       </w:t>
            </w:r>
            <w:r>
              <w:rPr>
                <w:rFonts w:hint="eastAsia" w:ascii="宋体" w:hAnsi="宋体" w:cs="宋体"/>
                <w:sz w:val="24"/>
                <w:szCs w:val="24"/>
              </w:rPr>
              <w:sym w:font="Wingdings 2" w:char="0052"/>
            </w:r>
            <w:r>
              <w:rPr>
                <w:rFonts w:hint="eastAsia" w:ascii="宋体" w:hAnsi="宋体" w:cs="宋体"/>
                <w:sz w:val="24"/>
                <w:szCs w:val="24"/>
              </w:rPr>
              <w:t>现场参观</w:t>
            </w:r>
          </w:p>
          <w:p w14:paraId="33A8E09A">
            <w:pPr>
              <w:spacing w:before="156" w:beforeLines="50" w:line="348" w:lineRule="auto"/>
              <w:jc w:val="left"/>
              <w:rPr>
                <w:rFonts w:hint="default" w:ascii="宋体" w:hAnsi="宋体" w:cs="宋体"/>
                <w:sz w:val="24"/>
                <w:szCs w:val="24"/>
                <w:lang w:val="en-US" w:eastAsia="zh-CN"/>
              </w:rPr>
            </w:pPr>
            <w:r>
              <w:rPr>
                <w:rFonts w:hint="eastAsia" w:ascii="宋体" w:hAnsi="宋体" w:cs="宋体"/>
                <w:sz w:val="24"/>
                <w:szCs w:val="24"/>
              </w:rPr>
              <w:sym w:font="Wingdings 2" w:char="0052"/>
            </w:r>
            <w:r>
              <w:rPr>
                <w:rFonts w:hint="eastAsia" w:ascii="宋体" w:hAnsi="宋体" w:cs="宋体"/>
                <w:sz w:val="24"/>
                <w:szCs w:val="24"/>
              </w:rPr>
              <w:t>其他：</w:t>
            </w:r>
            <w:r>
              <w:rPr>
                <w:rFonts w:hint="eastAsia" w:ascii="宋体" w:hAnsi="宋体" w:cs="宋体"/>
                <w:sz w:val="24"/>
                <w:szCs w:val="24"/>
                <w:u w:val="single"/>
                <w:lang w:val="en-US" w:eastAsia="zh-CN"/>
              </w:rPr>
              <w:t xml:space="preserve"> 视频电话会议  </w:t>
            </w:r>
          </w:p>
        </w:tc>
      </w:tr>
      <w:tr w14:paraId="6A5B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65" w:type="dxa"/>
            <w:shd w:val="clear" w:color="auto" w:fill="auto"/>
            <w:vAlign w:val="center"/>
          </w:tcPr>
          <w:p w14:paraId="2F7320A8">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z w:val="24"/>
                <w:szCs w:val="24"/>
                <w:lang w:val="en-US" w:eastAsia="zh-CN"/>
              </w:rPr>
            </w:pPr>
            <w:r>
              <w:rPr>
                <w:rFonts w:hint="eastAsia"/>
                <w:sz w:val="24"/>
              </w:rPr>
              <w:t>参与单位名称及人员姓名</w:t>
            </w:r>
          </w:p>
        </w:tc>
        <w:tc>
          <w:tcPr>
            <w:tcW w:w="6554" w:type="dxa"/>
            <w:shd w:val="clear" w:color="auto" w:fill="auto"/>
            <w:vAlign w:val="center"/>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3169"/>
            </w:tblGrid>
            <w:tr w14:paraId="09AE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3169" w:type="dxa"/>
                  <w:vAlign w:val="center"/>
                </w:tcPr>
                <w:p w14:paraId="1FF44E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kern w:val="2"/>
                      <w:sz w:val="24"/>
                      <w:szCs w:val="22"/>
                      <w:lang w:val="en-US" w:eastAsia="zh-CN" w:bidi="ar-SA"/>
                    </w:rPr>
                  </w:pPr>
                  <w:r>
                    <w:rPr>
                      <w:rFonts w:hint="eastAsia" w:ascii="Times New Roman" w:hAnsi="Times New Roman" w:cs="Times New Roman"/>
                      <w:kern w:val="2"/>
                      <w:sz w:val="24"/>
                      <w:szCs w:val="22"/>
                      <w:lang w:val="en-US" w:eastAsia="zh-CN" w:bidi="ar-SA"/>
                    </w:rPr>
                    <w:t>2024</w:t>
                  </w:r>
                  <w:r>
                    <w:rPr>
                      <w:rFonts w:hint="eastAsia" w:cs="Times New Roman"/>
                      <w:kern w:val="2"/>
                      <w:sz w:val="24"/>
                      <w:szCs w:val="22"/>
                      <w:lang w:val="en-US" w:eastAsia="zh-CN" w:bidi="ar-SA"/>
                    </w:rPr>
                    <w:t>年</w:t>
                  </w:r>
                  <w:r>
                    <w:rPr>
                      <w:rFonts w:hint="eastAsia" w:ascii="Times New Roman" w:hAnsi="Times New Roman" w:cs="Times New Roman"/>
                      <w:kern w:val="2"/>
                      <w:sz w:val="24"/>
                      <w:szCs w:val="22"/>
                      <w:lang w:val="en-US" w:eastAsia="zh-CN" w:bidi="ar-SA"/>
                    </w:rPr>
                    <w:t>10</w:t>
                  </w:r>
                  <w:r>
                    <w:rPr>
                      <w:rFonts w:hint="eastAsia" w:cs="Times New Roman"/>
                      <w:kern w:val="2"/>
                      <w:sz w:val="24"/>
                      <w:szCs w:val="22"/>
                      <w:lang w:val="en-US" w:eastAsia="zh-CN" w:bidi="ar-SA"/>
                    </w:rPr>
                    <w:t>月</w:t>
                  </w:r>
                  <w:r>
                    <w:rPr>
                      <w:rFonts w:hint="eastAsia" w:ascii="Times New Roman" w:hAnsi="Times New Roman" w:cs="Times New Roman"/>
                      <w:kern w:val="2"/>
                      <w:sz w:val="24"/>
                      <w:szCs w:val="22"/>
                      <w:lang w:val="en-US" w:eastAsia="zh-CN" w:bidi="ar-SA"/>
                    </w:rPr>
                    <w:t>29</w:t>
                  </w:r>
                  <w:r>
                    <w:rPr>
                      <w:rFonts w:hint="eastAsia" w:cs="Times New Roman"/>
                      <w:kern w:val="2"/>
                      <w:sz w:val="24"/>
                      <w:szCs w:val="22"/>
                      <w:lang w:val="en-US" w:eastAsia="zh-CN" w:bidi="ar-SA"/>
                    </w:rPr>
                    <w:t>日</w:t>
                  </w:r>
                </w:p>
                <w:p w14:paraId="7FFF18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imes New Roman"/>
                      <w:kern w:val="2"/>
                      <w:sz w:val="24"/>
                      <w:szCs w:val="22"/>
                      <w:lang w:val="en-US" w:eastAsia="zh-CN" w:bidi="ar-SA"/>
                    </w:rPr>
                  </w:pPr>
                  <w:r>
                    <w:rPr>
                      <w:rFonts w:hint="default" w:cs="Times New Roman"/>
                      <w:kern w:val="2"/>
                      <w:sz w:val="24"/>
                      <w:szCs w:val="22"/>
                      <w:lang w:val="en-US" w:eastAsia="zh-CN" w:bidi="ar-SA"/>
                    </w:rPr>
                    <w:t>（现场参观）</w:t>
                  </w:r>
                </w:p>
              </w:tc>
              <w:tc>
                <w:tcPr>
                  <w:tcW w:w="3169" w:type="dxa"/>
                  <w:vAlign w:val="center"/>
                </w:tcPr>
                <w:p w14:paraId="224272D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cs="宋体"/>
                      <w:sz w:val="24"/>
                      <w:szCs w:val="24"/>
                      <w:vertAlign w:val="baseline"/>
                      <w:lang w:val="en-US" w:eastAsia="zh-CN"/>
                    </w:rPr>
                  </w:pPr>
                  <w:r>
                    <w:rPr>
                      <w:rFonts w:hint="default" w:ascii="Times New Roman" w:hAnsi="Times New Roman" w:eastAsia="宋体" w:cs="宋体"/>
                      <w:sz w:val="24"/>
                      <w:szCs w:val="24"/>
                      <w:vertAlign w:val="baseline"/>
                      <w:lang w:val="en-US" w:eastAsia="zh-CN"/>
                    </w:rPr>
                    <w:t>天风证券</w:t>
                  </w:r>
                  <w:r>
                    <w:rPr>
                      <w:rFonts w:hint="eastAsia" w:cs="宋体"/>
                      <w:sz w:val="24"/>
                      <w:szCs w:val="24"/>
                      <w:vertAlign w:val="baseline"/>
                      <w:lang w:val="en-US" w:eastAsia="zh-CN"/>
                    </w:rPr>
                    <w:t>：冯浩凡</w:t>
                  </w:r>
                </w:p>
                <w:p w14:paraId="2894F47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cs="宋体"/>
                      <w:sz w:val="24"/>
                      <w:szCs w:val="24"/>
                      <w:vertAlign w:val="baseline"/>
                      <w:lang w:val="en-US" w:eastAsia="zh-CN"/>
                    </w:rPr>
                  </w:pPr>
                  <w:r>
                    <w:rPr>
                      <w:rFonts w:hint="default" w:cs="宋体"/>
                      <w:sz w:val="24"/>
                      <w:szCs w:val="24"/>
                      <w:vertAlign w:val="baseline"/>
                      <w:lang w:val="en-US" w:eastAsia="zh-CN"/>
                    </w:rPr>
                    <w:t>上海利幄私募</w:t>
                  </w:r>
                  <w:r>
                    <w:rPr>
                      <w:rFonts w:hint="eastAsia" w:cs="宋体"/>
                      <w:sz w:val="24"/>
                      <w:szCs w:val="24"/>
                      <w:vertAlign w:val="baseline"/>
                      <w:lang w:val="en-US" w:eastAsia="zh-CN"/>
                    </w:rPr>
                    <w:t>：孟舒豪</w:t>
                  </w:r>
                </w:p>
                <w:p w14:paraId="1C64A2B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cs="宋体"/>
                      <w:sz w:val="24"/>
                      <w:szCs w:val="24"/>
                      <w:vertAlign w:val="baseline"/>
                      <w:lang w:val="en-US" w:eastAsia="zh-CN"/>
                    </w:rPr>
                  </w:pPr>
                  <w:r>
                    <w:rPr>
                      <w:rFonts w:hint="default" w:cs="宋体"/>
                      <w:sz w:val="24"/>
                      <w:szCs w:val="24"/>
                      <w:vertAlign w:val="baseline"/>
                      <w:lang w:val="en-US" w:eastAsia="zh-CN"/>
                    </w:rPr>
                    <w:t>光大证券</w:t>
                  </w:r>
                  <w:r>
                    <w:rPr>
                      <w:rFonts w:hint="eastAsia" w:cs="宋体"/>
                      <w:sz w:val="24"/>
                      <w:szCs w:val="24"/>
                      <w:vertAlign w:val="baseline"/>
                      <w:lang w:val="en-US" w:eastAsia="zh-CN"/>
                    </w:rPr>
                    <w:t>：刘凯</w:t>
                  </w:r>
                </w:p>
              </w:tc>
            </w:tr>
            <w:tr w14:paraId="08DB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vAlign w:val="center"/>
                </w:tcPr>
                <w:p w14:paraId="13590E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kern w:val="2"/>
                      <w:sz w:val="24"/>
                      <w:szCs w:val="22"/>
                      <w:lang w:val="en-US" w:eastAsia="zh-CN" w:bidi="ar-SA"/>
                    </w:rPr>
                  </w:pPr>
                  <w:r>
                    <w:rPr>
                      <w:rFonts w:hint="eastAsia" w:ascii="Times New Roman" w:hAnsi="Times New Roman" w:cs="Times New Roman"/>
                      <w:kern w:val="2"/>
                      <w:sz w:val="24"/>
                      <w:szCs w:val="22"/>
                      <w:lang w:val="en-US" w:eastAsia="zh-CN" w:bidi="ar-SA"/>
                    </w:rPr>
                    <w:t>2024</w:t>
                  </w:r>
                  <w:r>
                    <w:rPr>
                      <w:rFonts w:hint="eastAsia" w:cs="Times New Roman"/>
                      <w:kern w:val="2"/>
                      <w:sz w:val="24"/>
                      <w:szCs w:val="22"/>
                      <w:lang w:val="en-US" w:eastAsia="zh-CN" w:bidi="ar-SA"/>
                    </w:rPr>
                    <w:t>年</w:t>
                  </w:r>
                  <w:r>
                    <w:rPr>
                      <w:rFonts w:hint="eastAsia" w:ascii="Times New Roman" w:hAnsi="Times New Roman" w:cs="Times New Roman"/>
                      <w:kern w:val="2"/>
                      <w:sz w:val="24"/>
                      <w:szCs w:val="22"/>
                      <w:lang w:val="en-US" w:eastAsia="zh-CN" w:bidi="ar-SA"/>
                    </w:rPr>
                    <w:t>10</w:t>
                  </w:r>
                  <w:r>
                    <w:rPr>
                      <w:rFonts w:hint="eastAsia" w:cs="Times New Roman"/>
                      <w:kern w:val="2"/>
                      <w:sz w:val="24"/>
                      <w:szCs w:val="22"/>
                      <w:lang w:val="en-US" w:eastAsia="zh-CN" w:bidi="ar-SA"/>
                    </w:rPr>
                    <w:t>月</w:t>
                  </w:r>
                  <w:r>
                    <w:rPr>
                      <w:rFonts w:hint="eastAsia" w:ascii="Times New Roman" w:hAnsi="Times New Roman" w:cs="Times New Roman"/>
                      <w:kern w:val="2"/>
                      <w:sz w:val="24"/>
                      <w:szCs w:val="22"/>
                      <w:lang w:val="en-US" w:eastAsia="zh-CN" w:bidi="ar-SA"/>
                    </w:rPr>
                    <w:t>30</w:t>
                  </w:r>
                  <w:r>
                    <w:rPr>
                      <w:rFonts w:hint="eastAsia" w:cs="Times New Roman"/>
                      <w:kern w:val="2"/>
                      <w:sz w:val="24"/>
                      <w:szCs w:val="22"/>
                      <w:lang w:val="en-US" w:eastAsia="zh-CN" w:bidi="ar-SA"/>
                    </w:rPr>
                    <w:t>日</w:t>
                  </w:r>
                </w:p>
                <w:p w14:paraId="2EC118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imes New Roman"/>
                      <w:kern w:val="2"/>
                      <w:sz w:val="24"/>
                      <w:szCs w:val="22"/>
                      <w:lang w:val="en-US" w:eastAsia="zh-CN" w:bidi="ar-SA"/>
                    </w:rPr>
                  </w:pPr>
                  <w:r>
                    <w:rPr>
                      <w:rFonts w:hint="eastAsia" w:cs="Times New Roman"/>
                      <w:kern w:val="2"/>
                      <w:sz w:val="24"/>
                      <w:szCs w:val="22"/>
                      <w:lang w:val="en-US" w:eastAsia="zh-CN" w:bidi="ar-SA"/>
                    </w:rPr>
                    <w:t>（</w:t>
                  </w:r>
                  <w:r>
                    <w:rPr>
                      <w:rFonts w:hint="eastAsia" w:ascii="宋体" w:hAnsi="宋体" w:cs="宋体"/>
                      <w:sz w:val="24"/>
                      <w:szCs w:val="24"/>
                      <w:u w:val="none"/>
                      <w:lang w:val="en-US" w:eastAsia="zh-CN"/>
                    </w:rPr>
                    <w:t>视频电话会议</w:t>
                  </w:r>
                  <w:r>
                    <w:rPr>
                      <w:rFonts w:hint="eastAsia" w:cs="Times New Roman"/>
                      <w:kern w:val="2"/>
                      <w:sz w:val="24"/>
                      <w:szCs w:val="22"/>
                      <w:lang w:val="en-US" w:eastAsia="zh-CN" w:bidi="ar-SA"/>
                    </w:rPr>
                    <w:t>）</w:t>
                  </w:r>
                </w:p>
              </w:tc>
              <w:tc>
                <w:tcPr>
                  <w:tcW w:w="3169" w:type="dxa"/>
                  <w:vAlign w:val="center"/>
                </w:tcPr>
                <w:p w14:paraId="659D003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宋体"/>
                      <w:sz w:val="24"/>
                      <w:szCs w:val="24"/>
                      <w:vertAlign w:val="baseline"/>
                      <w:lang w:val="en-US" w:eastAsia="zh-CN"/>
                    </w:rPr>
                  </w:pPr>
                  <w:r>
                    <w:rPr>
                      <w:rFonts w:hint="eastAsia" w:cs="宋体"/>
                      <w:sz w:val="24"/>
                      <w:szCs w:val="24"/>
                      <w:vertAlign w:val="baseline"/>
                      <w:lang w:val="en-US" w:eastAsia="zh-CN"/>
                    </w:rPr>
                    <w:t>银河基金：高鹏</w:t>
                  </w:r>
                </w:p>
              </w:tc>
            </w:tr>
          </w:tbl>
          <w:p w14:paraId="756DED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p>
        </w:tc>
      </w:tr>
      <w:tr w14:paraId="2C1E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5" w:type="dxa"/>
            <w:shd w:val="clear" w:color="auto" w:fill="auto"/>
            <w:vAlign w:val="center"/>
          </w:tcPr>
          <w:p w14:paraId="28C035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2"/>
                <w:lang w:val="en-US" w:eastAsia="zh-CN" w:bidi="ar-SA"/>
              </w:rPr>
            </w:pPr>
            <w:r>
              <w:rPr>
                <w:rFonts w:hint="eastAsia"/>
                <w:sz w:val="24"/>
              </w:rPr>
              <w:t>地点</w:t>
            </w:r>
          </w:p>
        </w:tc>
        <w:tc>
          <w:tcPr>
            <w:tcW w:w="6554" w:type="dxa"/>
            <w:shd w:val="clear" w:color="auto" w:fill="auto"/>
            <w:vAlign w:val="center"/>
          </w:tcPr>
          <w:p w14:paraId="2C86DA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公司会议室</w:t>
            </w:r>
          </w:p>
        </w:tc>
      </w:tr>
      <w:tr w14:paraId="0E36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5" w:type="dxa"/>
            <w:shd w:val="clear" w:color="auto" w:fill="auto"/>
            <w:vAlign w:val="center"/>
          </w:tcPr>
          <w:p w14:paraId="222A71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公司接待人员</w:t>
            </w:r>
          </w:p>
          <w:p w14:paraId="68CA07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姓名</w:t>
            </w:r>
          </w:p>
        </w:tc>
        <w:tc>
          <w:tcPr>
            <w:tcW w:w="6554" w:type="dxa"/>
            <w:shd w:val="clear" w:color="auto" w:fill="auto"/>
          </w:tcPr>
          <w:p w14:paraId="2F0D655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sz w:val="24"/>
              </w:rPr>
            </w:pPr>
            <w:r>
              <w:rPr>
                <w:rFonts w:hint="eastAsia"/>
                <w:sz w:val="24"/>
              </w:rPr>
              <w:t>董事会秘书</w:t>
            </w:r>
            <w:r>
              <w:rPr>
                <w:rFonts w:hint="eastAsia"/>
                <w:sz w:val="24"/>
                <w:lang w:eastAsia="zh-CN"/>
              </w:rPr>
              <w:t>：</w:t>
            </w:r>
            <w:r>
              <w:rPr>
                <w:rFonts w:hint="eastAsia"/>
                <w:sz w:val="24"/>
              </w:rPr>
              <w:t>田泉</w:t>
            </w:r>
          </w:p>
          <w:p w14:paraId="24831DD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sz w:val="24"/>
              </w:rPr>
            </w:pPr>
            <w:r>
              <w:rPr>
                <w:rFonts w:hint="eastAsia"/>
                <w:sz w:val="24"/>
              </w:rPr>
              <w:t>证券事务代表：霍莹敏</w:t>
            </w:r>
          </w:p>
        </w:tc>
      </w:tr>
      <w:tr w14:paraId="20F3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65" w:type="dxa"/>
            <w:shd w:val="clear" w:color="auto" w:fill="auto"/>
            <w:vAlign w:val="center"/>
          </w:tcPr>
          <w:p w14:paraId="773F987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sz w:val="24"/>
                <w:szCs w:val="24"/>
              </w:rPr>
            </w:pPr>
            <w:bookmarkStart w:id="0" w:name="_GoBack"/>
            <w:r>
              <w:rPr>
                <w:sz w:val="24"/>
                <w:szCs w:val="24"/>
              </w:rPr>
              <w:t>投资者关系活动</w:t>
            </w:r>
          </w:p>
          <w:p w14:paraId="7083E98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sz w:val="28"/>
                <w:szCs w:val="24"/>
              </w:rPr>
            </w:pPr>
            <w:r>
              <w:rPr>
                <w:sz w:val="24"/>
                <w:szCs w:val="24"/>
              </w:rPr>
              <w:t>主要内容介绍</w:t>
            </w:r>
          </w:p>
        </w:tc>
        <w:tc>
          <w:tcPr>
            <w:tcW w:w="6554" w:type="dxa"/>
            <w:shd w:val="clear" w:color="auto" w:fill="auto"/>
          </w:tcPr>
          <w:p w14:paraId="49AB0B2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default"/>
                <w:b w:val="0"/>
                <w:bCs w:val="0"/>
                <w:sz w:val="24"/>
                <w:lang w:val="en-US" w:eastAsia="zh-CN"/>
              </w:rPr>
            </w:pPr>
            <w:r>
              <w:rPr>
                <w:rFonts w:hint="eastAsia"/>
                <w:b/>
                <w:bCs/>
                <w:sz w:val="24"/>
                <w:szCs w:val="24"/>
              </w:rPr>
              <w:t>机构与高管问答交流</w:t>
            </w:r>
          </w:p>
          <w:p w14:paraId="512C0A4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ascii="宋体" w:hAnsi="宋体"/>
                <w:b/>
                <w:sz w:val="24"/>
                <w:szCs w:val="24"/>
              </w:rPr>
            </w:pPr>
            <w:r>
              <w:rPr>
                <w:rFonts w:hint="eastAsia"/>
                <w:b/>
                <w:bCs/>
                <w:sz w:val="24"/>
              </w:rPr>
              <w:t>问</w:t>
            </w:r>
            <w:r>
              <w:rPr>
                <w:rFonts w:hint="eastAsia" w:ascii="Times New Roman" w:hAnsi="Times New Roman" w:cs="Times New Roman"/>
                <w:b/>
                <w:bCs/>
                <w:sz w:val="24"/>
                <w:lang w:val="en-US" w:eastAsia="zh-CN"/>
              </w:rPr>
              <w:t>1</w:t>
            </w:r>
            <w:r>
              <w:rPr>
                <w:rFonts w:hint="eastAsia" w:ascii="Times New Roman" w:hAnsi="Times New Roman"/>
                <w:b/>
                <w:bCs/>
                <w:sz w:val="24"/>
              </w:rPr>
              <w:t>：</w:t>
            </w:r>
            <w:r>
              <w:rPr>
                <w:rFonts w:hint="eastAsia"/>
                <w:b/>
                <w:bCs/>
                <w:sz w:val="24"/>
                <w:lang w:eastAsia="zh-CN"/>
              </w:rPr>
              <w:t>请问</w:t>
            </w:r>
            <w:r>
              <w:rPr>
                <w:rFonts w:hint="default" w:ascii="宋体" w:hAnsi="宋体"/>
                <w:b/>
                <w:sz w:val="24"/>
                <w:szCs w:val="24"/>
              </w:rPr>
              <w:t>目前</w:t>
            </w:r>
            <w:r>
              <w:rPr>
                <w:rFonts w:hint="eastAsia" w:ascii="宋体" w:hAnsi="宋体"/>
                <w:b/>
                <w:sz w:val="24"/>
                <w:szCs w:val="24"/>
                <w:lang w:val="en-US" w:eastAsia="zh-CN"/>
              </w:rPr>
              <w:t>应用于</w:t>
            </w:r>
            <w:r>
              <w:rPr>
                <w:rFonts w:hint="default" w:ascii="Times New Roman" w:hAnsi="Times New Roman"/>
                <w:b/>
                <w:sz w:val="24"/>
                <w:szCs w:val="24"/>
              </w:rPr>
              <w:t>400/800</w:t>
            </w:r>
            <w:r>
              <w:rPr>
                <w:rFonts w:hint="eastAsia"/>
                <w:b/>
                <w:sz w:val="24"/>
                <w:szCs w:val="24"/>
                <w:lang w:val="en-US" w:eastAsia="zh-CN"/>
              </w:rPr>
              <w:t>G光模块的</w:t>
            </w:r>
            <w:r>
              <w:rPr>
                <w:rFonts w:hint="default" w:ascii="Times New Roman" w:hAnsi="Times New Roman" w:cs="Times New Roman"/>
                <w:b/>
                <w:bCs/>
                <w:sz w:val="24"/>
                <w:szCs w:val="24"/>
              </w:rPr>
              <w:t>Micro TEC</w:t>
            </w:r>
            <w:r>
              <w:rPr>
                <w:rFonts w:hint="default" w:ascii="宋体" w:hAnsi="宋体"/>
                <w:b/>
                <w:sz w:val="24"/>
                <w:szCs w:val="24"/>
              </w:rPr>
              <w:t>进展</w:t>
            </w:r>
            <w:r>
              <w:rPr>
                <w:rFonts w:hint="eastAsia" w:ascii="宋体" w:hAnsi="宋体"/>
                <w:b/>
                <w:sz w:val="24"/>
                <w:szCs w:val="24"/>
                <w:lang w:eastAsia="zh-CN"/>
              </w:rPr>
              <w:t>如何</w:t>
            </w:r>
            <w:r>
              <w:rPr>
                <w:rFonts w:hint="default" w:ascii="宋体" w:hAnsi="宋体"/>
                <w:b/>
                <w:sz w:val="24"/>
                <w:szCs w:val="24"/>
              </w:rPr>
              <w:t>？</w:t>
            </w:r>
          </w:p>
          <w:p w14:paraId="1F0A7DA1">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宋体" w:hAnsi="宋体"/>
                <w:sz w:val="24"/>
                <w:szCs w:val="24"/>
              </w:rPr>
            </w:pPr>
            <w:r>
              <w:rPr>
                <w:rFonts w:hint="default"/>
                <w:b w:val="0"/>
                <w:bCs w:val="0"/>
                <w:sz w:val="24"/>
                <w:lang w:val="en-US" w:eastAsia="zh-CN"/>
              </w:rPr>
              <w:t>答：</w:t>
            </w:r>
            <w:r>
              <w:rPr>
                <w:rFonts w:hint="default" w:ascii="宋体" w:hAnsi="宋体"/>
                <w:sz w:val="24"/>
                <w:szCs w:val="24"/>
              </w:rPr>
              <w:t>应用于数通</w:t>
            </w:r>
            <w:r>
              <w:rPr>
                <w:rFonts w:hint="default" w:ascii="Times New Roman" w:hAnsi="Times New Roman" w:cs="Times New Roman"/>
                <w:sz w:val="24"/>
                <w:szCs w:val="24"/>
              </w:rPr>
              <w:t>400G/800G</w:t>
            </w:r>
            <w:r>
              <w:rPr>
                <w:rFonts w:hint="default" w:ascii="宋体" w:hAnsi="宋体"/>
                <w:sz w:val="24"/>
                <w:szCs w:val="24"/>
              </w:rPr>
              <w:t>高速率光模块的</w:t>
            </w:r>
            <w:r>
              <w:rPr>
                <w:rFonts w:hint="default" w:ascii="Times New Roman" w:hAnsi="Times New Roman" w:cs="Times New Roman"/>
                <w:sz w:val="24"/>
                <w:szCs w:val="24"/>
              </w:rPr>
              <w:t>Micro TEC</w:t>
            </w:r>
            <w:r>
              <w:rPr>
                <w:rFonts w:hint="default" w:ascii="宋体" w:hAnsi="宋体"/>
                <w:sz w:val="24"/>
                <w:szCs w:val="24"/>
              </w:rPr>
              <w:t>验证周期较长，一般需要</w:t>
            </w:r>
            <w:r>
              <w:rPr>
                <w:rFonts w:hint="default" w:ascii="Times New Roman" w:hAnsi="Times New Roman"/>
                <w:sz w:val="24"/>
                <w:szCs w:val="24"/>
              </w:rPr>
              <w:t>6个</w:t>
            </w:r>
            <w:r>
              <w:rPr>
                <w:rFonts w:hint="default" w:ascii="宋体" w:hAnsi="宋体"/>
                <w:sz w:val="24"/>
                <w:szCs w:val="24"/>
              </w:rPr>
              <w:t>月以上。公司目前已与多家光模块厂商积极开展项目开发，处于小批验证阶段，验证进度取决于下游光模块厂商供应链国产化的诉求，力争今年内通过验证。后续如有进展，相关信息会在定期报告和对外公告中及时披露。</w:t>
            </w:r>
          </w:p>
          <w:p w14:paraId="1CAFEC39">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b w:val="0"/>
                <w:bCs w:val="0"/>
                <w:sz w:val="24"/>
                <w:lang w:val="en-US" w:eastAsia="zh-CN"/>
              </w:rPr>
            </w:pPr>
          </w:p>
          <w:p w14:paraId="2DF21290">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b w:val="0"/>
                <w:bCs w:val="0"/>
                <w:sz w:val="24"/>
                <w:lang w:val="en-US" w:eastAsia="zh-CN"/>
              </w:rPr>
            </w:pPr>
            <w:r>
              <w:rPr>
                <w:rFonts w:hint="eastAsia"/>
                <w:b/>
                <w:bCs/>
                <w:sz w:val="24"/>
                <w:lang w:val="en-US" w:eastAsia="zh-CN"/>
              </w:rPr>
              <w:t>问2：</w:t>
            </w:r>
            <w:r>
              <w:rPr>
                <w:rFonts w:hint="default"/>
                <w:b/>
                <w:bCs/>
                <w:sz w:val="24"/>
                <w:lang w:val="en-US" w:eastAsia="zh-CN"/>
              </w:rPr>
              <w:t>请问公司Micro TEC产品与国外友商有何差异？</w:t>
            </w:r>
          </w:p>
          <w:p w14:paraId="4C13F88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b w:val="0"/>
                <w:bCs w:val="0"/>
                <w:sz w:val="24"/>
                <w:lang w:val="en-US" w:eastAsia="zh-CN"/>
              </w:rPr>
            </w:pPr>
            <w:r>
              <w:rPr>
                <w:rFonts w:hint="default"/>
                <w:b w:val="0"/>
                <w:bCs w:val="0"/>
                <w:sz w:val="24"/>
                <w:lang w:val="en-US" w:eastAsia="zh-CN"/>
              </w:rPr>
              <w:t>答：对于性能、尺寸及可靠性要求较高的Micro TEC</w:t>
            </w:r>
            <w:r>
              <w:rPr>
                <w:rFonts w:hint="eastAsia"/>
                <w:b w:val="0"/>
                <w:bCs w:val="0"/>
                <w:sz w:val="24"/>
                <w:lang w:val="en-US" w:eastAsia="zh-CN"/>
              </w:rPr>
              <w:t>来</w:t>
            </w:r>
            <w:r>
              <w:rPr>
                <w:rFonts w:hint="default"/>
                <w:b w:val="0"/>
                <w:bCs w:val="0"/>
                <w:sz w:val="24"/>
                <w:lang w:val="en-US" w:eastAsia="zh-CN"/>
              </w:rPr>
              <w:t>说，需要经过长时间的研发测试和技术积累才能达到相应的性能指标要求，且产业化生产又需要足够的高端自动化设备、精密加工设备和熟练技术工人。公司近年来通过不断的研发投入和积累，依靠自身完善的质量体系和丰富的制造经验在关键核心技术上实现突破，生产的 Micro TEC 产品已与国外友商同类产品处于同一水平区间。</w:t>
            </w:r>
          </w:p>
          <w:p w14:paraId="7D33876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b w:val="0"/>
                <w:bCs w:val="0"/>
                <w:sz w:val="24"/>
                <w:lang w:val="en-US" w:eastAsia="zh-CN"/>
              </w:rPr>
            </w:pPr>
          </w:p>
          <w:p w14:paraId="760F194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b/>
                <w:bCs/>
                <w:sz w:val="24"/>
                <w:lang w:val="en-US" w:eastAsia="zh-CN"/>
              </w:rPr>
            </w:pPr>
            <w:r>
              <w:rPr>
                <w:rFonts w:hint="eastAsia"/>
                <w:b/>
                <w:bCs/>
                <w:sz w:val="24"/>
                <w:lang w:val="en-US" w:eastAsia="zh-CN"/>
              </w:rPr>
              <w:t>问3：请问公司</w:t>
            </w:r>
            <w:r>
              <w:rPr>
                <w:rFonts w:hint="eastAsia" w:ascii="Times New Roman" w:hAnsi="Times New Roman"/>
                <w:b/>
                <w:bCs/>
                <w:sz w:val="24"/>
                <w:lang w:val="en-US" w:eastAsia="zh-CN"/>
              </w:rPr>
              <w:t>2024</w:t>
            </w:r>
            <w:r>
              <w:rPr>
                <w:rFonts w:hint="eastAsia"/>
                <w:b/>
                <w:bCs/>
                <w:sz w:val="24"/>
                <w:lang w:val="en-US" w:eastAsia="zh-CN"/>
              </w:rPr>
              <w:t>年上半年海外业务市场情况如何？对今年下半年、明年有什么预期呢？</w:t>
            </w:r>
          </w:p>
          <w:p w14:paraId="1DEB874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b w:val="0"/>
                <w:bCs w:val="0"/>
                <w:sz w:val="24"/>
                <w:lang w:val="en-US" w:eastAsia="zh-CN"/>
              </w:rPr>
            </w:pPr>
            <w:r>
              <w:rPr>
                <w:rFonts w:hint="default"/>
                <w:b w:val="0"/>
                <w:bCs w:val="0"/>
                <w:sz w:val="24"/>
                <w:lang w:val="en-US" w:eastAsia="zh-CN"/>
              </w:rPr>
              <w:t>答</w:t>
            </w:r>
            <w:r>
              <w:rPr>
                <w:rFonts w:hint="eastAsia"/>
                <w:b w:val="0"/>
                <w:bCs w:val="0"/>
                <w:sz w:val="24"/>
                <w:lang w:val="en-US" w:eastAsia="zh-CN"/>
              </w:rPr>
              <w:t>：</w:t>
            </w:r>
            <w:r>
              <w:rPr>
                <w:rFonts w:hint="default" w:ascii="Times New Roman" w:hAnsi="Times New Roman"/>
                <w:b w:val="0"/>
                <w:bCs w:val="0"/>
                <w:sz w:val="24"/>
                <w:lang w:val="en-US" w:eastAsia="zh-CN"/>
              </w:rPr>
              <w:t>2024</w:t>
            </w:r>
            <w:r>
              <w:rPr>
                <w:rFonts w:hint="default"/>
                <w:b w:val="0"/>
                <w:bCs w:val="0"/>
                <w:sz w:val="24"/>
                <w:lang w:val="en-US" w:eastAsia="zh-CN"/>
              </w:rPr>
              <w:t>年上半年，公司海外业务的销售收入同比增长</w:t>
            </w:r>
            <w:r>
              <w:rPr>
                <w:rFonts w:hint="default" w:ascii="Times New Roman" w:hAnsi="Times New Roman"/>
                <w:b w:val="0"/>
                <w:bCs w:val="0"/>
                <w:sz w:val="24"/>
                <w:lang w:val="en-US" w:eastAsia="zh-CN"/>
              </w:rPr>
              <w:t>11</w:t>
            </w:r>
            <w:r>
              <w:rPr>
                <w:rFonts w:hint="default"/>
                <w:b w:val="0"/>
                <w:bCs w:val="0"/>
                <w:sz w:val="24"/>
                <w:lang w:val="en-US" w:eastAsia="zh-CN"/>
              </w:rPr>
              <w:t>.</w:t>
            </w:r>
            <w:r>
              <w:rPr>
                <w:rFonts w:hint="default" w:ascii="Times New Roman" w:hAnsi="Times New Roman"/>
                <w:b w:val="0"/>
                <w:bCs w:val="0"/>
                <w:sz w:val="24"/>
                <w:lang w:val="en-US" w:eastAsia="zh-CN"/>
              </w:rPr>
              <w:t>54</w:t>
            </w:r>
            <w:r>
              <w:rPr>
                <w:rFonts w:hint="default"/>
                <w:b w:val="0"/>
                <w:bCs w:val="0"/>
                <w:sz w:val="24"/>
                <w:lang w:val="en-US" w:eastAsia="zh-CN"/>
              </w:rPr>
              <w:t>%。全球经济复苏面临诸多挑战，公司始终坚持开发海外市场，采取积极措施以适应新常态，并寻求增长机会。</w:t>
            </w:r>
          </w:p>
          <w:p w14:paraId="1B2CFAA1">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b w:val="0"/>
                <w:bCs w:val="0"/>
                <w:sz w:val="24"/>
                <w:lang w:val="en-US" w:eastAsia="zh-CN"/>
              </w:rPr>
            </w:pPr>
          </w:p>
          <w:p w14:paraId="7FE84FF6">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b/>
                <w:sz w:val="24"/>
                <w:szCs w:val="24"/>
                <w:lang w:eastAsia="zh-CN"/>
              </w:rPr>
            </w:pPr>
            <w:r>
              <w:rPr>
                <w:rFonts w:hint="eastAsia"/>
                <w:b/>
                <w:bCs/>
                <w:sz w:val="24"/>
              </w:rPr>
              <w:t>问</w:t>
            </w:r>
            <w:r>
              <w:rPr>
                <w:rFonts w:hint="eastAsia" w:ascii="Times New Roman" w:hAnsi="Times New Roman"/>
                <w:b/>
                <w:bCs/>
                <w:sz w:val="24"/>
                <w:lang w:val="en-US" w:eastAsia="zh-CN"/>
              </w:rPr>
              <w:t>4</w:t>
            </w:r>
            <w:r>
              <w:rPr>
                <w:rFonts w:hint="eastAsia" w:ascii="Times New Roman" w:hAnsi="Times New Roman"/>
                <w:b/>
                <w:bCs/>
                <w:sz w:val="24"/>
              </w:rPr>
              <w:t>：</w:t>
            </w:r>
            <w:r>
              <w:rPr>
                <w:rFonts w:hint="eastAsia" w:ascii="宋体" w:hAnsi="宋体"/>
                <w:b/>
                <w:sz w:val="24"/>
                <w:szCs w:val="24"/>
                <w:lang w:val="en-US" w:eastAsia="zh-CN"/>
              </w:rPr>
              <w:t>请问公司在储能业务有何布局</w:t>
            </w:r>
            <w:r>
              <w:rPr>
                <w:rFonts w:hint="eastAsia" w:ascii="宋体" w:hAnsi="宋体"/>
                <w:b/>
                <w:sz w:val="24"/>
                <w:szCs w:val="24"/>
                <w:lang w:eastAsia="zh-CN"/>
              </w:rPr>
              <w:t>？</w:t>
            </w:r>
          </w:p>
          <w:p w14:paraId="521D05C8">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default"/>
                <w:b w:val="0"/>
                <w:bCs w:val="0"/>
                <w:sz w:val="24"/>
                <w:lang w:val="en-US" w:eastAsia="zh-CN"/>
              </w:rPr>
            </w:pPr>
            <w:r>
              <w:rPr>
                <w:rFonts w:hint="default"/>
                <w:b w:val="0"/>
                <w:bCs w:val="0"/>
                <w:sz w:val="24"/>
                <w:lang w:val="en-US" w:eastAsia="zh-CN"/>
              </w:rPr>
              <w:t>答：</w:t>
            </w:r>
            <w:r>
              <w:rPr>
                <w:rFonts w:hint="eastAsia"/>
                <w:b w:val="0"/>
                <w:bCs w:val="0"/>
                <w:sz w:val="24"/>
                <w:lang w:val="en-US" w:eastAsia="zh-CN"/>
              </w:rPr>
              <w:t>公司的</w:t>
            </w:r>
            <w:r>
              <w:rPr>
                <w:rFonts w:hint="default"/>
                <w:b w:val="0"/>
                <w:bCs w:val="0"/>
                <w:sz w:val="24"/>
                <w:lang w:val="en-US" w:eastAsia="zh-CN"/>
              </w:rPr>
              <w:t>储能液冷除湿系统</w:t>
            </w:r>
            <w:r>
              <w:rPr>
                <w:rFonts w:hint="eastAsia"/>
                <w:b w:val="0"/>
                <w:bCs w:val="0"/>
                <w:sz w:val="24"/>
                <w:lang w:val="en-US" w:eastAsia="zh-CN"/>
              </w:rPr>
              <w:t>可用于储能电池柜，半导体热电制冷技术制成的除湿机具有体积小、湿度控制精度高等优势，可以在储能柜中灵活放置并对指定空间进行针对性除湿，有效解决了因储能柜中的电池密度大、空间狭小导致风道狭窄空气流动差的问题，保证储能设备的运行安全。随着液冷技术在电化学储能热管理渗透率的快速提高，半导体制冷除湿机有望形成公司新的利润增长点。</w:t>
            </w:r>
          </w:p>
        </w:tc>
      </w:tr>
      <w:bookmarkEnd w:id="0"/>
      <w:tr w14:paraId="2B10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shd w:val="clear" w:color="auto" w:fill="auto"/>
            <w:vAlign w:val="center"/>
          </w:tcPr>
          <w:p w14:paraId="32FC2BD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sz w:val="24"/>
                <w:szCs w:val="24"/>
              </w:rPr>
            </w:pPr>
            <w:r>
              <w:rPr>
                <w:rFonts w:hint="eastAsia"/>
                <w:sz w:val="24"/>
                <w:szCs w:val="24"/>
              </w:rPr>
              <w:t>关于本次活动是否涉及应当披露重大信息的说明</w:t>
            </w:r>
          </w:p>
        </w:tc>
        <w:tc>
          <w:tcPr>
            <w:tcW w:w="6554" w:type="dxa"/>
            <w:shd w:val="clear" w:color="auto" w:fill="auto"/>
            <w:vAlign w:val="center"/>
          </w:tcPr>
          <w:p w14:paraId="0B8BAB21">
            <w:pPr>
              <w:spacing w:line="420" w:lineRule="auto"/>
              <w:rPr>
                <w:rFonts w:hint="eastAsia" w:ascii="宋体" w:hAnsi="宋体" w:eastAsia="宋体" w:cs="宋体"/>
                <w:kern w:val="2"/>
                <w:sz w:val="24"/>
                <w:szCs w:val="24"/>
                <w:lang w:val="en-US" w:eastAsia="zh-CN" w:bidi="ar-SA"/>
              </w:rPr>
            </w:pPr>
            <w:r>
              <w:rPr>
                <w:rFonts w:hint="eastAsia" w:ascii="宋体" w:hAnsi="宋体" w:cs="宋体"/>
                <w:sz w:val="24"/>
                <w:szCs w:val="24"/>
              </w:rPr>
              <w:t>本次活动不涉及应当披露重大信息。</w:t>
            </w:r>
          </w:p>
        </w:tc>
      </w:tr>
      <w:tr w14:paraId="7D88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shd w:val="clear" w:color="auto" w:fill="auto"/>
            <w:vAlign w:val="center"/>
          </w:tcPr>
          <w:p w14:paraId="1B5CB22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sz w:val="24"/>
                <w:szCs w:val="24"/>
              </w:rPr>
            </w:pPr>
            <w:r>
              <w:rPr>
                <w:rFonts w:hint="eastAsia"/>
                <w:sz w:val="24"/>
                <w:szCs w:val="24"/>
              </w:rPr>
              <w:t>附件清单（如有）</w:t>
            </w:r>
          </w:p>
        </w:tc>
        <w:tc>
          <w:tcPr>
            <w:tcW w:w="6554" w:type="dxa"/>
            <w:shd w:val="clear" w:color="auto" w:fill="auto"/>
            <w:vAlign w:val="center"/>
          </w:tcPr>
          <w:p w14:paraId="20D5A166">
            <w:pPr>
              <w:spacing w:line="420" w:lineRule="auto"/>
              <w:rPr>
                <w:rFonts w:hint="default" w:ascii="宋体" w:hAnsi="宋体" w:cs="宋体"/>
                <w:sz w:val="24"/>
                <w:szCs w:val="24"/>
                <w:lang w:val="en-US" w:eastAsia="zh-CN"/>
              </w:rPr>
            </w:pPr>
            <w:r>
              <w:rPr>
                <w:rFonts w:hint="eastAsia" w:ascii="宋体" w:hAnsi="宋体" w:cs="宋体"/>
                <w:sz w:val="24"/>
                <w:szCs w:val="24"/>
                <w:lang w:val="en-US" w:eastAsia="zh-CN"/>
              </w:rPr>
              <w:t>无</w:t>
            </w:r>
          </w:p>
        </w:tc>
      </w:tr>
    </w:tbl>
    <w:p w14:paraId="1241A172">
      <w:pPr>
        <w:jc w:val="both"/>
        <w:rPr>
          <w:rFonts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FD53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F1B03">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5F1B03">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2B8EF"/>
    <w:multiLevelType w:val="singleLevel"/>
    <w:tmpl w:val="E722B8EF"/>
    <w:lvl w:ilvl="0" w:tentative="0">
      <w:start w:val="1"/>
      <w:numFmt w:val="decimal"/>
      <w:suff w:val="nothing"/>
      <w:lvlText w:val="%1、"/>
      <w:lvlJc w:val="left"/>
    </w:lvl>
  </w:abstractNum>
  <w:abstractNum w:abstractNumId="1">
    <w:nsid w:val="F4B1C1C1"/>
    <w:multiLevelType w:val="singleLevel"/>
    <w:tmpl w:val="F4B1C1C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Tg3YTVmOTMxNjEyODI3NmYwMDUyY2VkYWU0YTQifQ=="/>
  </w:docVars>
  <w:rsids>
    <w:rsidRoot w:val="0D623A3C"/>
    <w:rsid w:val="00004523"/>
    <w:rsid w:val="000A32AF"/>
    <w:rsid w:val="000D339A"/>
    <w:rsid w:val="00187DF5"/>
    <w:rsid w:val="001B3D62"/>
    <w:rsid w:val="001C2693"/>
    <w:rsid w:val="001E7FBE"/>
    <w:rsid w:val="001F5D47"/>
    <w:rsid w:val="002B52CE"/>
    <w:rsid w:val="00390313"/>
    <w:rsid w:val="003C2896"/>
    <w:rsid w:val="003D54C0"/>
    <w:rsid w:val="003D7C5B"/>
    <w:rsid w:val="004279AD"/>
    <w:rsid w:val="00461FEE"/>
    <w:rsid w:val="004D2A44"/>
    <w:rsid w:val="005073FE"/>
    <w:rsid w:val="00546D00"/>
    <w:rsid w:val="005B6034"/>
    <w:rsid w:val="005C1496"/>
    <w:rsid w:val="006B5FB7"/>
    <w:rsid w:val="007B18E6"/>
    <w:rsid w:val="007F24E0"/>
    <w:rsid w:val="008179E4"/>
    <w:rsid w:val="008C179E"/>
    <w:rsid w:val="008D37ED"/>
    <w:rsid w:val="008E55F3"/>
    <w:rsid w:val="00943239"/>
    <w:rsid w:val="009E5201"/>
    <w:rsid w:val="00AC2AAF"/>
    <w:rsid w:val="00AE239B"/>
    <w:rsid w:val="00B7446C"/>
    <w:rsid w:val="00BC2932"/>
    <w:rsid w:val="00C0285B"/>
    <w:rsid w:val="00CA5950"/>
    <w:rsid w:val="00CC5A02"/>
    <w:rsid w:val="00CF2FA1"/>
    <w:rsid w:val="00CF7DA9"/>
    <w:rsid w:val="00DA7328"/>
    <w:rsid w:val="00DE1875"/>
    <w:rsid w:val="00E2230D"/>
    <w:rsid w:val="00E83BDD"/>
    <w:rsid w:val="00F13D0F"/>
    <w:rsid w:val="00F25294"/>
    <w:rsid w:val="00F26744"/>
    <w:rsid w:val="00FC6431"/>
    <w:rsid w:val="00FC6BE7"/>
    <w:rsid w:val="01A13F72"/>
    <w:rsid w:val="02021EF1"/>
    <w:rsid w:val="025200BB"/>
    <w:rsid w:val="02B71916"/>
    <w:rsid w:val="02DE0813"/>
    <w:rsid w:val="03083A13"/>
    <w:rsid w:val="038E382F"/>
    <w:rsid w:val="03F2376B"/>
    <w:rsid w:val="057C1DE8"/>
    <w:rsid w:val="05F86A14"/>
    <w:rsid w:val="060101C2"/>
    <w:rsid w:val="0637082E"/>
    <w:rsid w:val="06EB3415"/>
    <w:rsid w:val="07794BE0"/>
    <w:rsid w:val="08D61E31"/>
    <w:rsid w:val="0AE278DF"/>
    <w:rsid w:val="0AE82483"/>
    <w:rsid w:val="0B064C50"/>
    <w:rsid w:val="0C143188"/>
    <w:rsid w:val="0C69708C"/>
    <w:rsid w:val="0D623A3C"/>
    <w:rsid w:val="0F45463C"/>
    <w:rsid w:val="0FE95C54"/>
    <w:rsid w:val="120748A8"/>
    <w:rsid w:val="12854FB1"/>
    <w:rsid w:val="12C22EFD"/>
    <w:rsid w:val="1360023A"/>
    <w:rsid w:val="13A25347"/>
    <w:rsid w:val="142B4483"/>
    <w:rsid w:val="14DA74C7"/>
    <w:rsid w:val="14E93D2F"/>
    <w:rsid w:val="163316F6"/>
    <w:rsid w:val="16866692"/>
    <w:rsid w:val="16C46248"/>
    <w:rsid w:val="171710E1"/>
    <w:rsid w:val="17CF478D"/>
    <w:rsid w:val="18B96776"/>
    <w:rsid w:val="19077C90"/>
    <w:rsid w:val="1939040B"/>
    <w:rsid w:val="19913E8A"/>
    <w:rsid w:val="1B0911B7"/>
    <w:rsid w:val="1C2D6849"/>
    <w:rsid w:val="1CAB745E"/>
    <w:rsid w:val="1D8E4C34"/>
    <w:rsid w:val="1DC046F7"/>
    <w:rsid w:val="1E140543"/>
    <w:rsid w:val="1E344476"/>
    <w:rsid w:val="1E5608D4"/>
    <w:rsid w:val="1E644FC5"/>
    <w:rsid w:val="1F096BF8"/>
    <w:rsid w:val="200D12BD"/>
    <w:rsid w:val="20506062"/>
    <w:rsid w:val="222E6327"/>
    <w:rsid w:val="22C34341"/>
    <w:rsid w:val="24CF18F1"/>
    <w:rsid w:val="25530418"/>
    <w:rsid w:val="2575499C"/>
    <w:rsid w:val="25D23805"/>
    <w:rsid w:val="262315AA"/>
    <w:rsid w:val="26DE7617"/>
    <w:rsid w:val="27173753"/>
    <w:rsid w:val="274525D1"/>
    <w:rsid w:val="27CB43C4"/>
    <w:rsid w:val="28114B4B"/>
    <w:rsid w:val="28862099"/>
    <w:rsid w:val="2A1D289F"/>
    <w:rsid w:val="2B1C03C7"/>
    <w:rsid w:val="2B396FAB"/>
    <w:rsid w:val="2B59373E"/>
    <w:rsid w:val="2C4B1109"/>
    <w:rsid w:val="2C713B40"/>
    <w:rsid w:val="2CA87DE7"/>
    <w:rsid w:val="2CD25190"/>
    <w:rsid w:val="2CF21D21"/>
    <w:rsid w:val="2D4B3F9E"/>
    <w:rsid w:val="2E5474DF"/>
    <w:rsid w:val="2F48037D"/>
    <w:rsid w:val="2FB86424"/>
    <w:rsid w:val="305943CA"/>
    <w:rsid w:val="317F1D7B"/>
    <w:rsid w:val="32CD04AE"/>
    <w:rsid w:val="33793447"/>
    <w:rsid w:val="35695C3A"/>
    <w:rsid w:val="35D8572E"/>
    <w:rsid w:val="37AA3513"/>
    <w:rsid w:val="37B7532F"/>
    <w:rsid w:val="39885B4A"/>
    <w:rsid w:val="3B145D3D"/>
    <w:rsid w:val="3BC23BCA"/>
    <w:rsid w:val="3C6222D7"/>
    <w:rsid w:val="3CCB40C7"/>
    <w:rsid w:val="3CED01FD"/>
    <w:rsid w:val="3DD00EDC"/>
    <w:rsid w:val="3E593FC8"/>
    <w:rsid w:val="3E6E73FF"/>
    <w:rsid w:val="3FF94223"/>
    <w:rsid w:val="406570FC"/>
    <w:rsid w:val="428E34E4"/>
    <w:rsid w:val="42FD0746"/>
    <w:rsid w:val="44CE413C"/>
    <w:rsid w:val="44D25413"/>
    <w:rsid w:val="44EF162F"/>
    <w:rsid w:val="451A005D"/>
    <w:rsid w:val="46681216"/>
    <w:rsid w:val="467E591A"/>
    <w:rsid w:val="479257F0"/>
    <w:rsid w:val="48D76DDC"/>
    <w:rsid w:val="48DC03EE"/>
    <w:rsid w:val="48E34A4D"/>
    <w:rsid w:val="49D946ED"/>
    <w:rsid w:val="4A7411C0"/>
    <w:rsid w:val="4E7625DE"/>
    <w:rsid w:val="50F73284"/>
    <w:rsid w:val="51862E05"/>
    <w:rsid w:val="51AC10E7"/>
    <w:rsid w:val="51BC52BB"/>
    <w:rsid w:val="520A0EDE"/>
    <w:rsid w:val="546E7103"/>
    <w:rsid w:val="5485246A"/>
    <w:rsid w:val="55741347"/>
    <w:rsid w:val="571D00F9"/>
    <w:rsid w:val="573963A5"/>
    <w:rsid w:val="574373D6"/>
    <w:rsid w:val="57F56069"/>
    <w:rsid w:val="58003366"/>
    <w:rsid w:val="596515D2"/>
    <w:rsid w:val="59A570A2"/>
    <w:rsid w:val="59E05C77"/>
    <w:rsid w:val="5A5827B0"/>
    <w:rsid w:val="5AE17829"/>
    <w:rsid w:val="5B5D6CE1"/>
    <w:rsid w:val="5BAF4E87"/>
    <w:rsid w:val="5C424DFA"/>
    <w:rsid w:val="5C472575"/>
    <w:rsid w:val="5D3D71D0"/>
    <w:rsid w:val="600318C5"/>
    <w:rsid w:val="60BC0C56"/>
    <w:rsid w:val="612B45F3"/>
    <w:rsid w:val="62021293"/>
    <w:rsid w:val="62534DD5"/>
    <w:rsid w:val="62ED582F"/>
    <w:rsid w:val="62FB30A8"/>
    <w:rsid w:val="631C05CE"/>
    <w:rsid w:val="63546E5A"/>
    <w:rsid w:val="63C97FCE"/>
    <w:rsid w:val="648B75D4"/>
    <w:rsid w:val="65495F30"/>
    <w:rsid w:val="665D7B63"/>
    <w:rsid w:val="66AD1638"/>
    <w:rsid w:val="69111FC6"/>
    <w:rsid w:val="6B1A60F6"/>
    <w:rsid w:val="6BE27577"/>
    <w:rsid w:val="6C116790"/>
    <w:rsid w:val="6CCF72A4"/>
    <w:rsid w:val="6CF902E5"/>
    <w:rsid w:val="6D011D39"/>
    <w:rsid w:val="70187CCC"/>
    <w:rsid w:val="706F5AF6"/>
    <w:rsid w:val="707D334E"/>
    <w:rsid w:val="714F4CEB"/>
    <w:rsid w:val="719A4166"/>
    <w:rsid w:val="747B3DCF"/>
    <w:rsid w:val="756931C2"/>
    <w:rsid w:val="75731E4D"/>
    <w:rsid w:val="76391AC6"/>
    <w:rsid w:val="763F4F79"/>
    <w:rsid w:val="7681654E"/>
    <w:rsid w:val="76B966B7"/>
    <w:rsid w:val="77CB499F"/>
    <w:rsid w:val="78630EF4"/>
    <w:rsid w:val="78AB6B96"/>
    <w:rsid w:val="78EB7B6E"/>
    <w:rsid w:val="790D3C49"/>
    <w:rsid w:val="7A240F33"/>
    <w:rsid w:val="7B33118E"/>
    <w:rsid w:val="7C9C2DAE"/>
    <w:rsid w:val="7D3A6542"/>
    <w:rsid w:val="7DDB4DC4"/>
    <w:rsid w:val="7E24473F"/>
    <w:rsid w:val="7E6B607B"/>
    <w:rsid w:val="7FE9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annotation reference"/>
    <w:basedOn w:val="9"/>
    <w:semiHidden/>
    <w:unhideWhenUsed/>
    <w:qFormat/>
    <w:uiPriority w:val="0"/>
    <w:rPr>
      <w:sz w:val="21"/>
      <w:szCs w:val="21"/>
    </w:rPr>
  </w:style>
  <w:style w:type="paragraph" w:customStyle="1" w:styleId="12">
    <w:name w:val="005正文"/>
    <w:basedOn w:val="1"/>
    <w:qFormat/>
    <w:uiPriority w:val="0"/>
    <w:pPr>
      <w:adjustRightInd w:val="0"/>
      <w:snapToGrid w:val="0"/>
      <w:spacing w:beforeLines="50" w:line="360" w:lineRule="auto"/>
      <w:ind w:firstLine="200" w:firstLineChars="200"/>
    </w:pPr>
    <w:rPr>
      <w:sz w:val="24"/>
    </w:rPr>
  </w:style>
  <w:style w:type="character" w:customStyle="1" w:styleId="13">
    <w:name w:val="页眉 字符"/>
    <w:basedOn w:val="9"/>
    <w:link w:val="5"/>
    <w:qFormat/>
    <w:uiPriority w:val="0"/>
    <w:rPr>
      <w:kern w:val="2"/>
      <w:sz w:val="18"/>
      <w:szCs w:val="18"/>
    </w:rPr>
  </w:style>
  <w:style w:type="character" w:customStyle="1" w:styleId="14">
    <w:name w:val="页脚 字符"/>
    <w:basedOn w:val="9"/>
    <w:link w:val="4"/>
    <w:qFormat/>
    <w:uiPriority w:val="0"/>
    <w:rPr>
      <w:kern w:val="2"/>
      <w:sz w:val="18"/>
      <w:szCs w:val="18"/>
    </w:rPr>
  </w:style>
  <w:style w:type="character" w:customStyle="1" w:styleId="15">
    <w:name w:val="批注文字 字符"/>
    <w:basedOn w:val="9"/>
    <w:link w:val="2"/>
    <w:semiHidden/>
    <w:qFormat/>
    <w:uiPriority w:val="0"/>
    <w:rPr>
      <w:kern w:val="2"/>
      <w:sz w:val="21"/>
      <w:szCs w:val="22"/>
    </w:rPr>
  </w:style>
  <w:style w:type="character" w:customStyle="1" w:styleId="16">
    <w:name w:val="批注主题 字符"/>
    <w:basedOn w:val="15"/>
    <w:link w:val="6"/>
    <w:semiHidden/>
    <w:qFormat/>
    <w:uiPriority w:val="0"/>
    <w:rPr>
      <w:b/>
      <w:bCs/>
      <w:kern w:val="2"/>
      <w:sz w:val="21"/>
      <w:szCs w:val="22"/>
    </w:rPr>
  </w:style>
  <w:style w:type="character" w:customStyle="1" w:styleId="17">
    <w:name w:val="批注框文本 字符"/>
    <w:basedOn w:val="9"/>
    <w:link w:val="3"/>
    <w:qFormat/>
    <w:uiPriority w:val="0"/>
    <w:rPr>
      <w:kern w:val="2"/>
      <w:sz w:val="18"/>
      <w:szCs w:val="18"/>
    </w:rPr>
  </w:style>
  <w:style w:type="paragraph" w:styleId="18">
    <w:name w:val="List Paragraph"/>
    <w:basedOn w:val="1"/>
    <w:qFormat/>
    <w:uiPriority w:val="99"/>
    <w:pPr>
      <w:ind w:firstLine="420" w:firstLineChars="200"/>
    </w:p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customStyle="1" w:styleId="20">
    <w:name w:val="_Style 6"/>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903</Words>
  <Characters>981</Characters>
  <Lines>14</Lines>
  <Paragraphs>4</Paragraphs>
  <TotalTime>7</TotalTime>
  <ScaleCrop>false</ScaleCrop>
  <LinksUpToDate>false</LinksUpToDate>
  <CharactersWithSpaces>1028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2022-01-06T04:03:00Z</dcterms:created>
  <dc:creator>huoym</dc:creator>
  <cp:lastModifiedBy>YM</cp:lastModifiedBy>
  <cp:lastPrinted>2021-04-27T07:46:00Z</cp:lastPrinted>
  <dcterms:modified xsi:type="dcterms:W3CDTF">2024-11-01T03:19:13Z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3128A8586A1746C59C115E9098EEF7D3_13</vt:lpwstr>
  </property>
</Properties>
</file>