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证券代码：601777                                            证券简称：力帆科技</w:t>
      </w:r>
    </w:p>
    <w:p>
      <w:pPr>
        <w:jc w:val="center"/>
        <w:rPr>
          <w:rFonts w:ascii="黑体" w:hAnsi="黑体" w:eastAsia="黑体" w:cs="黑体"/>
          <w:b/>
          <w:iCs/>
          <w:color w:val="000000"/>
          <w:szCs w:val="21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i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iCs/>
          <w:color w:val="000000"/>
          <w:sz w:val="36"/>
          <w:szCs w:val="36"/>
        </w:rPr>
        <w:t>力帆科技（集团）股份有限公司</w:t>
      </w:r>
    </w:p>
    <w:p>
      <w:pPr>
        <w:spacing w:line="360" w:lineRule="auto"/>
        <w:jc w:val="center"/>
        <w:rPr>
          <w:rFonts w:ascii="黑体" w:hAnsi="黑体" w:eastAsia="黑体" w:cs="黑体"/>
          <w:b/>
          <w:i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iCs/>
          <w:color w:val="000000"/>
          <w:sz w:val="36"/>
          <w:szCs w:val="36"/>
        </w:rPr>
        <w:t>投资者关系活动记录表</w:t>
      </w:r>
    </w:p>
    <w:p>
      <w:pPr>
        <w:spacing w:line="360" w:lineRule="auto"/>
        <w:rPr>
          <w:rFonts w:hint="default" w:ascii="宋体" w:hAnsi="宋体" w:eastAsia="宋体" w:cs="宋体"/>
          <w:bCs/>
          <w:i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iCs/>
          <w:color w:val="000000"/>
          <w:sz w:val="24"/>
          <w:szCs w:val="24"/>
        </w:rPr>
        <w:t xml:space="preserve">                                                  编号：202</w:t>
      </w:r>
      <w:r>
        <w:rPr>
          <w:rFonts w:hint="eastAsia" w:ascii="宋体" w:hAnsi="宋体" w:cs="宋体"/>
          <w:bCs/>
          <w:iCs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bCs/>
          <w:iCs/>
          <w:color w:val="000000"/>
          <w:sz w:val="24"/>
          <w:szCs w:val="24"/>
        </w:rPr>
        <w:t>-</w:t>
      </w:r>
      <w:r>
        <w:rPr>
          <w:rFonts w:hint="eastAsia" w:ascii="宋体" w:hAnsi="宋体" w:cs="宋体"/>
          <w:bCs/>
          <w:iCs/>
          <w:color w:val="000000"/>
          <w:sz w:val="24"/>
          <w:szCs w:val="24"/>
          <w:lang w:val="en-US" w:eastAsia="zh-CN"/>
        </w:rPr>
        <w:t>11</w:t>
      </w:r>
      <w:r>
        <w:rPr>
          <w:rFonts w:hint="eastAsia" w:ascii="宋体" w:hAnsi="宋体" w:cs="宋体"/>
          <w:bCs/>
          <w:iCs/>
          <w:color w:val="000000"/>
          <w:sz w:val="24"/>
          <w:szCs w:val="24"/>
        </w:rPr>
        <w:t>-</w:t>
      </w:r>
      <w:r>
        <w:rPr>
          <w:rFonts w:hint="eastAsia" w:ascii="宋体" w:hAnsi="宋体" w:cs="宋体"/>
          <w:bCs/>
          <w:iCs/>
          <w:color w:val="000000"/>
          <w:sz w:val="24"/>
          <w:szCs w:val="24"/>
          <w:lang w:val="en-US" w:eastAsia="zh-CN"/>
        </w:rPr>
        <w:t>1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i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iCs/>
                <w:color w:val="auto"/>
                <w:sz w:val="24"/>
                <w:szCs w:val="24"/>
                <w:highlight w:val="none"/>
              </w:rPr>
              <w:t>投资者关系活动类别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cs="宋体"/>
                <w:bCs/>
                <w:i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iCs/>
                <w:color w:val="auto"/>
                <w:kern w:val="0"/>
                <w:sz w:val="24"/>
                <w:highlight w:val="none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iCs/>
                <w:color w:val="auto"/>
                <w:kern w:val="0"/>
                <w:sz w:val="24"/>
                <w:highlight w:val="none"/>
              </w:rPr>
              <w:t>特定对象调研    □分析师会议</w:t>
            </w:r>
          </w:p>
          <w:p>
            <w:pPr>
              <w:rPr>
                <w:rFonts w:ascii="宋体" w:cs="宋体"/>
                <w:bCs/>
                <w:i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iCs/>
                <w:color w:val="auto"/>
                <w:kern w:val="0"/>
                <w:sz w:val="24"/>
                <w:highlight w:val="none"/>
              </w:rPr>
              <w:t>□媒体采访        □业绩说明会</w:t>
            </w:r>
          </w:p>
          <w:p>
            <w:pPr>
              <w:rPr>
                <w:rFonts w:ascii="宋体" w:cs="宋体"/>
                <w:bCs/>
                <w:i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iCs/>
                <w:color w:val="auto"/>
                <w:kern w:val="0"/>
                <w:sz w:val="24"/>
                <w:highlight w:val="none"/>
              </w:rPr>
              <w:t>□新闻发布会      □路演活动</w:t>
            </w:r>
          </w:p>
          <w:p>
            <w:pPr>
              <w:tabs>
                <w:tab w:val="left" w:pos="3045"/>
                <w:tab w:val="center" w:pos="3199"/>
              </w:tabs>
              <w:rPr>
                <w:rFonts w:ascii="宋体" w:cs="宋体"/>
                <w:bCs/>
                <w:i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iCs/>
                <w:color w:val="auto"/>
                <w:kern w:val="0"/>
                <w:sz w:val="24"/>
                <w:highlight w:val="none"/>
              </w:rPr>
              <w:t>□现场参观</w:t>
            </w:r>
            <w:r>
              <w:rPr>
                <w:rFonts w:ascii="宋体" w:cs="宋体"/>
                <w:bCs/>
                <w:iCs/>
                <w:color w:val="auto"/>
                <w:kern w:val="0"/>
                <w:sz w:val="24"/>
                <w:highlight w:val="none"/>
              </w:rPr>
              <w:tab/>
            </w:r>
          </w:p>
          <w:p>
            <w:pPr>
              <w:tabs>
                <w:tab w:val="center" w:pos="3199"/>
              </w:tabs>
              <w:rPr>
                <w:rFonts w:ascii="宋体" w:hAnsi="宋体" w:cs="宋体"/>
                <w:bCs/>
                <w:i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iCs/>
                <w:color w:val="auto"/>
                <w:kern w:val="0"/>
                <w:sz w:val="24"/>
                <w:highlight w:val="none"/>
              </w:rPr>
              <w:t>□其他（电话会议）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i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iCs/>
                <w:color w:val="auto"/>
                <w:sz w:val="24"/>
                <w:szCs w:val="24"/>
                <w:highlight w:val="none"/>
              </w:rPr>
              <w:t>接待对象单位名称及人员姓名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i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iCs/>
                <w:color w:val="auto"/>
                <w:sz w:val="24"/>
                <w:szCs w:val="24"/>
                <w:highlight w:val="none"/>
              </w:rPr>
              <w:t>西部证券</w:t>
            </w:r>
            <w:r>
              <w:rPr>
                <w:rFonts w:hint="eastAsia" w:ascii="宋体" w:hAnsi="宋体" w:cs="宋体"/>
                <w:bCs/>
                <w:iCs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iCs/>
                <w:color w:val="auto"/>
                <w:sz w:val="24"/>
                <w:szCs w:val="24"/>
                <w:highlight w:val="none"/>
                <w:lang w:val="en-US" w:eastAsia="zh-CN"/>
              </w:rPr>
              <w:t>长江证券、中信证券、</w:t>
            </w:r>
            <w:r>
              <w:rPr>
                <w:rFonts w:hint="eastAsia" w:ascii="宋体" w:hAnsi="宋体" w:cs="宋体"/>
                <w:bCs/>
                <w:iCs/>
                <w:color w:val="auto"/>
                <w:sz w:val="24"/>
                <w:szCs w:val="24"/>
                <w:highlight w:val="none"/>
              </w:rPr>
              <w:t>中信建投</w:t>
            </w:r>
            <w:r>
              <w:rPr>
                <w:rFonts w:hint="eastAsia" w:ascii="宋体" w:hAnsi="宋体" w:cs="宋体"/>
                <w:bCs/>
                <w:iCs/>
                <w:color w:val="auto"/>
                <w:sz w:val="24"/>
                <w:szCs w:val="24"/>
                <w:highlight w:val="none"/>
                <w:lang w:val="en-US" w:eastAsia="zh-CN"/>
              </w:rPr>
              <w:t>证券</w:t>
            </w:r>
            <w:r>
              <w:rPr>
                <w:rFonts w:hint="eastAsia" w:ascii="宋体" w:hAnsi="宋体" w:cs="宋体"/>
                <w:bCs/>
                <w:iCs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iCs/>
                <w:color w:val="auto"/>
                <w:sz w:val="24"/>
                <w:szCs w:val="24"/>
                <w:highlight w:val="none"/>
              </w:rPr>
              <w:t>天风证券</w:t>
            </w:r>
            <w:r>
              <w:rPr>
                <w:rFonts w:hint="eastAsia" w:ascii="宋体" w:hAnsi="宋体" w:cs="宋体"/>
                <w:bCs/>
                <w:iCs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iCs/>
                <w:color w:val="auto"/>
                <w:sz w:val="24"/>
                <w:szCs w:val="24"/>
                <w:highlight w:val="none"/>
                <w:lang w:val="en-US" w:eastAsia="zh-CN"/>
              </w:rPr>
              <w:t>华安基金、中泰证券、高毅资产、兴业基金、银河基金、博时基金、华宝基金、</w:t>
            </w:r>
            <w:r>
              <w:rPr>
                <w:rFonts w:hint="eastAsia" w:ascii="宋体" w:hAnsi="宋体" w:cs="宋体"/>
                <w:bCs/>
                <w:iCs/>
                <w:color w:val="auto"/>
                <w:sz w:val="24"/>
                <w:szCs w:val="24"/>
                <w:highlight w:val="none"/>
              </w:rPr>
              <w:t>银华基金</w:t>
            </w:r>
            <w:r>
              <w:rPr>
                <w:rFonts w:hint="eastAsia" w:ascii="宋体" w:hAnsi="宋体" w:cs="宋体"/>
                <w:bCs/>
                <w:iCs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iCs/>
                <w:color w:val="auto"/>
                <w:sz w:val="24"/>
                <w:szCs w:val="24"/>
                <w:highlight w:val="none"/>
              </w:rPr>
              <w:t>鑫元基金</w:t>
            </w:r>
            <w:r>
              <w:rPr>
                <w:rFonts w:hint="eastAsia" w:ascii="宋体" w:hAnsi="宋体" w:cs="宋体"/>
                <w:bCs/>
                <w:iCs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iCs/>
                <w:color w:val="auto"/>
                <w:sz w:val="24"/>
                <w:szCs w:val="24"/>
                <w:highlight w:val="none"/>
              </w:rPr>
              <w:t>中泰资管</w:t>
            </w:r>
            <w:r>
              <w:rPr>
                <w:rFonts w:hint="eastAsia" w:ascii="宋体" w:hAnsi="宋体" w:cs="宋体"/>
                <w:bCs/>
                <w:iCs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iCs/>
                <w:color w:val="auto"/>
                <w:sz w:val="24"/>
                <w:szCs w:val="24"/>
                <w:highlight w:val="none"/>
              </w:rPr>
              <w:t>富国基金</w:t>
            </w:r>
            <w:r>
              <w:rPr>
                <w:rFonts w:hint="eastAsia" w:ascii="宋体" w:hAnsi="宋体" w:cs="宋体"/>
                <w:bCs/>
                <w:iCs/>
                <w:color w:val="auto"/>
                <w:sz w:val="24"/>
                <w:szCs w:val="24"/>
                <w:highlight w:val="none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i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iCs/>
                <w:color w:val="auto"/>
                <w:sz w:val="24"/>
                <w:szCs w:val="24"/>
                <w:highlight w:val="none"/>
              </w:rPr>
              <w:t>公司接待人员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i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iCs/>
                <w:color w:val="auto"/>
                <w:sz w:val="24"/>
                <w:szCs w:val="24"/>
                <w:highlight w:val="none"/>
              </w:rPr>
              <w:t>董事会秘书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i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iCs/>
                <w:color w:val="auto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i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iCs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 w:cs="宋体"/>
                <w:bCs/>
                <w:iCs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iCs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cs="宋体"/>
                <w:bCs/>
                <w:iCs/>
                <w:color w:val="auto"/>
                <w:sz w:val="24"/>
                <w:szCs w:val="24"/>
                <w:highlight w:val="none"/>
                <w:lang w:val="en-US" w:eastAsia="zh-CN"/>
              </w:rPr>
              <w:t>9至10</w:t>
            </w:r>
            <w:r>
              <w:rPr>
                <w:rFonts w:hint="eastAsia" w:ascii="宋体" w:hAnsi="宋体" w:cs="宋体"/>
                <w:bCs/>
                <w:iCs/>
                <w:color w:val="auto"/>
                <w:sz w:val="24"/>
                <w:szCs w:val="24"/>
                <w:highlight w:val="none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i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iCs/>
                <w:color w:val="auto"/>
                <w:sz w:val="24"/>
                <w:szCs w:val="24"/>
                <w:highlight w:val="none"/>
              </w:rPr>
              <w:t>地点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i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iCs/>
                <w:color w:val="auto"/>
                <w:sz w:val="24"/>
                <w:szCs w:val="24"/>
                <w:highlight w:val="none"/>
              </w:rPr>
              <w:t>力帆科技（集团）股份有限公司11楼会议室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iCs/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交流内容及具体问答记录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Chars="0"/>
              <w:rPr>
                <w:rFonts w:hint="eastAsia" w:ascii="宋体" w:hAnsi="宋体" w:cs="宋体"/>
                <w:bCs/>
                <w:i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iCs/>
                <w:color w:val="auto"/>
                <w:sz w:val="24"/>
                <w:szCs w:val="24"/>
                <w:highlight w:val="none"/>
                <w:lang w:val="en-US" w:eastAsia="zh-CN"/>
              </w:rPr>
              <w:t>请问公司股东股权变更调整后，上市公司的股东结构如何？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Cs/>
                <w:i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iCs/>
                <w:color w:val="auto"/>
                <w:sz w:val="24"/>
                <w:szCs w:val="24"/>
                <w:highlight w:val="none"/>
                <w:lang w:val="en-US" w:eastAsia="zh-CN"/>
              </w:rPr>
              <w:t>回复：公司股东股权变更情况详见公司于2024年7月3日在上海证券交易所网站（www.sse.com.cn）披露的《关于控股股东出资结构变动的提示性公告》（公告编号：临2024-043）和《关于持股5%以上股东间接转让公司股份暨权益变动的提示性公告》（公告编号：临2024-044）。股权转让完成后的股东结构如下图：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cs="宋体"/>
                <w:bCs/>
                <w:i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Cs/>
                <w:i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i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Cs/>
                <w:iCs/>
                <w:color w:val="auto"/>
                <w:sz w:val="24"/>
                <w:szCs w:val="24"/>
                <w:highlight w:val="none"/>
                <w:lang w:val="en-US" w:eastAsia="zh-CN"/>
              </w:rPr>
              <w:drawing>
                <wp:inline distT="0" distB="0" distL="114300" distR="114300">
                  <wp:extent cx="3542030" cy="1921510"/>
                  <wp:effectExtent l="0" t="0" r="1270" b="8890"/>
                  <wp:docPr id="1" name="图片 1" descr="0b4878fa29ca38a9136ac868f1d9b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b4878fa29ca38a9136ac868f1d9bd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2030" cy="1921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Cs/>
                <w:i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Cs/>
                <w:iCs/>
                <w:color w:val="auto"/>
                <w:sz w:val="24"/>
                <w:szCs w:val="24"/>
                <w:highlight w:val="none"/>
                <w:lang w:val="en-US" w:eastAsia="zh-CN"/>
              </w:rPr>
            </w:pPr>
            <w:bookmarkStart w:id="0" w:name="_GoBack"/>
            <w:bookmarkEnd w:id="0"/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cs="宋体"/>
                <w:bCs/>
                <w:i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iCs/>
                <w:color w:val="auto"/>
                <w:sz w:val="24"/>
                <w:szCs w:val="24"/>
                <w:highlight w:val="none"/>
                <w:lang w:val="en-US" w:eastAsia="zh-CN"/>
              </w:rPr>
              <w:t>请问股东变更调整后对公司未来的发展方向如何重新定位，是否制定新的战略发展规划？</w:t>
            </w:r>
          </w:p>
          <w:p>
            <w:pPr>
              <w:rPr>
                <w:rFonts w:hint="eastAsia" w:ascii="宋体" w:hAnsi="宋体" w:cs="宋体"/>
                <w:bCs/>
                <w:i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iCs/>
                <w:color w:val="auto"/>
                <w:sz w:val="24"/>
                <w:szCs w:val="24"/>
                <w:highlight w:val="none"/>
                <w:lang w:val="en-US" w:eastAsia="zh-CN"/>
              </w:rPr>
              <w:t>回复：</w:t>
            </w:r>
            <w:r>
              <w:rPr>
                <w:rFonts w:hint="eastAsia" w:ascii="宋体" w:hAnsi="宋体" w:cs="宋体"/>
                <w:bCs/>
                <w:iCs/>
                <w:color w:val="auto"/>
                <w:sz w:val="24"/>
                <w:szCs w:val="24"/>
                <w:highlight w:val="none"/>
              </w:rPr>
              <w:t>公司</w:t>
            </w:r>
            <w:r>
              <w:rPr>
                <w:rFonts w:hint="eastAsia" w:ascii="宋体" w:hAnsi="宋体" w:cs="宋体"/>
                <w:bCs/>
                <w:iCs/>
                <w:color w:val="auto"/>
                <w:sz w:val="24"/>
                <w:szCs w:val="24"/>
                <w:highlight w:val="none"/>
                <w:lang w:val="en-US" w:eastAsia="zh-CN"/>
              </w:rPr>
              <w:t>正在调整董事会成员，公司</w:t>
            </w:r>
            <w:r>
              <w:rPr>
                <w:rFonts w:hint="eastAsia" w:ascii="宋体" w:hAnsi="宋体" w:cs="宋体"/>
                <w:bCs/>
                <w:iCs/>
                <w:color w:val="auto"/>
                <w:sz w:val="24"/>
                <w:szCs w:val="24"/>
                <w:highlight w:val="none"/>
              </w:rPr>
              <w:t>管理层还未就具体的业务发展方向进行深入研讨，</w:t>
            </w:r>
            <w:r>
              <w:rPr>
                <w:rFonts w:hint="eastAsia" w:ascii="宋体" w:hAnsi="宋体" w:cs="宋体"/>
                <w:bCs/>
                <w:iCs/>
                <w:color w:val="auto"/>
                <w:sz w:val="24"/>
                <w:szCs w:val="24"/>
                <w:highlight w:val="none"/>
                <w:lang w:val="en-US" w:eastAsia="zh-CN"/>
              </w:rPr>
              <w:t>暂未制定新的战略规划</w:t>
            </w:r>
            <w:r>
              <w:rPr>
                <w:rFonts w:hint="eastAsia" w:ascii="宋体" w:hAnsi="宋体" w:cs="宋体"/>
                <w:bCs/>
                <w:iCs/>
                <w:color w:val="auto"/>
                <w:sz w:val="24"/>
                <w:szCs w:val="24"/>
                <w:highlight w:val="none"/>
              </w:rPr>
              <w:t>。</w:t>
            </w:r>
          </w:p>
          <w:p>
            <w:pPr>
              <w:rPr>
                <w:rFonts w:hint="eastAsia" w:ascii="宋体" w:hAnsi="宋体" w:cs="宋体"/>
                <w:bCs/>
                <w:iCs/>
                <w:color w:val="auto"/>
                <w:sz w:val="24"/>
                <w:szCs w:val="24"/>
                <w:highlight w:val="none"/>
              </w:rPr>
            </w:pP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cs="宋体"/>
                <w:bCs/>
                <w:i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iCs/>
                <w:color w:val="auto"/>
                <w:sz w:val="24"/>
                <w:szCs w:val="24"/>
                <w:highlight w:val="none"/>
                <w:lang w:val="en-US" w:eastAsia="zh-CN"/>
              </w:rPr>
              <w:t>请介绍一下公司业务构成情况？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bCs/>
                <w:i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iCs/>
                <w:color w:val="auto"/>
                <w:sz w:val="24"/>
                <w:szCs w:val="24"/>
                <w:highlight w:val="none"/>
                <w:lang w:val="en-US" w:eastAsia="zh-CN"/>
              </w:rPr>
              <w:t>回复：公司以新能源产业为战略发展方向，目前业务结构主要包括以下几个方面：</w:t>
            </w:r>
          </w:p>
          <w:p>
            <w:pPr>
              <w:numPr>
                <w:ilvl w:val="0"/>
                <w:numId w:val="2"/>
              </w:numPr>
              <w:ind w:firstLine="240" w:firstLineChars="100"/>
              <w:rPr>
                <w:rFonts w:hint="eastAsia" w:ascii="宋体" w:hAnsi="宋体" w:cs="宋体"/>
                <w:bCs/>
                <w:i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iCs/>
                <w:color w:val="auto"/>
                <w:sz w:val="24"/>
                <w:szCs w:val="24"/>
                <w:highlight w:val="none"/>
                <w:lang w:val="en-US" w:eastAsia="zh-CN"/>
              </w:rPr>
              <w:t>汽车业务：睿蓝汽车正凭借其在B端市场、C端市场以及海外市场的三重战略布局，稳步推进新能源汽车业务的发展。在B端市场，以“枫叶”品牌为依托，推出了智能换电轿车60S、专为都市商务人士设计的80V，以及为共享出行量身定制的曹操60。在C端市场，通过“睿蓝”品牌，推出了能够满足家庭、商业和公务等多样化使用场景的睿蓝9，以及配备L2+智能驾驶辅助系统的智能后驱SUV睿蓝7。在海外市场，持续推出高性价比的X3 PRO、S6 PRO、X6 PRO等燃油车型，以满足海外经销商和用户的多元化需求。目前汽车业务收入占比上市公司销售收入约60%；</w:t>
            </w:r>
          </w:p>
          <w:p>
            <w:pPr>
              <w:numPr>
                <w:ilvl w:val="0"/>
                <w:numId w:val="2"/>
              </w:numPr>
              <w:ind w:left="0" w:leftChars="0" w:firstLine="240" w:firstLineChars="100"/>
              <w:rPr>
                <w:rFonts w:hint="eastAsia" w:ascii="宋体" w:hAnsi="宋体" w:cs="宋体"/>
                <w:bCs/>
                <w:i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iCs/>
                <w:color w:val="auto"/>
                <w:sz w:val="24"/>
                <w:szCs w:val="24"/>
                <w:highlight w:val="none"/>
                <w:lang w:val="en-US" w:eastAsia="zh-CN"/>
              </w:rPr>
              <w:t>摩托车及发动机业务：公司凭借力帆摩托和派方机车两大品牌，全面覆盖了从传统到高端的摩托车市场。力帆摩托拥有包括街车、跑车、骑士车、踏板车、弯梁车、太子车、越野车、电动车在内的丰富产品线，其产品畅销东南亚、西亚、欧洲、非洲、南美等100多个国家和地区。派方机车则定位国内中高端市场，其产品线涵盖星舰6、星舰4、星雷等多款型号，以其独特的设计和先进的技术，满足不同消费者的需求。摩托车及摩托车发动机业务占上市公司销售收入约30%；</w:t>
            </w:r>
          </w:p>
          <w:p>
            <w:pPr>
              <w:numPr>
                <w:ilvl w:val="0"/>
                <w:numId w:val="2"/>
              </w:numPr>
              <w:ind w:left="0" w:leftChars="0" w:firstLine="240" w:firstLineChars="100"/>
              <w:rPr>
                <w:rFonts w:hint="eastAsia" w:ascii="宋体" w:hAnsi="宋体" w:cs="宋体"/>
                <w:bCs/>
                <w:i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iCs/>
                <w:color w:val="auto"/>
                <w:sz w:val="24"/>
                <w:szCs w:val="24"/>
                <w:highlight w:val="none"/>
                <w:lang w:val="en-US" w:eastAsia="zh-CN"/>
              </w:rPr>
              <w:t>通机业务：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力帆通机专业研发生产和销售通用汽柴油机、发电机组、高压清洗机、水泵、电动产品和农园林机械产品等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产品远销北美、欧洲、非洲、亚洲等130多个国家和地区</w:t>
            </w:r>
            <w:r>
              <w:rPr>
                <w:rFonts w:hint="eastAsia" w:ascii="宋体" w:hAnsi="宋体" w:cs="宋体"/>
                <w:bCs/>
                <w:iCs/>
                <w:color w:val="auto"/>
                <w:sz w:val="24"/>
                <w:szCs w:val="24"/>
                <w:highlight w:val="none"/>
                <w:lang w:val="en-US" w:eastAsia="zh-CN"/>
              </w:rPr>
              <w:t>。通机业务占上市公司销售收入约6%；</w:t>
            </w:r>
          </w:p>
          <w:p>
            <w:pPr>
              <w:numPr>
                <w:ilvl w:val="0"/>
                <w:numId w:val="2"/>
              </w:numPr>
              <w:ind w:left="0" w:leftChars="0" w:firstLine="240" w:firstLineChars="100"/>
              <w:rPr>
                <w:rFonts w:hint="eastAsia" w:ascii="宋体" w:hAnsi="宋体" w:cs="宋体"/>
                <w:bCs/>
                <w:i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iCs/>
                <w:color w:val="auto"/>
                <w:sz w:val="24"/>
                <w:szCs w:val="24"/>
                <w:highlight w:val="none"/>
                <w:lang w:val="en-US" w:eastAsia="zh-CN"/>
              </w:rPr>
              <w:t>其他业务：公司持有房地产公司润田地产50%的股权和重庆银行股份有限公司8.49%的股权。润田地产业务主要为存量房产的销售和自持商业物业的管理，重庆银行股份作为长期股权类投资，为公司提供了持续的分红回报。</w:t>
            </w:r>
          </w:p>
          <w:p>
            <w:pPr>
              <w:rPr>
                <w:rFonts w:hint="default" w:ascii="宋体" w:hAnsi="宋体" w:cs="宋体"/>
                <w:bCs/>
                <w:i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bCs/>
                <w:i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iCs/>
                <w:color w:val="auto"/>
                <w:sz w:val="24"/>
                <w:szCs w:val="24"/>
                <w:highlight w:val="none"/>
                <w:lang w:val="en-US" w:eastAsia="zh-CN"/>
              </w:rPr>
              <w:t>4：请问睿蓝8什么时候上市？是什么类型的产品？</w:t>
            </w:r>
          </w:p>
          <w:p>
            <w:pPr>
              <w:rPr>
                <w:rFonts w:hint="eastAsia" w:ascii="宋体" w:hAnsi="宋体" w:cs="宋体"/>
                <w:bCs/>
                <w:i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iCs/>
                <w:color w:val="auto"/>
                <w:sz w:val="24"/>
                <w:szCs w:val="24"/>
                <w:highlight w:val="none"/>
                <w:lang w:val="en-US" w:eastAsia="zh-CN"/>
              </w:rPr>
              <w:t>回答：睿蓝8是睿蓝汽车推出的全能大七座纯电MPV，计划于今年四季度上市。睿蓝8可实现515KM超长续航，采用五合一高度集成电驱，效率超88%，让出行更具经济性；拥有1798L宽敞驾乘空间和459L后备箱的七座大空间布局，可为日常家用或长途出行提供舒适体验；搭载7项主动安全辅助技术，全系标配倒车影像+后驻车雷达，让行驶更安全。睿蓝8将以更低成本、更长续航、更大空间的全维产品力提升，满足用户的用车需求。</w:t>
            </w:r>
          </w:p>
          <w:p>
            <w:pPr>
              <w:rPr>
                <w:rFonts w:ascii="宋体" w:hAnsi="宋体" w:cs="宋体"/>
                <w:bCs/>
                <w:i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iCs/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关于本次活动是否涉及应当披露重大信息的说明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i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iCs/>
                <w:color w:val="auto"/>
                <w:sz w:val="24"/>
                <w:szCs w:val="24"/>
                <w:highlight w:val="none"/>
              </w:rPr>
              <w:t>本次活动不涉及应当披露的重大信息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i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iCs/>
                <w:color w:val="auto"/>
                <w:sz w:val="24"/>
                <w:szCs w:val="24"/>
                <w:highlight w:val="none"/>
              </w:rPr>
              <w:t>附件清单（如有）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Cs/>
                <w:i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iCs/>
                <w:color w:val="auto"/>
                <w:sz w:val="24"/>
                <w:szCs w:val="24"/>
                <w:highlight w:val="none"/>
              </w:rPr>
              <w:t>无</w:t>
            </w:r>
          </w:p>
        </w:tc>
      </w:tr>
    </w:tbl>
    <w:p>
      <w:pPr>
        <w:rPr>
          <w:vanish/>
        </w:rPr>
      </w:pPr>
    </w:p>
    <w:p>
      <w:pPr>
        <w:rPr>
          <w:color w:val="00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768212"/>
    <w:multiLevelType w:val="singleLevel"/>
    <w:tmpl w:val="B976821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AAC1D3B"/>
    <w:multiLevelType w:val="singleLevel"/>
    <w:tmpl w:val="DAAC1D3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MzVkOTRlNjM0NTZhY2NmZGFjNGZjYTY0N2Q1OGYifQ=="/>
  </w:docVars>
  <w:rsids>
    <w:rsidRoot w:val="493A274D"/>
    <w:rsid w:val="000B37A3"/>
    <w:rsid w:val="000B44D3"/>
    <w:rsid w:val="000D3195"/>
    <w:rsid w:val="0011651D"/>
    <w:rsid w:val="00131567"/>
    <w:rsid w:val="001538EC"/>
    <w:rsid w:val="00194988"/>
    <w:rsid w:val="002D7559"/>
    <w:rsid w:val="00342DF2"/>
    <w:rsid w:val="003907BD"/>
    <w:rsid w:val="0040799B"/>
    <w:rsid w:val="004108A1"/>
    <w:rsid w:val="004209CD"/>
    <w:rsid w:val="004A7D33"/>
    <w:rsid w:val="004E3C5E"/>
    <w:rsid w:val="004F1DE1"/>
    <w:rsid w:val="005C48B6"/>
    <w:rsid w:val="005F5B65"/>
    <w:rsid w:val="00643C50"/>
    <w:rsid w:val="00727D52"/>
    <w:rsid w:val="008662F6"/>
    <w:rsid w:val="00885FE9"/>
    <w:rsid w:val="008B02B2"/>
    <w:rsid w:val="008B7CBB"/>
    <w:rsid w:val="00943F5C"/>
    <w:rsid w:val="00947E52"/>
    <w:rsid w:val="00963A45"/>
    <w:rsid w:val="0097036B"/>
    <w:rsid w:val="0098160F"/>
    <w:rsid w:val="009A1F1E"/>
    <w:rsid w:val="009A470E"/>
    <w:rsid w:val="00A34F53"/>
    <w:rsid w:val="00A50A18"/>
    <w:rsid w:val="00A6248B"/>
    <w:rsid w:val="00A67D58"/>
    <w:rsid w:val="00AB44D5"/>
    <w:rsid w:val="00AE3752"/>
    <w:rsid w:val="00B234DF"/>
    <w:rsid w:val="00B855D7"/>
    <w:rsid w:val="00C9722B"/>
    <w:rsid w:val="00CC76F4"/>
    <w:rsid w:val="00CF0C81"/>
    <w:rsid w:val="00D044EB"/>
    <w:rsid w:val="00DB0956"/>
    <w:rsid w:val="00DF5B36"/>
    <w:rsid w:val="00E93B7E"/>
    <w:rsid w:val="00F40DEE"/>
    <w:rsid w:val="00F91AFA"/>
    <w:rsid w:val="00F93D7A"/>
    <w:rsid w:val="013A4958"/>
    <w:rsid w:val="0146246E"/>
    <w:rsid w:val="014A26E1"/>
    <w:rsid w:val="018F0E78"/>
    <w:rsid w:val="01967485"/>
    <w:rsid w:val="01BF5686"/>
    <w:rsid w:val="01E614DD"/>
    <w:rsid w:val="01F95A93"/>
    <w:rsid w:val="0218183D"/>
    <w:rsid w:val="02934335"/>
    <w:rsid w:val="02AE68AF"/>
    <w:rsid w:val="02C247AE"/>
    <w:rsid w:val="037C15AD"/>
    <w:rsid w:val="03C230FA"/>
    <w:rsid w:val="042A4EC4"/>
    <w:rsid w:val="04620E04"/>
    <w:rsid w:val="048D195A"/>
    <w:rsid w:val="049F57FE"/>
    <w:rsid w:val="04FE5637"/>
    <w:rsid w:val="050B39E6"/>
    <w:rsid w:val="05251DE5"/>
    <w:rsid w:val="053138D4"/>
    <w:rsid w:val="05B023A4"/>
    <w:rsid w:val="05F05BAB"/>
    <w:rsid w:val="065C776E"/>
    <w:rsid w:val="067A2B8B"/>
    <w:rsid w:val="069229F8"/>
    <w:rsid w:val="06CE0EAF"/>
    <w:rsid w:val="06DA4BFF"/>
    <w:rsid w:val="0780281E"/>
    <w:rsid w:val="07D93108"/>
    <w:rsid w:val="08035A16"/>
    <w:rsid w:val="08562CE8"/>
    <w:rsid w:val="08852541"/>
    <w:rsid w:val="0890371A"/>
    <w:rsid w:val="08C534BB"/>
    <w:rsid w:val="09243AC5"/>
    <w:rsid w:val="09921729"/>
    <w:rsid w:val="0A0276D6"/>
    <w:rsid w:val="0A0342E9"/>
    <w:rsid w:val="0A3858C9"/>
    <w:rsid w:val="0A727E8E"/>
    <w:rsid w:val="0A991AB3"/>
    <w:rsid w:val="0AA86C32"/>
    <w:rsid w:val="0AF00CC5"/>
    <w:rsid w:val="0B293A5F"/>
    <w:rsid w:val="0B2D611B"/>
    <w:rsid w:val="0B382AA3"/>
    <w:rsid w:val="0B742D43"/>
    <w:rsid w:val="0B8C4E21"/>
    <w:rsid w:val="0C050798"/>
    <w:rsid w:val="0C2B42CB"/>
    <w:rsid w:val="0CC6187A"/>
    <w:rsid w:val="0CC90541"/>
    <w:rsid w:val="0D14156B"/>
    <w:rsid w:val="0D300E2A"/>
    <w:rsid w:val="0DC161D1"/>
    <w:rsid w:val="0DCD62F4"/>
    <w:rsid w:val="0E214D9D"/>
    <w:rsid w:val="0E5B60C3"/>
    <w:rsid w:val="0E800F2B"/>
    <w:rsid w:val="0EE046D9"/>
    <w:rsid w:val="0F251AA6"/>
    <w:rsid w:val="0FCC716B"/>
    <w:rsid w:val="0FF5178D"/>
    <w:rsid w:val="10295E18"/>
    <w:rsid w:val="106266AB"/>
    <w:rsid w:val="107A6B0B"/>
    <w:rsid w:val="11B7516C"/>
    <w:rsid w:val="12D76BA9"/>
    <w:rsid w:val="13276D39"/>
    <w:rsid w:val="134B421D"/>
    <w:rsid w:val="148131C1"/>
    <w:rsid w:val="149745E3"/>
    <w:rsid w:val="14D25125"/>
    <w:rsid w:val="15862DE4"/>
    <w:rsid w:val="16786CCF"/>
    <w:rsid w:val="16875F60"/>
    <w:rsid w:val="16BD154C"/>
    <w:rsid w:val="16CB272E"/>
    <w:rsid w:val="16FA111C"/>
    <w:rsid w:val="174543FE"/>
    <w:rsid w:val="17924700"/>
    <w:rsid w:val="17AD6819"/>
    <w:rsid w:val="17BA4FFA"/>
    <w:rsid w:val="17F7378E"/>
    <w:rsid w:val="182A5648"/>
    <w:rsid w:val="186F6D84"/>
    <w:rsid w:val="193D08CB"/>
    <w:rsid w:val="193E1B5D"/>
    <w:rsid w:val="19731801"/>
    <w:rsid w:val="19736C7A"/>
    <w:rsid w:val="19752F56"/>
    <w:rsid w:val="198B34A8"/>
    <w:rsid w:val="19AF13A3"/>
    <w:rsid w:val="19E675F9"/>
    <w:rsid w:val="1A146A9A"/>
    <w:rsid w:val="1A221AAC"/>
    <w:rsid w:val="1A2E44DA"/>
    <w:rsid w:val="1A511DFF"/>
    <w:rsid w:val="1A525767"/>
    <w:rsid w:val="1AB90B6F"/>
    <w:rsid w:val="1B025336"/>
    <w:rsid w:val="1B2E158D"/>
    <w:rsid w:val="1B7504F7"/>
    <w:rsid w:val="1C023119"/>
    <w:rsid w:val="1C0C10F3"/>
    <w:rsid w:val="1C5D463E"/>
    <w:rsid w:val="1C647A98"/>
    <w:rsid w:val="1C7F12A0"/>
    <w:rsid w:val="1CA06B02"/>
    <w:rsid w:val="1CC8316B"/>
    <w:rsid w:val="1D454396"/>
    <w:rsid w:val="1D4C102E"/>
    <w:rsid w:val="1E040809"/>
    <w:rsid w:val="1E1103F2"/>
    <w:rsid w:val="1E2B2EE3"/>
    <w:rsid w:val="1E5E09FB"/>
    <w:rsid w:val="1EB24651"/>
    <w:rsid w:val="1F2B2044"/>
    <w:rsid w:val="1F766517"/>
    <w:rsid w:val="1F7716B2"/>
    <w:rsid w:val="1F7812C6"/>
    <w:rsid w:val="1F7F78A9"/>
    <w:rsid w:val="1FDB043E"/>
    <w:rsid w:val="200D5878"/>
    <w:rsid w:val="203B039C"/>
    <w:rsid w:val="206612F6"/>
    <w:rsid w:val="20B36FFF"/>
    <w:rsid w:val="20D858B3"/>
    <w:rsid w:val="20EF284D"/>
    <w:rsid w:val="212136FE"/>
    <w:rsid w:val="213F699C"/>
    <w:rsid w:val="216F3E17"/>
    <w:rsid w:val="21A3389D"/>
    <w:rsid w:val="21B73BD6"/>
    <w:rsid w:val="222D626C"/>
    <w:rsid w:val="2230437A"/>
    <w:rsid w:val="22B57B24"/>
    <w:rsid w:val="23086DE2"/>
    <w:rsid w:val="23260EAB"/>
    <w:rsid w:val="234D149D"/>
    <w:rsid w:val="23725130"/>
    <w:rsid w:val="23960811"/>
    <w:rsid w:val="23F7716D"/>
    <w:rsid w:val="23FE1CD5"/>
    <w:rsid w:val="24460840"/>
    <w:rsid w:val="24911995"/>
    <w:rsid w:val="24941163"/>
    <w:rsid w:val="24C746D4"/>
    <w:rsid w:val="255657D2"/>
    <w:rsid w:val="25A47F00"/>
    <w:rsid w:val="25C41FB9"/>
    <w:rsid w:val="25E91DEE"/>
    <w:rsid w:val="26314015"/>
    <w:rsid w:val="26964850"/>
    <w:rsid w:val="269C6D7A"/>
    <w:rsid w:val="26DF431D"/>
    <w:rsid w:val="270C67E2"/>
    <w:rsid w:val="270E366C"/>
    <w:rsid w:val="271321C3"/>
    <w:rsid w:val="272E0923"/>
    <w:rsid w:val="273A77E3"/>
    <w:rsid w:val="275C4FC4"/>
    <w:rsid w:val="27886139"/>
    <w:rsid w:val="27936CC4"/>
    <w:rsid w:val="27BF3329"/>
    <w:rsid w:val="27E5575B"/>
    <w:rsid w:val="27EE4BBD"/>
    <w:rsid w:val="283C698F"/>
    <w:rsid w:val="28C7450D"/>
    <w:rsid w:val="28CC40DC"/>
    <w:rsid w:val="292464D5"/>
    <w:rsid w:val="29396FE6"/>
    <w:rsid w:val="296123F9"/>
    <w:rsid w:val="29676259"/>
    <w:rsid w:val="2995095C"/>
    <w:rsid w:val="29D63BF0"/>
    <w:rsid w:val="29E02CD1"/>
    <w:rsid w:val="2AA46831"/>
    <w:rsid w:val="2B4B2F56"/>
    <w:rsid w:val="2B4F2AB2"/>
    <w:rsid w:val="2B5A7295"/>
    <w:rsid w:val="2B735FA9"/>
    <w:rsid w:val="2B8B3C04"/>
    <w:rsid w:val="2B8D7CC4"/>
    <w:rsid w:val="2BCB3BB8"/>
    <w:rsid w:val="2C1572F0"/>
    <w:rsid w:val="2C4E1D99"/>
    <w:rsid w:val="2C800095"/>
    <w:rsid w:val="2C964F80"/>
    <w:rsid w:val="2CAA0127"/>
    <w:rsid w:val="2CB11689"/>
    <w:rsid w:val="2CD47877"/>
    <w:rsid w:val="2CE15995"/>
    <w:rsid w:val="2CF04C15"/>
    <w:rsid w:val="2D8E7697"/>
    <w:rsid w:val="2E024FFE"/>
    <w:rsid w:val="2E590D54"/>
    <w:rsid w:val="2E662152"/>
    <w:rsid w:val="2EA51A7A"/>
    <w:rsid w:val="2F280993"/>
    <w:rsid w:val="2F62420F"/>
    <w:rsid w:val="2F902313"/>
    <w:rsid w:val="2FC75471"/>
    <w:rsid w:val="30095AC2"/>
    <w:rsid w:val="304D05A1"/>
    <w:rsid w:val="30620D37"/>
    <w:rsid w:val="30624903"/>
    <w:rsid w:val="309B06D0"/>
    <w:rsid w:val="30AF5A2C"/>
    <w:rsid w:val="310B34C5"/>
    <w:rsid w:val="31763FF4"/>
    <w:rsid w:val="31D645E6"/>
    <w:rsid w:val="31E72BF8"/>
    <w:rsid w:val="31F63C9F"/>
    <w:rsid w:val="32213984"/>
    <w:rsid w:val="32810B4D"/>
    <w:rsid w:val="3301513E"/>
    <w:rsid w:val="33617B99"/>
    <w:rsid w:val="33774C3E"/>
    <w:rsid w:val="33933192"/>
    <w:rsid w:val="33A677AC"/>
    <w:rsid w:val="33E475F4"/>
    <w:rsid w:val="34A916C2"/>
    <w:rsid w:val="351A769C"/>
    <w:rsid w:val="35227BD5"/>
    <w:rsid w:val="35583604"/>
    <w:rsid w:val="358C1ADF"/>
    <w:rsid w:val="359130D0"/>
    <w:rsid w:val="35C275C5"/>
    <w:rsid w:val="35C9034A"/>
    <w:rsid w:val="360278A7"/>
    <w:rsid w:val="36580EA7"/>
    <w:rsid w:val="36783529"/>
    <w:rsid w:val="37143B06"/>
    <w:rsid w:val="371C3939"/>
    <w:rsid w:val="37603B79"/>
    <w:rsid w:val="38211BE5"/>
    <w:rsid w:val="38794EB2"/>
    <w:rsid w:val="3891605F"/>
    <w:rsid w:val="38975EC3"/>
    <w:rsid w:val="389968C5"/>
    <w:rsid w:val="38B30C88"/>
    <w:rsid w:val="39273424"/>
    <w:rsid w:val="39B568AE"/>
    <w:rsid w:val="39F540C7"/>
    <w:rsid w:val="3A5D0E46"/>
    <w:rsid w:val="3A873793"/>
    <w:rsid w:val="3AFA02EA"/>
    <w:rsid w:val="3B2D645F"/>
    <w:rsid w:val="3B4E6A46"/>
    <w:rsid w:val="3B770BEE"/>
    <w:rsid w:val="3BA92D00"/>
    <w:rsid w:val="3BB0325D"/>
    <w:rsid w:val="3BC903A6"/>
    <w:rsid w:val="3BD403D0"/>
    <w:rsid w:val="3CA8133C"/>
    <w:rsid w:val="3CB00786"/>
    <w:rsid w:val="3D201421"/>
    <w:rsid w:val="3DE22221"/>
    <w:rsid w:val="3E0755D2"/>
    <w:rsid w:val="3EF11FA7"/>
    <w:rsid w:val="3F101C46"/>
    <w:rsid w:val="3F1E47CD"/>
    <w:rsid w:val="3F2B5B2C"/>
    <w:rsid w:val="3F9A4CD2"/>
    <w:rsid w:val="3FA6282D"/>
    <w:rsid w:val="3FA95489"/>
    <w:rsid w:val="3FD37BD9"/>
    <w:rsid w:val="3FEB7AEB"/>
    <w:rsid w:val="3FEE7933"/>
    <w:rsid w:val="40510A2D"/>
    <w:rsid w:val="405E2183"/>
    <w:rsid w:val="406F5026"/>
    <w:rsid w:val="40B20C7B"/>
    <w:rsid w:val="40D1333F"/>
    <w:rsid w:val="415666C4"/>
    <w:rsid w:val="41D659E7"/>
    <w:rsid w:val="41F042AF"/>
    <w:rsid w:val="41F87936"/>
    <w:rsid w:val="42077E5C"/>
    <w:rsid w:val="42447784"/>
    <w:rsid w:val="424B5F1F"/>
    <w:rsid w:val="425275DA"/>
    <w:rsid w:val="42540C2F"/>
    <w:rsid w:val="425677DC"/>
    <w:rsid w:val="42BA10E0"/>
    <w:rsid w:val="430753ED"/>
    <w:rsid w:val="431805A4"/>
    <w:rsid w:val="434045A4"/>
    <w:rsid w:val="439B014E"/>
    <w:rsid w:val="43AB26E5"/>
    <w:rsid w:val="43D3678A"/>
    <w:rsid w:val="43DA68F3"/>
    <w:rsid w:val="43F3334F"/>
    <w:rsid w:val="441D0B59"/>
    <w:rsid w:val="44305C62"/>
    <w:rsid w:val="448A67A6"/>
    <w:rsid w:val="44914A02"/>
    <w:rsid w:val="45100E05"/>
    <w:rsid w:val="454E65FA"/>
    <w:rsid w:val="459814E1"/>
    <w:rsid w:val="45C014AB"/>
    <w:rsid w:val="46037DA8"/>
    <w:rsid w:val="46856BC1"/>
    <w:rsid w:val="46865F3D"/>
    <w:rsid w:val="47EE3268"/>
    <w:rsid w:val="48073992"/>
    <w:rsid w:val="48D841B7"/>
    <w:rsid w:val="493A274D"/>
    <w:rsid w:val="493D57A2"/>
    <w:rsid w:val="49B53CE7"/>
    <w:rsid w:val="4A0D7179"/>
    <w:rsid w:val="4ABF7448"/>
    <w:rsid w:val="4B210EC1"/>
    <w:rsid w:val="4B355159"/>
    <w:rsid w:val="4B5871CE"/>
    <w:rsid w:val="4B644667"/>
    <w:rsid w:val="4B990D99"/>
    <w:rsid w:val="4BBA0128"/>
    <w:rsid w:val="4BCE14DD"/>
    <w:rsid w:val="4BD741AC"/>
    <w:rsid w:val="4C0B0F6D"/>
    <w:rsid w:val="4D0F6747"/>
    <w:rsid w:val="4D20049B"/>
    <w:rsid w:val="4D355172"/>
    <w:rsid w:val="4D6635BD"/>
    <w:rsid w:val="4D7D7DE8"/>
    <w:rsid w:val="4D806B0E"/>
    <w:rsid w:val="4DB77786"/>
    <w:rsid w:val="4DBA49D4"/>
    <w:rsid w:val="4DF11D89"/>
    <w:rsid w:val="4EBF2A3C"/>
    <w:rsid w:val="4EC61076"/>
    <w:rsid w:val="4F0E4107"/>
    <w:rsid w:val="4F0E6295"/>
    <w:rsid w:val="4F232622"/>
    <w:rsid w:val="4F2C0817"/>
    <w:rsid w:val="4F90367A"/>
    <w:rsid w:val="4FD51E7F"/>
    <w:rsid w:val="4FFA6D90"/>
    <w:rsid w:val="50CA14DF"/>
    <w:rsid w:val="50E02504"/>
    <w:rsid w:val="50F91B9A"/>
    <w:rsid w:val="511712CC"/>
    <w:rsid w:val="511F0AE0"/>
    <w:rsid w:val="514C35D0"/>
    <w:rsid w:val="51752912"/>
    <w:rsid w:val="51C370F3"/>
    <w:rsid w:val="51D34799"/>
    <w:rsid w:val="51F353CF"/>
    <w:rsid w:val="524719CE"/>
    <w:rsid w:val="52481E5E"/>
    <w:rsid w:val="528E5578"/>
    <w:rsid w:val="53EF665E"/>
    <w:rsid w:val="5438774A"/>
    <w:rsid w:val="54C67D59"/>
    <w:rsid w:val="55375A25"/>
    <w:rsid w:val="555F6EB8"/>
    <w:rsid w:val="5606317F"/>
    <w:rsid w:val="56325EB0"/>
    <w:rsid w:val="564B433F"/>
    <w:rsid w:val="568828F0"/>
    <w:rsid w:val="56C04267"/>
    <w:rsid w:val="56C6791C"/>
    <w:rsid w:val="56D24C32"/>
    <w:rsid w:val="56FB398B"/>
    <w:rsid w:val="5731090B"/>
    <w:rsid w:val="57340315"/>
    <w:rsid w:val="57982B97"/>
    <w:rsid w:val="58371B97"/>
    <w:rsid w:val="58491100"/>
    <w:rsid w:val="58575D18"/>
    <w:rsid w:val="587364EF"/>
    <w:rsid w:val="58E9548E"/>
    <w:rsid w:val="595D621A"/>
    <w:rsid w:val="5964788E"/>
    <w:rsid w:val="5972697B"/>
    <w:rsid w:val="599447AF"/>
    <w:rsid w:val="59E06DB9"/>
    <w:rsid w:val="59EF0BEF"/>
    <w:rsid w:val="59F1740B"/>
    <w:rsid w:val="5A3E01E7"/>
    <w:rsid w:val="5A6D1F21"/>
    <w:rsid w:val="5A6E5C7B"/>
    <w:rsid w:val="5A813988"/>
    <w:rsid w:val="5BB701E0"/>
    <w:rsid w:val="5BC522BB"/>
    <w:rsid w:val="5BFE3054"/>
    <w:rsid w:val="5C15705C"/>
    <w:rsid w:val="5C4F161D"/>
    <w:rsid w:val="5C716E94"/>
    <w:rsid w:val="5C7878B1"/>
    <w:rsid w:val="5CDF205A"/>
    <w:rsid w:val="5CF71228"/>
    <w:rsid w:val="5D0D7CA5"/>
    <w:rsid w:val="5D820C77"/>
    <w:rsid w:val="5D873A77"/>
    <w:rsid w:val="5DAF4C1B"/>
    <w:rsid w:val="5E3117A7"/>
    <w:rsid w:val="5E837E26"/>
    <w:rsid w:val="5ED03A93"/>
    <w:rsid w:val="5EF05598"/>
    <w:rsid w:val="5EF05CB7"/>
    <w:rsid w:val="5F155A25"/>
    <w:rsid w:val="5FB707AE"/>
    <w:rsid w:val="5FCE7FFE"/>
    <w:rsid w:val="601C7A90"/>
    <w:rsid w:val="60296DE8"/>
    <w:rsid w:val="60C62554"/>
    <w:rsid w:val="610C420E"/>
    <w:rsid w:val="611B7262"/>
    <w:rsid w:val="61571ABE"/>
    <w:rsid w:val="616816BC"/>
    <w:rsid w:val="61EA69A8"/>
    <w:rsid w:val="620D2908"/>
    <w:rsid w:val="62527017"/>
    <w:rsid w:val="62754D37"/>
    <w:rsid w:val="627F30FA"/>
    <w:rsid w:val="62AD2979"/>
    <w:rsid w:val="62D4066B"/>
    <w:rsid w:val="6357446E"/>
    <w:rsid w:val="63904276"/>
    <w:rsid w:val="63E91966"/>
    <w:rsid w:val="642226D2"/>
    <w:rsid w:val="643E5790"/>
    <w:rsid w:val="64552344"/>
    <w:rsid w:val="64A51ECC"/>
    <w:rsid w:val="65527417"/>
    <w:rsid w:val="65A2617E"/>
    <w:rsid w:val="661E1587"/>
    <w:rsid w:val="664A62D0"/>
    <w:rsid w:val="66882EA5"/>
    <w:rsid w:val="66A76E0C"/>
    <w:rsid w:val="66E70B06"/>
    <w:rsid w:val="66F741BB"/>
    <w:rsid w:val="67280BA1"/>
    <w:rsid w:val="673136E1"/>
    <w:rsid w:val="67344AEB"/>
    <w:rsid w:val="674249B9"/>
    <w:rsid w:val="6755678B"/>
    <w:rsid w:val="680C4929"/>
    <w:rsid w:val="682C6B15"/>
    <w:rsid w:val="685E4524"/>
    <w:rsid w:val="686B3E4F"/>
    <w:rsid w:val="69083E29"/>
    <w:rsid w:val="699C4118"/>
    <w:rsid w:val="699F3A3F"/>
    <w:rsid w:val="69C275FD"/>
    <w:rsid w:val="69F14D6B"/>
    <w:rsid w:val="6A0435BC"/>
    <w:rsid w:val="6A5F34F1"/>
    <w:rsid w:val="6A940DC6"/>
    <w:rsid w:val="6AC83272"/>
    <w:rsid w:val="6B8E2B91"/>
    <w:rsid w:val="6B9619A2"/>
    <w:rsid w:val="6B9D76F1"/>
    <w:rsid w:val="6BD37E20"/>
    <w:rsid w:val="6BD57D6A"/>
    <w:rsid w:val="6C4A261C"/>
    <w:rsid w:val="6C680DBD"/>
    <w:rsid w:val="6CA1689E"/>
    <w:rsid w:val="6CBA3E74"/>
    <w:rsid w:val="6DA8190C"/>
    <w:rsid w:val="6DBF2DF8"/>
    <w:rsid w:val="6DC55031"/>
    <w:rsid w:val="6DEC705B"/>
    <w:rsid w:val="6E73497F"/>
    <w:rsid w:val="6F1137CB"/>
    <w:rsid w:val="6F753A7C"/>
    <w:rsid w:val="6F78332C"/>
    <w:rsid w:val="6FAF7A0A"/>
    <w:rsid w:val="6FB60DC4"/>
    <w:rsid w:val="6FD21D10"/>
    <w:rsid w:val="6FFF3CAB"/>
    <w:rsid w:val="70057314"/>
    <w:rsid w:val="703419A7"/>
    <w:rsid w:val="70550B86"/>
    <w:rsid w:val="70901081"/>
    <w:rsid w:val="709839A4"/>
    <w:rsid w:val="70C13093"/>
    <w:rsid w:val="70F67C10"/>
    <w:rsid w:val="70F773D5"/>
    <w:rsid w:val="713266F9"/>
    <w:rsid w:val="719D3FE2"/>
    <w:rsid w:val="71C169F5"/>
    <w:rsid w:val="720D0EBC"/>
    <w:rsid w:val="72146F60"/>
    <w:rsid w:val="72312865"/>
    <w:rsid w:val="727E170C"/>
    <w:rsid w:val="72893E0D"/>
    <w:rsid w:val="73005B71"/>
    <w:rsid w:val="733A64F8"/>
    <w:rsid w:val="739026A6"/>
    <w:rsid w:val="7418710E"/>
    <w:rsid w:val="7444425B"/>
    <w:rsid w:val="74591085"/>
    <w:rsid w:val="74957077"/>
    <w:rsid w:val="74A86015"/>
    <w:rsid w:val="74D213D3"/>
    <w:rsid w:val="74DA1695"/>
    <w:rsid w:val="74FC5A8F"/>
    <w:rsid w:val="753F43E4"/>
    <w:rsid w:val="75D424DA"/>
    <w:rsid w:val="76704907"/>
    <w:rsid w:val="76983EDE"/>
    <w:rsid w:val="77184FDD"/>
    <w:rsid w:val="77BB6C0B"/>
    <w:rsid w:val="77C6444D"/>
    <w:rsid w:val="78100640"/>
    <w:rsid w:val="799E319D"/>
    <w:rsid w:val="79AE6AFC"/>
    <w:rsid w:val="7A4E00D6"/>
    <w:rsid w:val="7A552871"/>
    <w:rsid w:val="7A654571"/>
    <w:rsid w:val="7A7379F6"/>
    <w:rsid w:val="7A7C0A63"/>
    <w:rsid w:val="7AB568B0"/>
    <w:rsid w:val="7AEB25EE"/>
    <w:rsid w:val="7B051D01"/>
    <w:rsid w:val="7B2F3E35"/>
    <w:rsid w:val="7BB901D7"/>
    <w:rsid w:val="7C0E7AB8"/>
    <w:rsid w:val="7C1254FC"/>
    <w:rsid w:val="7C24529D"/>
    <w:rsid w:val="7C3B12BC"/>
    <w:rsid w:val="7C71038B"/>
    <w:rsid w:val="7CA3621D"/>
    <w:rsid w:val="7CB136AA"/>
    <w:rsid w:val="7CB16E84"/>
    <w:rsid w:val="7CE10334"/>
    <w:rsid w:val="7CEB0964"/>
    <w:rsid w:val="7D1F193A"/>
    <w:rsid w:val="7D9942C4"/>
    <w:rsid w:val="7DAA53AE"/>
    <w:rsid w:val="7E26070B"/>
    <w:rsid w:val="7E834226"/>
    <w:rsid w:val="7ECD6C86"/>
    <w:rsid w:val="7EF027CD"/>
    <w:rsid w:val="7F1E1C65"/>
    <w:rsid w:val="7F714251"/>
    <w:rsid w:val="7F8A44D2"/>
    <w:rsid w:val="7FCD7AE5"/>
    <w:rsid w:val="7FD94AE3"/>
    <w:rsid w:val="7FFC09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7">
    <w:name w:val="annotation subject"/>
    <w:basedOn w:val="2"/>
    <w:next w:val="2"/>
    <w:link w:val="14"/>
    <w:qFormat/>
    <w:uiPriority w:val="0"/>
    <w:rPr>
      <w:b/>
      <w:bCs/>
    </w:r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批注文字 Char"/>
    <w:basedOn w:val="9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4">
    <w:name w:val="批注主题 Char"/>
    <w:basedOn w:val="13"/>
    <w:link w:val="7"/>
    <w:qFormat/>
    <w:uiPriority w:val="0"/>
    <w:rPr>
      <w:rFonts w:ascii="Calibri" w:hAnsi="Calibri"/>
      <w:b/>
      <w:bCs/>
      <w:kern w:val="2"/>
      <w:sz w:val="21"/>
      <w:szCs w:val="22"/>
    </w:rPr>
  </w:style>
  <w:style w:type="character" w:customStyle="1" w:styleId="15">
    <w:name w:val="批注框文本 Char"/>
    <w:basedOn w:val="9"/>
    <w:link w:val="3"/>
    <w:qFormat/>
    <w:uiPriority w:val="0"/>
    <w:rPr>
      <w:rFonts w:ascii="Calibri" w:hAnsi="Calibri"/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Geely.com</Company>
  <Pages>3</Pages>
  <Words>1425</Words>
  <Characters>1528</Characters>
  <Lines>11</Lines>
  <Paragraphs>3</Paragraphs>
  <TotalTime>34</TotalTime>
  <ScaleCrop>false</ScaleCrop>
  <LinksUpToDate>false</LinksUpToDate>
  <CharactersWithSpaces>1654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2023-02-02T04:23:00Z</dcterms:created>
  <dc:creator>xinxin.li</dc:creator>
  <cp:lastModifiedBy>xinxin.li</cp:lastModifiedBy>
  <cp:lastPrinted>2024-11-01T05:23:00Z</cp:lastPrinted>
  <dcterms:modified xsi:type="dcterms:W3CDTF">2024-11-01T05:58:42Z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E574D463EC11462B8D3429872CD5A360_13</vt:lpwstr>
  </property>
</Properties>
</file>