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CD311">
      <w:pPr>
        <w:widowControl/>
        <w:jc w:val="center"/>
        <w:rPr>
          <w:rFonts w:hint="eastAsia" w:ascii="宋体" w:hAnsi="宋体"/>
          <w:bCs/>
          <w:iCs/>
          <w:color w:val="000000"/>
          <w:sz w:val="24"/>
        </w:rPr>
      </w:pPr>
      <w:bookmarkStart w:id="0" w:name="_Toc515462335"/>
      <w:r>
        <w:rPr>
          <w:rFonts w:hint="eastAsia" w:ascii="宋体" w:hAnsi="宋体"/>
          <w:bCs/>
          <w:iCs/>
          <w:color w:val="000000"/>
          <w:sz w:val="24"/>
        </w:rPr>
        <w:t xml:space="preserve">证券代码：600392  </w:t>
      </w:r>
      <w:r>
        <w:rPr>
          <w:rFonts w:ascii="宋体" w:hAnsi="宋体"/>
          <w:bCs/>
          <w:iCs/>
          <w:color w:val="000000"/>
          <w:sz w:val="24"/>
        </w:rPr>
        <w:t xml:space="preserve">         </w:t>
      </w:r>
      <w:r>
        <w:rPr>
          <w:rFonts w:hint="eastAsia" w:ascii="宋体" w:hAnsi="宋体"/>
          <w:bCs/>
          <w:iCs/>
          <w:color w:val="000000"/>
          <w:sz w:val="24"/>
        </w:rPr>
        <w:t xml:space="preserve">           证券简称：盛和资源</w:t>
      </w:r>
    </w:p>
    <w:p w14:paraId="00FA15B6">
      <w:pPr>
        <w:widowControl/>
        <w:jc w:val="center"/>
        <w:rPr>
          <w:rFonts w:hint="eastAsia" w:ascii="宋体" w:hAnsi="宋体"/>
          <w:bCs/>
          <w:iCs/>
          <w:color w:val="000000"/>
          <w:sz w:val="24"/>
        </w:rPr>
      </w:pPr>
    </w:p>
    <w:p w14:paraId="151F9520">
      <w:pPr>
        <w:widowControl/>
        <w:spacing w:before="312" w:beforeLines="100"/>
        <w:jc w:val="center"/>
        <w:rPr>
          <w:rFonts w:hint="eastAsia" w:ascii="宋体" w:hAnsi="宋体"/>
          <w:bCs/>
          <w:iCs/>
          <w:color w:val="000000"/>
          <w:sz w:val="36"/>
          <w:szCs w:val="36"/>
        </w:rPr>
      </w:pPr>
      <w:r>
        <w:rPr>
          <w:rFonts w:hint="eastAsia" w:ascii="宋体" w:hAnsi="宋体"/>
          <w:bCs/>
          <w:iCs/>
          <w:color w:val="000000"/>
          <w:sz w:val="36"/>
          <w:szCs w:val="36"/>
        </w:rPr>
        <w:t>盛和资源控股股份有限公司</w:t>
      </w:r>
    </w:p>
    <w:p w14:paraId="77A8B454">
      <w:pPr>
        <w:widowControl/>
        <w:spacing w:after="312" w:afterLines="100"/>
        <w:jc w:val="center"/>
        <w:rPr>
          <w:rFonts w:hint="eastAsia" w:ascii="宋体" w:hAnsi="宋体"/>
          <w:color w:val="000000"/>
          <w:sz w:val="36"/>
          <w:szCs w:val="36"/>
        </w:rPr>
      </w:pPr>
      <w:r>
        <w:rPr>
          <w:rFonts w:hint="eastAsia" w:ascii="宋体" w:hAnsi="宋体"/>
          <w:bCs/>
          <w:iCs/>
          <w:color w:val="000000"/>
          <w:sz w:val="36"/>
          <w:szCs w:val="36"/>
        </w:rPr>
        <w:t>投资者关系活动记录表</w:t>
      </w:r>
    </w:p>
    <w:p w14:paraId="1E1AFFB4">
      <w:pPr>
        <w:spacing w:line="360" w:lineRule="auto"/>
        <w:rPr>
          <w:rFonts w:hint="eastAsia" w:ascii="宋体" w:hAnsi="宋体"/>
          <w:bCs/>
          <w:iCs/>
          <w:color w:val="000000"/>
          <w:szCs w:val="21"/>
        </w:rPr>
      </w:pPr>
      <w:r>
        <w:rPr>
          <w:rFonts w:ascii="宋体" w:hAnsi="宋体"/>
          <w:bCs/>
          <w:iCs/>
          <w:color w:val="000000"/>
          <w:szCs w:val="21"/>
        </w:rPr>
        <w:t xml:space="preserve">                                                     </w:t>
      </w:r>
      <w:r>
        <w:rPr>
          <w:rFonts w:hint="eastAsia" w:ascii="宋体" w:hAnsi="宋体"/>
          <w:bCs/>
          <w:iCs/>
          <w:color w:val="000000"/>
          <w:szCs w:val="21"/>
        </w:rPr>
        <w:t xml:space="preserve">            </w:t>
      </w:r>
      <w:r>
        <w:rPr>
          <w:rFonts w:ascii="宋体" w:hAnsi="宋体"/>
          <w:bCs/>
          <w:iCs/>
          <w:color w:val="000000"/>
          <w:szCs w:val="21"/>
        </w:rPr>
        <w:t>编号：</w:t>
      </w:r>
      <w:r>
        <w:rPr>
          <w:rFonts w:hint="eastAsia" w:ascii="宋体" w:hAnsi="宋体"/>
          <w:bCs/>
          <w:iCs/>
          <w:color w:val="000000"/>
          <w:szCs w:val="21"/>
        </w:rPr>
        <w:t>2</w:t>
      </w:r>
      <w:r>
        <w:rPr>
          <w:rFonts w:ascii="宋体" w:hAnsi="宋体"/>
          <w:bCs/>
          <w:iCs/>
          <w:color w:val="000000"/>
          <w:szCs w:val="21"/>
        </w:rPr>
        <w:t>02</w:t>
      </w:r>
      <w:r>
        <w:rPr>
          <w:rFonts w:hint="eastAsia" w:ascii="宋体" w:hAnsi="宋体"/>
          <w:bCs/>
          <w:iCs/>
          <w:color w:val="000000"/>
          <w:szCs w:val="21"/>
        </w:rPr>
        <w:t>4</w:t>
      </w:r>
      <w:r>
        <w:rPr>
          <w:rFonts w:ascii="宋体" w:hAnsi="宋体"/>
          <w:bCs/>
          <w:iCs/>
          <w:color w:val="000000"/>
          <w:szCs w:val="21"/>
        </w:rPr>
        <w:t>-0</w:t>
      </w:r>
      <w:r>
        <w:rPr>
          <w:rFonts w:hint="eastAsia" w:ascii="宋体" w:hAnsi="宋体"/>
          <w:bCs/>
          <w:iCs/>
          <w:color w:val="000000"/>
          <w:szCs w:val="21"/>
        </w:rPr>
        <w:t>4</w:t>
      </w:r>
    </w:p>
    <w:tbl>
      <w:tblPr>
        <w:tblStyle w:val="10"/>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7088"/>
      </w:tblGrid>
      <w:tr w14:paraId="18B1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0CD05DF5">
            <w:pPr>
              <w:spacing w:line="360" w:lineRule="auto"/>
              <w:rPr>
                <w:rFonts w:hint="eastAsia" w:ascii="宋体" w:hAnsi="宋体"/>
                <w:b/>
                <w:bCs/>
                <w:iCs/>
                <w:color w:val="000000"/>
                <w:szCs w:val="21"/>
              </w:rPr>
            </w:pPr>
            <w:r>
              <w:rPr>
                <w:rFonts w:ascii="宋体" w:hAnsi="宋体"/>
                <w:b/>
                <w:bCs/>
                <w:iCs/>
                <w:color w:val="000000"/>
                <w:szCs w:val="21"/>
              </w:rPr>
              <w:t>投资者关系活动类别</w:t>
            </w:r>
            <w:r>
              <w:rPr>
                <w:rFonts w:hint="eastAsia" w:ascii="宋体" w:hAnsi="宋体"/>
                <w:b/>
                <w:bCs/>
                <w:iCs/>
                <w:color w:val="000000"/>
                <w:szCs w:val="21"/>
              </w:rPr>
              <w:t>“选中项请打√”</w:t>
            </w:r>
          </w:p>
        </w:tc>
        <w:tc>
          <w:tcPr>
            <w:tcW w:w="7088" w:type="dxa"/>
          </w:tcPr>
          <w:p w14:paraId="30B13102">
            <w:pPr>
              <w:spacing w:line="360" w:lineRule="auto"/>
              <w:jc w:val="left"/>
              <w:rPr>
                <w:rFonts w:hint="eastAsia" w:ascii="宋体" w:hAnsi="宋体"/>
                <w:bCs/>
                <w:iCs/>
                <w:color w:val="000000"/>
                <w:szCs w:val="21"/>
              </w:rPr>
            </w:pPr>
            <w:r>
              <w:rPr>
                <w:rFonts w:ascii="宋体" w:hAnsi="宋体"/>
                <w:bCs/>
                <w:iCs/>
                <w:color w:val="000000"/>
                <w:szCs w:val="21"/>
              </w:rPr>
              <w:sym w:font="Wingdings 2" w:char="00A3"/>
            </w:r>
            <w:r>
              <w:rPr>
                <w:rFonts w:ascii="宋体" w:hAnsi="宋体"/>
                <w:color w:val="000000"/>
                <w:szCs w:val="21"/>
              </w:rPr>
              <w:t xml:space="preserve">特定对象调研   </w:t>
            </w:r>
            <w:r>
              <w:rPr>
                <w:rFonts w:ascii="宋体" w:hAnsi="宋体"/>
                <w:bCs/>
                <w:iCs/>
                <w:color w:val="000000"/>
                <w:szCs w:val="21"/>
              </w:rPr>
              <w:sym w:font="Wingdings 2" w:char="00A3"/>
            </w:r>
            <w:r>
              <w:rPr>
                <w:rFonts w:ascii="宋体" w:hAnsi="宋体"/>
                <w:color w:val="000000"/>
                <w:szCs w:val="21"/>
              </w:rPr>
              <w:t>分析师会议</w:t>
            </w:r>
            <w:r>
              <w:rPr>
                <w:rFonts w:hint="eastAsia" w:ascii="宋体" w:hAnsi="宋体"/>
                <w:bCs/>
                <w:iCs/>
                <w:color w:val="000000"/>
                <w:szCs w:val="21"/>
              </w:rPr>
              <w:t xml:space="preserve">    </w:t>
            </w:r>
            <w:bookmarkStart w:id="1" w:name="OLE_LINK1"/>
            <w:r>
              <w:rPr>
                <w:rFonts w:ascii="宋体" w:hAnsi="宋体"/>
                <w:bCs/>
                <w:iCs/>
                <w:color w:val="000000"/>
                <w:szCs w:val="21"/>
              </w:rPr>
              <w:t>□</w:t>
            </w:r>
            <w:bookmarkEnd w:id="1"/>
            <w:r>
              <w:rPr>
                <w:rFonts w:ascii="宋体" w:hAnsi="宋体"/>
                <w:color w:val="000000"/>
                <w:szCs w:val="21"/>
              </w:rPr>
              <w:t xml:space="preserve">媒体采访   </w:t>
            </w:r>
            <w:r>
              <w:rPr>
                <w:rFonts w:hint="eastAsia" w:ascii="宋体" w:hAnsi="宋体"/>
                <w:color w:val="000000"/>
                <w:szCs w:val="21"/>
              </w:rPr>
              <w:t xml:space="preserve"> □</w:t>
            </w:r>
            <w:r>
              <w:rPr>
                <w:rFonts w:ascii="宋体" w:hAnsi="宋体"/>
                <w:color w:val="000000"/>
                <w:szCs w:val="21"/>
              </w:rPr>
              <w:t>业绩说明会</w:t>
            </w:r>
            <w:r>
              <w:rPr>
                <w:rFonts w:hint="eastAsia" w:ascii="宋体" w:hAnsi="宋体"/>
                <w:bCs/>
                <w:iCs/>
                <w:color w:val="000000"/>
                <w:szCs w:val="21"/>
              </w:rPr>
              <w:t xml:space="preserve">          </w:t>
            </w:r>
            <w:r>
              <w:rPr>
                <w:rFonts w:ascii="宋体" w:hAnsi="宋体"/>
                <w:bCs/>
                <w:iCs/>
                <w:color w:val="000000"/>
                <w:szCs w:val="21"/>
              </w:rPr>
              <w:t>□</w:t>
            </w:r>
            <w:r>
              <w:rPr>
                <w:rFonts w:ascii="宋体" w:hAnsi="宋体"/>
                <w:color w:val="000000"/>
                <w:szCs w:val="21"/>
              </w:rPr>
              <w:t xml:space="preserve">新闻发布会     </w:t>
            </w:r>
            <w:r>
              <w:rPr>
                <w:rFonts w:ascii="宋体" w:hAnsi="宋体"/>
                <w:bCs/>
                <w:iCs/>
                <w:color w:val="000000"/>
                <w:szCs w:val="21"/>
              </w:rPr>
              <w:t>□</w:t>
            </w:r>
            <w:r>
              <w:rPr>
                <w:rFonts w:ascii="宋体" w:hAnsi="宋体"/>
                <w:color w:val="000000"/>
                <w:szCs w:val="21"/>
              </w:rPr>
              <w:t>路演活动</w:t>
            </w:r>
            <w:r>
              <w:rPr>
                <w:rFonts w:hint="eastAsia" w:ascii="宋体" w:hAnsi="宋体"/>
                <w:bCs/>
                <w:iCs/>
                <w:color w:val="000000"/>
                <w:szCs w:val="21"/>
              </w:rPr>
              <w:t xml:space="preserve">      </w:t>
            </w:r>
            <w:r>
              <w:rPr>
                <w:rFonts w:ascii="宋体" w:hAnsi="宋体"/>
                <w:bCs/>
                <w:iCs/>
                <w:color w:val="000000"/>
                <w:szCs w:val="21"/>
              </w:rPr>
              <w:t>□</w:t>
            </w:r>
            <w:r>
              <w:rPr>
                <w:rFonts w:ascii="宋体" w:hAnsi="宋体"/>
                <w:color w:val="000000"/>
                <w:szCs w:val="21"/>
              </w:rPr>
              <w:t>现场参观</w:t>
            </w:r>
            <w:r>
              <w:rPr>
                <w:rFonts w:ascii="宋体" w:hAnsi="宋体"/>
                <w:bCs/>
                <w:iCs/>
                <w:color w:val="000000"/>
                <w:szCs w:val="21"/>
              </w:rPr>
              <w:tab/>
            </w:r>
            <w:r>
              <w:rPr>
                <w:rFonts w:hint="eastAsia" w:ascii="宋体" w:hAnsi="宋体"/>
                <w:bCs/>
                <w:iCs/>
                <w:color w:val="000000"/>
                <w:szCs w:val="21"/>
              </w:rPr>
              <w:t xml:space="preserve">  </w:t>
            </w:r>
            <w:r>
              <w:rPr>
                <w:rFonts w:ascii="宋体" w:hAnsi="宋体"/>
                <w:bCs/>
                <w:iCs/>
                <w:color w:val="000000"/>
                <w:szCs w:val="21"/>
              </w:rPr>
              <w:sym w:font="Wingdings 2" w:char="0052"/>
            </w:r>
            <w:r>
              <w:rPr>
                <w:rFonts w:ascii="宋体" w:hAnsi="宋体"/>
                <w:color w:val="000000"/>
                <w:szCs w:val="21"/>
              </w:rPr>
              <w:t>其他</w:t>
            </w:r>
            <w:r>
              <w:rPr>
                <w:rFonts w:hint="eastAsia" w:ascii="宋体" w:hAnsi="宋体"/>
                <w:color w:val="000000"/>
                <w:szCs w:val="21"/>
              </w:rPr>
              <w:t>（电话</w:t>
            </w:r>
            <w:r>
              <w:rPr>
                <w:rFonts w:ascii="宋体" w:hAnsi="宋体"/>
                <w:color w:val="000000"/>
                <w:szCs w:val="21"/>
              </w:rPr>
              <w:t>会议</w:t>
            </w:r>
            <w:r>
              <w:rPr>
                <w:rFonts w:hint="eastAsia" w:ascii="宋体" w:hAnsi="宋体"/>
                <w:color w:val="000000"/>
                <w:szCs w:val="21"/>
              </w:rPr>
              <w:t>）</w:t>
            </w:r>
          </w:p>
        </w:tc>
      </w:tr>
      <w:tr w14:paraId="06DA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47" w:type="dxa"/>
            <w:vAlign w:val="center"/>
          </w:tcPr>
          <w:p w14:paraId="7CA9210E">
            <w:pPr>
              <w:spacing w:line="360" w:lineRule="auto"/>
              <w:jc w:val="center"/>
              <w:rPr>
                <w:rFonts w:hint="eastAsia" w:ascii="宋体" w:hAnsi="宋体"/>
                <w:b/>
                <w:bCs/>
                <w:iCs/>
                <w:color w:val="000000"/>
                <w:szCs w:val="21"/>
              </w:rPr>
            </w:pPr>
            <w:r>
              <w:rPr>
                <w:rFonts w:ascii="宋体" w:hAnsi="宋体"/>
                <w:b/>
                <w:bCs/>
                <w:iCs/>
                <w:color w:val="000000"/>
                <w:szCs w:val="21"/>
              </w:rPr>
              <w:t>参与单位名称</w:t>
            </w:r>
          </w:p>
        </w:tc>
        <w:tc>
          <w:tcPr>
            <w:tcW w:w="7088" w:type="dxa"/>
            <w:vAlign w:val="center"/>
          </w:tcPr>
          <w:p w14:paraId="7F65FE4F">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泉果基金管理有限公司、上海贵源投资有限公司、上海坤阳私募基金管理有限公司、耕霁（上海）投资管理有限公司、上海普行资产管理有限公司、上海山合私募基金管理中心(有限合伙)、深圳前海佰德纳资本管理有限公司、上海磐耀资产管理有限公司、上海弘尚资产管理中心(有限合伙)、深圳前海佰德纳資本管理有限公司、国信证券股份有限公司、广发证券股份有限公司、中泰证券股份有限公司、海通证券股份有限公司、中信证券股份有限公司、天风证券股份有限公司、海通国际证券有限公司、国金证券股份有限公司、甬兴证券有限公司、中邮证券有限责任公司、五矿证券有限公司、华泰证券股份有限公司、长江证券股份有限公司、国盛证券有限责任公司、财通证券资产管理有限公司研究所、铁合金在线(成都)信息科技有限公司、嘉盛投资、冶金工业规划研究院、深圳市辰禾投资有限公司</w:t>
            </w:r>
          </w:p>
        </w:tc>
      </w:tr>
      <w:tr w14:paraId="3C69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76A531E8">
            <w:pPr>
              <w:spacing w:line="360" w:lineRule="auto"/>
              <w:jc w:val="center"/>
              <w:rPr>
                <w:rFonts w:hint="eastAsia" w:ascii="宋体" w:hAnsi="宋体"/>
                <w:b/>
                <w:bCs/>
                <w:iCs/>
                <w:color w:val="000000"/>
                <w:szCs w:val="21"/>
              </w:rPr>
            </w:pPr>
            <w:r>
              <w:rPr>
                <w:rFonts w:ascii="宋体" w:hAnsi="宋体"/>
                <w:b/>
                <w:bCs/>
                <w:iCs/>
                <w:color w:val="000000"/>
                <w:szCs w:val="21"/>
              </w:rPr>
              <w:t>时间</w:t>
            </w:r>
          </w:p>
        </w:tc>
        <w:tc>
          <w:tcPr>
            <w:tcW w:w="7088" w:type="dxa"/>
            <w:vAlign w:val="center"/>
          </w:tcPr>
          <w:p w14:paraId="3A7883EC">
            <w:pPr>
              <w:spacing w:line="276" w:lineRule="auto"/>
              <w:rPr>
                <w:rFonts w:hint="eastAsia" w:ascii="宋体" w:hAnsi="宋体"/>
                <w:bCs/>
                <w:iCs/>
                <w:color w:val="000000"/>
                <w:szCs w:val="21"/>
              </w:rPr>
            </w:pPr>
            <w:r>
              <w:rPr>
                <w:rFonts w:ascii="宋体" w:hAnsi="宋体"/>
                <w:bCs/>
                <w:iCs/>
                <w:color w:val="000000"/>
                <w:szCs w:val="21"/>
              </w:rPr>
              <w:t>202</w:t>
            </w:r>
            <w:r>
              <w:rPr>
                <w:rFonts w:hint="eastAsia" w:ascii="宋体" w:hAnsi="宋体"/>
                <w:bCs/>
                <w:iCs/>
                <w:color w:val="000000"/>
                <w:szCs w:val="21"/>
              </w:rPr>
              <w:t>4年10月31日</w:t>
            </w:r>
          </w:p>
        </w:tc>
      </w:tr>
      <w:tr w14:paraId="43AC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41A834C4">
            <w:pPr>
              <w:spacing w:line="360" w:lineRule="auto"/>
              <w:jc w:val="center"/>
              <w:rPr>
                <w:rFonts w:hint="eastAsia" w:ascii="宋体" w:hAnsi="宋体"/>
                <w:b/>
                <w:bCs/>
                <w:iCs/>
                <w:color w:val="000000"/>
                <w:szCs w:val="21"/>
              </w:rPr>
            </w:pPr>
            <w:r>
              <w:rPr>
                <w:rFonts w:hint="eastAsia" w:ascii="宋体" w:hAnsi="宋体"/>
                <w:b/>
                <w:bCs/>
                <w:iCs/>
                <w:color w:val="000000"/>
                <w:szCs w:val="21"/>
              </w:rPr>
              <w:t>地点</w:t>
            </w:r>
          </w:p>
        </w:tc>
        <w:tc>
          <w:tcPr>
            <w:tcW w:w="7088" w:type="dxa"/>
            <w:vAlign w:val="center"/>
          </w:tcPr>
          <w:p w14:paraId="6CFD121A">
            <w:pPr>
              <w:spacing w:line="276" w:lineRule="auto"/>
              <w:rPr>
                <w:rFonts w:hint="eastAsia" w:ascii="宋体" w:hAnsi="宋体"/>
                <w:bCs/>
                <w:iCs/>
                <w:color w:val="000000"/>
                <w:szCs w:val="21"/>
              </w:rPr>
            </w:pPr>
            <w:r>
              <w:rPr>
                <w:rFonts w:hint="eastAsia" w:ascii="宋体" w:hAnsi="宋体"/>
                <w:bCs/>
                <w:iCs/>
                <w:color w:val="000000"/>
                <w:szCs w:val="21"/>
              </w:rPr>
              <w:t>电话会议</w:t>
            </w:r>
          </w:p>
        </w:tc>
      </w:tr>
      <w:tr w14:paraId="58CD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450E1579">
            <w:pPr>
              <w:spacing w:line="360" w:lineRule="auto"/>
              <w:jc w:val="center"/>
              <w:rPr>
                <w:rFonts w:hint="eastAsia" w:ascii="宋体" w:hAnsi="宋体"/>
                <w:b/>
                <w:bCs/>
                <w:iCs/>
                <w:color w:val="000000"/>
                <w:szCs w:val="21"/>
              </w:rPr>
            </w:pPr>
            <w:r>
              <w:rPr>
                <w:rFonts w:ascii="宋体" w:hAnsi="宋体"/>
                <w:b/>
                <w:bCs/>
                <w:iCs/>
                <w:color w:val="000000"/>
                <w:szCs w:val="21"/>
              </w:rPr>
              <w:t>上市公司接待人员姓名</w:t>
            </w:r>
          </w:p>
        </w:tc>
        <w:tc>
          <w:tcPr>
            <w:tcW w:w="7088" w:type="dxa"/>
            <w:vAlign w:val="center"/>
          </w:tcPr>
          <w:p w14:paraId="485AA736">
            <w:pPr>
              <w:spacing w:line="276" w:lineRule="auto"/>
              <w:rPr>
                <w:rFonts w:hint="eastAsia" w:ascii="宋体" w:hAnsi="宋体"/>
                <w:bCs/>
                <w:iCs/>
                <w:color w:val="000000"/>
                <w:szCs w:val="21"/>
              </w:rPr>
            </w:pPr>
            <w:r>
              <w:rPr>
                <w:rFonts w:hint="eastAsia" w:ascii="宋体" w:hAnsi="宋体" w:cs="宋体"/>
                <w:color w:val="000000"/>
                <w:kern w:val="0"/>
                <w:szCs w:val="21"/>
              </w:rPr>
              <w:t>董事会秘书：郭晓雷   证券事务代表：陈冬梅</w:t>
            </w:r>
          </w:p>
        </w:tc>
      </w:tr>
      <w:tr w14:paraId="3B11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632BC3D9">
            <w:pPr>
              <w:spacing w:line="360" w:lineRule="auto"/>
              <w:jc w:val="center"/>
              <w:rPr>
                <w:rFonts w:hint="eastAsia" w:ascii="宋体" w:hAnsi="宋体"/>
                <w:b/>
                <w:bCs/>
                <w:iCs/>
                <w:szCs w:val="21"/>
              </w:rPr>
            </w:pPr>
            <w:r>
              <w:rPr>
                <w:rFonts w:hint="eastAsia" w:ascii="宋体" w:hAnsi="宋体"/>
                <w:b/>
                <w:bCs/>
                <w:iCs/>
                <w:szCs w:val="21"/>
              </w:rPr>
              <w:t>调研</w:t>
            </w:r>
            <w:r>
              <w:rPr>
                <w:rFonts w:ascii="宋体" w:hAnsi="宋体"/>
                <w:b/>
                <w:bCs/>
                <w:iCs/>
                <w:szCs w:val="21"/>
              </w:rPr>
              <w:t>主要内容介绍</w:t>
            </w:r>
          </w:p>
          <w:p w14:paraId="210537C5">
            <w:pPr>
              <w:spacing w:line="360" w:lineRule="auto"/>
              <w:rPr>
                <w:rFonts w:hint="eastAsia" w:ascii="宋体" w:hAnsi="宋体"/>
                <w:b/>
                <w:bCs/>
                <w:iCs/>
                <w:szCs w:val="21"/>
              </w:rPr>
            </w:pPr>
          </w:p>
        </w:tc>
        <w:tc>
          <w:tcPr>
            <w:tcW w:w="7088" w:type="dxa"/>
          </w:tcPr>
          <w:p w14:paraId="60395589">
            <w:pPr>
              <w:numPr>
                <w:ilvl w:val="255"/>
                <w:numId w:val="0"/>
              </w:numPr>
              <w:spacing w:before="156" w:beforeLines="50"/>
              <w:ind w:firstLine="420" w:firstLineChars="200"/>
            </w:pPr>
            <w:r>
              <w:rPr>
                <w:rFonts w:hint="eastAsia"/>
              </w:rPr>
              <w:t>董秘郭晓雷先向投资者介绍了公司三季度的经营和财务情况、三季度新投产的项目情况。</w:t>
            </w:r>
          </w:p>
          <w:p w14:paraId="129341DD">
            <w:pPr>
              <w:numPr>
                <w:ilvl w:val="0"/>
                <w:numId w:val="1"/>
              </w:numPr>
              <w:spacing w:before="156" w:beforeLines="50"/>
              <w:ind w:firstLine="420" w:firstLineChars="200"/>
            </w:pPr>
            <w:r>
              <w:t>缅甸</w:t>
            </w:r>
            <w:r>
              <w:rPr>
                <w:rFonts w:hint="eastAsia"/>
              </w:rPr>
              <w:t>目前的局势对</w:t>
            </w:r>
            <w:r>
              <w:t>稀土的价格</w:t>
            </w:r>
            <w:r>
              <w:rPr>
                <w:rFonts w:hint="eastAsia"/>
              </w:rPr>
              <w:t>和</w:t>
            </w:r>
            <w:r>
              <w:t>稀土</w:t>
            </w:r>
            <w:r>
              <w:rPr>
                <w:rFonts w:hint="eastAsia"/>
              </w:rPr>
              <w:t>矿</w:t>
            </w:r>
            <w:r>
              <w:t>进口</w:t>
            </w:r>
            <w:r>
              <w:rPr>
                <w:rFonts w:hint="eastAsia"/>
              </w:rPr>
              <w:t>有怎么样的影响？</w:t>
            </w:r>
          </w:p>
          <w:p w14:paraId="36526DA3">
            <w:pPr>
              <w:spacing w:before="156" w:beforeLines="50"/>
              <w:ind w:firstLine="420" w:firstLineChars="200"/>
            </w:pPr>
            <w:r>
              <w:t>缅甸不确定性会</w:t>
            </w:r>
            <w:r>
              <w:rPr>
                <w:rFonts w:hint="eastAsia"/>
              </w:rPr>
              <w:t>对稀土</w:t>
            </w:r>
            <w:r>
              <w:t>的供给</w:t>
            </w:r>
            <w:r>
              <w:rPr>
                <w:rFonts w:hint="eastAsia"/>
              </w:rPr>
              <w:t>端造成一定的影响。国内离子矿很大比例来自缅甸进口。近期，由于缅甸局势，还有口岸关闭的原因，目前</w:t>
            </w:r>
            <w:r>
              <w:rPr>
                <w:rFonts w:hint="eastAsia"/>
                <w:lang w:val="en-US" w:eastAsia="zh-CN"/>
              </w:rPr>
              <w:t>采矿</w:t>
            </w:r>
            <w:r>
              <w:rPr>
                <w:rFonts w:hint="eastAsia"/>
              </w:rPr>
              <w:t>可能处于停滞</w:t>
            </w:r>
            <w:r>
              <w:rPr>
                <w:rFonts w:hint="eastAsia"/>
                <w:lang w:val="en-US" w:eastAsia="zh-CN"/>
              </w:rPr>
              <w:t>状态</w:t>
            </w:r>
            <w:r>
              <w:rPr>
                <w:rFonts w:hint="eastAsia"/>
              </w:rPr>
              <w:t>。如果口岸关停较长时间，那可能对下一步离子矿的供应会产生比较大的影响，进</w:t>
            </w:r>
            <w:r>
              <w:rPr>
                <w:rFonts w:hint="eastAsia"/>
                <w:lang w:val="en-US" w:eastAsia="zh-CN"/>
              </w:rPr>
              <w:t>而</w:t>
            </w:r>
            <w:r>
              <w:rPr>
                <w:rFonts w:hint="eastAsia"/>
              </w:rPr>
              <w:t>会影响供需结构。公司也会密切关注情况进展。</w:t>
            </w:r>
          </w:p>
          <w:p w14:paraId="1344E274">
            <w:pPr>
              <w:numPr>
                <w:ilvl w:val="0"/>
                <w:numId w:val="1"/>
              </w:numPr>
              <w:spacing w:before="156" w:beforeLines="50"/>
              <w:ind w:firstLine="420" w:firstLineChars="200"/>
              <w:rPr>
                <w:rFonts w:ascii="宋体" w:hAnsi="宋体" w:cs="宋体"/>
                <w:color w:val="2A2B2E"/>
                <w:szCs w:val="21"/>
                <w:shd w:val="clear" w:color="auto" w:fill="FFFFFF"/>
              </w:rPr>
            </w:pPr>
            <w:r>
              <w:rPr>
                <w:rFonts w:hint="eastAsia"/>
              </w:rPr>
              <w:t>公司三季报里</w:t>
            </w:r>
            <w:r>
              <w:t>稀土</w:t>
            </w:r>
            <w:r>
              <w:rPr>
                <w:rFonts w:hint="eastAsia"/>
              </w:rPr>
              <w:t>精矿（含</w:t>
            </w:r>
            <w:r>
              <w:t>独居</w:t>
            </w:r>
            <w:r>
              <w:rPr>
                <w:rFonts w:hint="eastAsia"/>
              </w:rPr>
              <w:t>石）</w:t>
            </w:r>
            <w:r>
              <w:t>销</w:t>
            </w:r>
            <w:r>
              <w:rPr>
                <w:rFonts w:hint="eastAsia"/>
              </w:rPr>
              <w:t>量有2.5万</w:t>
            </w:r>
            <w:r>
              <w:t>吨</w:t>
            </w:r>
            <w:r>
              <w:rPr>
                <w:rFonts w:hint="eastAsia"/>
              </w:rPr>
              <w:t>，请问是</w:t>
            </w:r>
            <w:r>
              <w:t>连云港</w:t>
            </w:r>
            <w:r>
              <w:rPr>
                <w:rFonts w:hint="eastAsia"/>
              </w:rPr>
              <w:t>工厂目前达到</w:t>
            </w:r>
            <w:r>
              <w:t>满产</w:t>
            </w:r>
            <w:r>
              <w:rPr>
                <w:rFonts w:hint="eastAsia"/>
              </w:rPr>
              <w:t>吗</w:t>
            </w:r>
            <w:r>
              <w:rPr>
                <w:rFonts w:hint="eastAsia" w:ascii="宋体" w:hAnsi="宋体" w:cs="宋体"/>
                <w:color w:val="2A2B2E"/>
                <w:szCs w:val="21"/>
                <w:shd w:val="clear" w:color="auto" w:fill="FFFFFF"/>
              </w:rPr>
              <w:t>？</w:t>
            </w:r>
          </w:p>
          <w:p w14:paraId="5BE6015A">
            <w:pPr>
              <w:spacing w:before="156" w:beforeLines="50"/>
              <w:ind w:firstLine="420" w:firstLineChars="200"/>
              <w:rPr>
                <w:rFonts w:hint="eastAsia"/>
              </w:rPr>
            </w:pPr>
            <w:r>
              <w:t>连云港现在产量</w:t>
            </w:r>
            <w:r>
              <w:rPr>
                <w:rFonts w:hint="eastAsia"/>
              </w:rPr>
              <w:t>目前</w:t>
            </w:r>
            <w:r>
              <w:t>逐步在攀升，但因为原料的问题，现在离满产还有一定的距离。原料</w:t>
            </w:r>
            <w:r>
              <w:rPr>
                <w:rFonts w:hint="eastAsia"/>
                <w:lang w:val="en-US" w:eastAsia="zh-CN"/>
              </w:rPr>
              <w:t>依赖</w:t>
            </w:r>
            <w:r>
              <w:rPr>
                <w:rFonts w:hint="eastAsia"/>
              </w:rPr>
              <w:t>进口，目前还不</w:t>
            </w:r>
            <w:r>
              <w:t>稳定，</w:t>
            </w:r>
            <w:r>
              <w:rPr>
                <w:rFonts w:hint="eastAsia"/>
                <w:lang w:val="en-US" w:eastAsia="zh-CN"/>
              </w:rPr>
              <w:t>今年</w:t>
            </w:r>
            <w:r>
              <w:t>上半年</w:t>
            </w:r>
            <w:r>
              <w:rPr>
                <w:rFonts w:hint="eastAsia"/>
                <w:lang w:val="en-US" w:eastAsia="zh-CN"/>
              </w:rPr>
              <w:t>公司</w:t>
            </w:r>
            <w:r>
              <w:t>收购</w:t>
            </w:r>
            <w:r>
              <w:rPr>
                <w:rFonts w:hint="eastAsia"/>
                <w:lang w:val="en-US" w:eastAsia="zh-CN"/>
              </w:rPr>
              <w:t>了坦桑尼亚和马达加斯的锆钛矿项目，目的</w:t>
            </w:r>
            <w:r>
              <w:t>是为了稳定选矿厂的原料</w:t>
            </w:r>
            <w:r>
              <w:rPr>
                <w:rFonts w:hint="eastAsia"/>
                <w:lang w:val="en-US" w:eastAsia="zh-CN"/>
              </w:rPr>
              <w:t>渠道</w:t>
            </w:r>
            <w:r>
              <w:t>。</w:t>
            </w:r>
          </w:p>
          <w:p w14:paraId="01394637">
            <w:pPr>
              <w:spacing w:before="156" w:beforeLines="50"/>
              <w:ind w:firstLine="420" w:firstLineChars="200"/>
              <w:rPr>
                <w:rFonts w:ascii="宋体" w:hAnsi="宋体"/>
              </w:rPr>
            </w:pPr>
            <w:r>
              <w:rPr>
                <w:rFonts w:hint="eastAsia" w:ascii="宋体" w:hAnsi="宋体"/>
              </w:rPr>
              <w:t>公司三季度的稀土精矿销量，不只是独居石，还包括包销的美国矿对外销售的数量。</w:t>
            </w:r>
          </w:p>
          <w:p w14:paraId="2CF606F9">
            <w:pPr>
              <w:numPr>
                <w:ilvl w:val="0"/>
                <w:numId w:val="1"/>
              </w:numPr>
              <w:spacing w:before="156" w:beforeLines="50"/>
              <w:ind w:firstLine="420" w:firstLineChars="200"/>
              <w:rPr>
                <w:rFonts w:hint="eastAsia" w:ascii="宋体" w:hAnsi="宋体"/>
              </w:rPr>
            </w:pPr>
            <w:r>
              <w:rPr>
                <w:rFonts w:hint="eastAsia"/>
              </w:rPr>
              <w:t>公司目前</w:t>
            </w:r>
            <w:r>
              <w:t>独居</w:t>
            </w:r>
            <w:r>
              <w:rPr>
                <w:rFonts w:hint="eastAsia"/>
              </w:rPr>
              <w:t>石</w:t>
            </w:r>
            <w:r>
              <w:t>一年大概能有多少</w:t>
            </w:r>
            <w:r>
              <w:rPr>
                <w:rFonts w:hint="eastAsia"/>
              </w:rPr>
              <w:t>产</w:t>
            </w:r>
            <w:r>
              <w:t>量？</w:t>
            </w:r>
          </w:p>
          <w:p w14:paraId="56B07E18">
            <w:pPr>
              <w:spacing w:before="156" w:beforeLines="50"/>
              <w:ind w:firstLine="420" w:firstLineChars="200"/>
            </w:pPr>
            <w:r>
              <w:rPr>
                <w:rFonts w:hint="eastAsia"/>
              </w:rPr>
              <w:t>产量从定期报告中可以看到，</w:t>
            </w:r>
            <w:r>
              <w:rPr>
                <w:rFonts w:hint="eastAsia"/>
                <w:lang w:val="en-US" w:eastAsia="zh-CN"/>
              </w:rPr>
              <w:t>公司</w:t>
            </w:r>
            <w:r>
              <w:rPr>
                <w:rFonts w:hint="eastAsia"/>
              </w:rPr>
              <w:t>披露的稀土精矿（含</w:t>
            </w:r>
            <w:r>
              <w:t>独居石</w:t>
            </w:r>
            <w:r>
              <w:rPr>
                <w:rFonts w:hint="eastAsia"/>
                <w:lang w:eastAsia="zh-CN"/>
              </w:rPr>
              <w:t>）</w:t>
            </w:r>
            <w:r>
              <w:rPr>
                <w:rFonts w:hint="eastAsia"/>
              </w:rPr>
              <w:t>的产量，</w:t>
            </w:r>
            <w:r>
              <w:rPr>
                <w:rFonts w:hint="eastAsia"/>
                <w:lang w:val="en-US" w:eastAsia="zh-CN"/>
              </w:rPr>
              <w:t>主要指</w:t>
            </w:r>
            <w:r>
              <w:rPr>
                <w:rFonts w:hint="eastAsia"/>
              </w:rPr>
              <w:t>独居石</w:t>
            </w:r>
            <w:r>
              <w:rPr>
                <w:rFonts w:hint="eastAsia"/>
                <w:lang w:eastAsia="zh-CN"/>
              </w:rPr>
              <w:t>，</w:t>
            </w:r>
            <w:r>
              <w:rPr>
                <w:rFonts w:hint="eastAsia"/>
              </w:rPr>
              <w:t>前三季度产量</w:t>
            </w:r>
            <w:r>
              <w:rPr>
                <w:rFonts w:hint="eastAsia"/>
                <w:highlight w:val="none"/>
                <w:lang w:val="en-US" w:eastAsia="zh-CN"/>
              </w:rPr>
              <w:t>约</w:t>
            </w:r>
            <w:r>
              <w:rPr>
                <w:highlight w:val="none"/>
              </w:rPr>
              <w:t>1</w:t>
            </w:r>
            <w:r>
              <w:rPr>
                <w:rFonts w:hint="eastAsia"/>
                <w:highlight w:val="none"/>
              </w:rPr>
              <w:t>.7万</w:t>
            </w:r>
            <w:r>
              <w:rPr>
                <w:rFonts w:hint="eastAsia"/>
              </w:rPr>
              <w:t>吨。</w:t>
            </w:r>
            <w:bookmarkStart w:id="2" w:name="_GoBack"/>
            <w:bookmarkEnd w:id="2"/>
          </w:p>
          <w:p w14:paraId="6267C5FB">
            <w:pPr>
              <w:numPr>
                <w:ilvl w:val="0"/>
                <w:numId w:val="1"/>
              </w:numPr>
              <w:spacing w:before="156" w:beforeLines="50"/>
              <w:ind w:firstLine="420" w:firstLineChars="200"/>
            </w:pPr>
            <w:r>
              <w:rPr>
                <w:rFonts w:hint="eastAsia"/>
              </w:rPr>
              <w:t xml:space="preserve">公司海外的锆钛矿项目目前有什么最新进展？ </w:t>
            </w:r>
          </w:p>
          <w:p w14:paraId="1A93E1BD">
            <w:pPr>
              <w:spacing w:before="156" w:beforeLines="50"/>
              <w:ind w:firstLine="420" w:firstLineChars="200"/>
            </w:pPr>
            <w:r>
              <w:rPr>
                <w:rFonts w:hint="eastAsia"/>
              </w:rPr>
              <w:t>20</w:t>
            </w:r>
            <w:r>
              <w:t>22年的时候，</w:t>
            </w:r>
            <w:r>
              <w:rPr>
                <w:rFonts w:hint="eastAsia"/>
              </w:rPr>
              <w:t>公司</w:t>
            </w:r>
            <w:r>
              <w:t>参股</w:t>
            </w:r>
            <w:r>
              <w:rPr>
                <w:rFonts w:hint="eastAsia"/>
              </w:rPr>
              <w:t>了</w:t>
            </w:r>
            <w:r>
              <w:t>一家澳大利亚</w:t>
            </w:r>
            <w:r>
              <w:rPr>
                <w:rFonts w:hint="eastAsia"/>
              </w:rPr>
              <w:t>的锆钛资源的公司</w:t>
            </w:r>
            <w:r>
              <w:t>叫</w:t>
            </w:r>
            <w:r>
              <w:rPr>
                <w:rFonts w:hint="eastAsia"/>
              </w:rPr>
              <w:t>盈</w:t>
            </w:r>
            <w:r>
              <w:t>拓资源，这个项目</w:t>
            </w:r>
            <w:r>
              <w:rPr>
                <w:rFonts w:hint="eastAsia"/>
                <w:lang w:val="en-US" w:eastAsia="zh-CN"/>
              </w:rPr>
              <w:t>正在申请采矿证</w:t>
            </w:r>
            <w:r>
              <w:t>。</w:t>
            </w:r>
            <w:r>
              <w:rPr>
                <w:rFonts w:hint="eastAsia"/>
                <w:lang w:val="en-US" w:eastAsia="zh-CN"/>
              </w:rPr>
              <w:t>今年上半年，</w:t>
            </w:r>
            <w:r>
              <w:rPr>
                <w:rFonts w:hint="eastAsia"/>
              </w:rPr>
              <w:t>公司收购</w:t>
            </w:r>
            <w:r>
              <w:rPr>
                <w:rFonts w:hint="eastAsia"/>
                <w:lang w:val="en-US" w:eastAsia="zh-CN"/>
              </w:rPr>
              <w:t>了</w:t>
            </w:r>
            <w:r>
              <w:rPr>
                <w:rFonts w:hint="eastAsia"/>
              </w:rPr>
              <w:t>两个锆钛矿项目公司：一个是Strandline Resources 公司，该公司拥有坦桑尼亚多个重砂矿项目，其中已经取得采矿权证的重矿物（锆英砂、钛铁矿、金红石等）资源量约946万吨，具备在短期内运营投产的条件；另一个是嘉成矿业，该公司间接拥有位于马达加斯加的多个重砂矿项目，其中已经取得采矿权证的项目有3个，采矿权范围内的重矿物资源量约1786万吨。坦桑尼亚和马达加斯加重砂矿项目的收购将为公司锆钛产业链的发展提供充足的资源保障。重砂矿整个建设周期，包括生产周期都不会很长，资本开支相对也不高。后面，如果有任何的进展，我们也会发项目进展的公告。</w:t>
            </w:r>
          </w:p>
          <w:p w14:paraId="3D49589A">
            <w:pPr>
              <w:numPr>
                <w:ilvl w:val="0"/>
                <w:numId w:val="1"/>
              </w:numPr>
              <w:spacing w:before="156" w:beforeLines="50"/>
              <w:ind w:firstLine="420" w:firstLineChars="200"/>
            </w:pPr>
            <w:r>
              <w:rPr>
                <w:rFonts w:hint="eastAsia"/>
              </w:rPr>
              <w:t xml:space="preserve">《稀土管理条例》的正式颁布对稀土行业会有怎么样的影响？ </w:t>
            </w:r>
          </w:p>
          <w:p w14:paraId="5512F50B">
            <w:pPr>
              <w:spacing w:before="156" w:beforeLines="50"/>
              <w:ind w:firstLine="420" w:firstLineChars="200"/>
              <w:rPr>
                <w:rFonts w:hint="eastAsia"/>
              </w:rPr>
            </w:pPr>
            <w:r>
              <w:rPr>
                <w:rFonts w:hint="eastAsia"/>
              </w:rPr>
              <w:t>《稀土管理条例》的颁布对稀土行业是一个标志性事件，《稀土管理条例》的出台标志着中国对稀土资源的开发利用进行了专门的立法规范，这是中国首次以行政立法形式对稀土资源的管理进行规定。《稀土管理条例》将对规范稀土行业秩序、促进稀土行业持续健康发展起到积极作用。</w:t>
            </w:r>
          </w:p>
          <w:p w14:paraId="66F07F6E">
            <w:pPr>
              <w:numPr>
                <w:ilvl w:val="0"/>
                <w:numId w:val="1"/>
              </w:numPr>
              <w:spacing w:before="156" w:beforeLines="50"/>
              <w:ind w:firstLine="420" w:firstLineChars="200"/>
            </w:pPr>
            <w:r>
              <w:rPr>
                <w:rFonts w:hint="eastAsia"/>
              </w:rPr>
              <w:t xml:space="preserve">PEAK公司Ngualla项目目前进展如何？ </w:t>
            </w:r>
          </w:p>
          <w:p w14:paraId="107D8988">
            <w:pPr>
              <w:spacing w:before="156" w:beforeLines="50"/>
              <w:ind w:firstLine="420" w:firstLineChars="200"/>
              <w:rPr>
                <w:rFonts w:hint="eastAsia"/>
              </w:rPr>
            </w:pPr>
            <w:r>
              <w:rPr>
                <w:rFonts w:hint="eastAsia"/>
              </w:rPr>
              <w:t>公司今年7月与Peak公司签署投资、资金和开发等条款清单。以支持Ngualla项目的开发，主要内容包括Ngualla项目投资、资金、开发解决方案等内容。公司拟以约9,600万澳元认购Ngualla Group UK Limited增发的50%的权益，该公司持有Ngualla项目84%的权益。目前双方正在就正式协议的签署进行磋商谈判。预计Ngualla项目将在2026年初建成投产。项目初期预计年产折合氧化物1.8万吨稀土精矿，对应该氧化镨钕约4000吨。</w:t>
            </w:r>
          </w:p>
        </w:tc>
      </w:tr>
      <w:tr w14:paraId="07FA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35EF0FA3">
            <w:pPr>
              <w:spacing w:line="360" w:lineRule="auto"/>
              <w:jc w:val="center"/>
              <w:rPr>
                <w:rFonts w:hint="eastAsia" w:ascii="宋体" w:hAnsi="宋体"/>
                <w:b/>
                <w:bCs/>
                <w:iCs/>
                <w:color w:val="000000"/>
                <w:szCs w:val="21"/>
              </w:rPr>
            </w:pPr>
            <w:r>
              <w:rPr>
                <w:rFonts w:hint="eastAsia" w:ascii="宋体" w:hAnsi="宋体"/>
                <w:b/>
                <w:bCs/>
                <w:iCs/>
                <w:color w:val="000000"/>
                <w:szCs w:val="21"/>
              </w:rPr>
              <w:t xml:space="preserve"> </w:t>
            </w:r>
            <w:r>
              <w:rPr>
                <w:rFonts w:ascii="宋体" w:hAnsi="宋体"/>
                <w:b/>
                <w:bCs/>
                <w:iCs/>
                <w:color w:val="000000"/>
                <w:szCs w:val="21"/>
              </w:rPr>
              <w:t>附件清单（如有）</w:t>
            </w:r>
          </w:p>
        </w:tc>
        <w:tc>
          <w:tcPr>
            <w:tcW w:w="7088" w:type="dxa"/>
          </w:tcPr>
          <w:p w14:paraId="2F37BA81">
            <w:pPr>
              <w:spacing w:line="360" w:lineRule="auto"/>
              <w:ind w:firstLine="105" w:firstLineChars="50"/>
              <w:jc w:val="center"/>
              <w:rPr>
                <w:rFonts w:hint="eastAsia" w:ascii="宋体" w:hAnsi="宋体"/>
                <w:bCs/>
                <w:iCs/>
                <w:color w:val="000000"/>
                <w:szCs w:val="21"/>
              </w:rPr>
            </w:pPr>
            <w:r>
              <w:rPr>
                <w:rFonts w:hint="eastAsia" w:ascii="宋体" w:hAnsi="宋体"/>
                <w:bCs/>
                <w:iCs/>
                <w:color w:val="000000"/>
                <w:szCs w:val="21"/>
              </w:rPr>
              <w:t>无</w:t>
            </w:r>
          </w:p>
        </w:tc>
      </w:tr>
      <w:tr w14:paraId="5933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390A7336">
            <w:pPr>
              <w:spacing w:line="360" w:lineRule="auto"/>
              <w:jc w:val="center"/>
              <w:rPr>
                <w:rFonts w:hint="eastAsia" w:ascii="宋体" w:hAnsi="宋体"/>
                <w:b/>
                <w:bCs/>
                <w:iCs/>
                <w:color w:val="000000"/>
                <w:szCs w:val="21"/>
              </w:rPr>
            </w:pPr>
            <w:r>
              <w:rPr>
                <w:rFonts w:ascii="宋体" w:hAnsi="宋体"/>
                <w:b/>
                <w:bCs/>
                <w:iCs/>
                <w:color w:val="000000"/>
                <w:szCs w:val="21"/>
              </w:rPr>
              <w:t>日期</w:t>
            </w:r>
          </w:p>
        </w:tc>
        <w:tc>
          <w:tcPr>
            <w:tcW w:w="7088" w:type="dxa"/>
          </w:tcPr>
          <w:p w14:paraId="60F2AF17">
            <w:pPr>
              <w:spacing w:line="360" w:lineRule="auto"/>
              <w:jc w:val="center"/>
              <w:rPr>
                <w:rFonts w:hint="eastAsia" w:ascii="宋体" w:hAnsi="宋体"/>
                <w:bCs/>
                <w:iCs/>
                <w:color w:val="000000"/>
                <w:szCs w:val="21"/>
              </w:rPr>
            </w:pPr>
            <w:r>
              <w:rPr>
                <w:rFonts w:ascii="宋体" w:hAnsi="宋体"/>
                <w:bCs/>
                <w:iCs/>
                <w:color w:val="000000"/>
                <w:szCs w:val="21"/>
              </w:rPr>
              <w:t>202</w:t>
            </w:r>
            <w:r>
              <w:rPr>
                <w:rFonts w:hint="eastAsia" w:ascii="宋体" w:hAnsi="宋体"/>
                <w:bCs/>
                <w:iCs/>
                <w:color w:val="000000"/>
                <w:szCs w:val="21"/>
              </w:rPr>
              <w:t>4年11月1日</w:t>
            </w:r>
          </w:p>
        </w:tc>
      </w:tr>
      <w:bookmarkEnd w:id="0"/>
    </w:tbl>
    <w:p w14:paraId="367F0D68">
      <w:pPr>
        <w:widowControl/>
        <w:jc w:val="left"/>
        <w:rPr>
          <w:rFonts w:hint="eastAsia" w:ascii="仿宋" w:hAnsi="仿宋" w:eastAsia="仿宋"/>
          <w:sz w:val="28"/>
          <w:szCs w:val="28"/>
        </w:rPr>
      </w:pPr>
    </w:p>
    <w:sectPr>
      <w:footerReference r:id="rId3" w:type="default"/>
      <w:footerReference r:id="rId4" w:type="even"/>
      <w:pgSz w:w="11906" w:h="16838"/>
      <w:pgMar w:top="1701" w:right="1797" w:bottom="1134"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715C9">
    <w:pPr>
      <w:pStyle w:val="7"/>
      <w:framePr w:wrap="around" w:vAnchor="text" w:hAnchor="margin" w:xAlign="center" w:y="1"/>
      <w:rPr>
        <w:rStyle w:val="14"/>
        <w:rFonts w:hint="eastAsia" w:ascii="宋体" w:hAnsi="宋体"/>
        <w:sz w:val="28"/>
        <w:szCs w:val="28"/>
      </w:rPr>
    </w:pPr>
    <w:r>
      <w:rPr>
        <w:rStyle w:val="14"/>
        <w:rFonts w:hint="eastAsia" w:ascii="宋体" w:hAnsi="宋体"/>
        <w:sz w:val="28"/>
        <w:szCs w:val="28"/>
      </w:rPr>
      <w:t>—</w:t>
    </w:r>
    <w:r>
      <w:rPr>
        <w:rFonts w:hint="eastAsia" w:ascii="宋体" w:hAnsi="宋体"/>
        <w:sz w:val="28"/>
        <w:szCs w:val="28"/>
      </w:rPr>
      <w:fldChar w:fldCharType="begin"/>
    </w:r>
    <w:r>
      <w:rPr>
        <w:rStyle w:val="14"/>
        <w:rFonts w:hint="eastAsia" w:ascii="宋体" w:hAnsi="宋体"/>
        <w:sz w:val="28"/>
        <w:szCs w:val="28"/>
      </w:rPr>
      <w:instrText xml:space="preserve">PAGE  </w:instrText>
    </w:r>
    <w:r>
      <w:rPr>
        <w:rFonts w:hint="eastAsia" w:ascii="宋体" w:hAnsi="宋体"/>
        <w:sz w:val="28"/>
        <w:szCs w:val="28"/>
      </w:rPr>
      <w:fldChar w:fldCharType="separate"/>
    </w:r>
    <w:r>
      <w:rPr>
        <w:rStyle w:val="14"/>
        <w:rFonts w:ascii="宋体" w:hAnsi="宋体"/>
        <w:sz w:val="28"/>
        <w:szCs w:val="28"/>
      </w:rPr>
      <w:t>2</w:t>
    </w:r>
    <w:r>
      <w:rPr>
        <w:rFonts w:hint="eastAsia" w:ascii="宋体" w:hAnsi="宋体"/>
        <w:sz w:val="28"/>
        <w:szCs w:val="28"/>
      </w:rPr>
      <w:fldChar w:fldCharType="end"/>
    </w:r>
    <w:r>
      <w:rPr>
        <w:rStyle w:val="14"/>
        <w:rFonts w:hint="eastAsia" w:ascii="宋体" w:hAnsi="宋体"/>
        <w:sz w:val="28"/>
        <w:szCs w:val="28"/>
      </w:rPr>
      <w:t>—</w:t>
    </w:r>
  </w:p>
  <w:p w14:paraId="2C3B848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D22ED">
    <w:pPr>
      <w:pStyle w:val="7"/>
      <w:framePr w:wrap="around" w:vAnchor="text" w:hAnchor="margin" w:xAlign="center" w:y="1"/>
      <w:rPr>
        <w:rStyle w:val="14"/>
      </w:rPr>
    </w:pPr>
    <w:r>
      <w:fldChar w:fldCharType="begin"/>
    </w:r>
    <w:r>
      <w:rPr>
        <w:rStyle w:val="14"/>
      </w:rPr>
      <w:instrText xml:space="preserve">PAGE  </w:instrText>
    </w:r>
    <w:r>
      <w:fldChar w:fldCharType="end"/>
    </w:r>
  </w:p>
  <w:p w14:paraId="7FC1CA37">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8BAE6"/>
    <w:multiLevelType w:val="singleLevel"/>
    <w:tmpl w:val="CAD8BAE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3YWU0ODljM2NmZjU5OGNmMjFkOGY5YmJkOTk2ODUifQ=="/>
  </w:docVars>
  <w:rsids>
    <w:rsidRoot w:val="00953981"/>
    <w:rsid w:val="0007285A"/>
    <w:rsid w:val="00081574"/>
    <w:rsid w:val="000B4A19"/>
    <w:rsid w:val="00177EC3"/>
    <w:rsid w:val="00180568"/>
    <w:rsid w:val="001C1D99"/>
    <w:rsid w:val="00253531"/>
    <w:rsid w:val="002D6F9D"/>
    <w:rsid w:val="003C7AB9"/>
    <w:rsid w:val="004D4ECC"/>
    <w:rsid w:val="00593A9B"/>
    <w:rsid w:val="005B097F"/>
    <w:rsid w:val="005C1E93"/>
    <w:rsid w:val="005E7432"/>
    <w:rsid w:val="00655078"/>
    <w:rsid w:val="00656C6A"/>
    <w:rsid w:val="0069607D"/>
    <w:rsid w:val="006B2EA8"/>
    <w:rsid w:val="007A66D5"/>
    <w:rsid w:val="008A7435"/>
    <w:rsid w:val="008F0F3B"/>
    <w:rsid w:val="009456A9"/>
    <w:rsid w:val="00953981"/>
    <w:rsid w:val="00992AD5"/>
    <w:rsid w:val="00AB65AE"/>
    <w:rsid w:val="00B10F99"/>
    <w:rsid w:val="00B33F4C"/>
    <w:rsid w:val="00B61558"/>
    <w:rsid w:val="00D67BC2"/>
    <w:rsid w:val="00DF6663"/>
    <w:rsid w:val="00E07197"/>
    <w:rsid w:val="00F244FD"/>
    <w:rsid w:val="00F536E6"/>
    <w:rsid w:val="02E82BDF"/>
    <w:rsid w:val="035E62A9"/>
    <w:rsid w:val="0DCD4C97"/>
    <w:rsid w:val="0ECB5A9B"/>
    <w:rsid w:val="1E38504E"/>
    <w:rsid w:val="222A111F"/>
    <w:rsid w:val="2C0B44D1"/>
    <w:rsid w:val="36C22E36"/>
    <w:rsid w:val="3A8638A8"/>
    <w:rsid w:val="3B816376"/>
    <w:rsid w:val="3ED65E91"/>
    <w:rsid w:val="41C10393"/>
    <w:rsid w:val="4599357F"/>
    <w:rsid w:val="58535244"/>
    <w:rsid w:val="5CC34FC4"/>
    <w:rsid w:val="5D864CC7"/>
    <w:rsid w:val="60F224FB"/>
    <w:rsid w:val="658E7179"/>
    <w:rsid w:val="6AC94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18"/>
    <w:qFormat/>
    <w:uiPriority w:val="9"/>
    <w:pPr>
      <w:keepNext/>
      <w:keepLines/>
      <w:spacing w:before="260" w:after="260" w:line="416" w:lineRule="auto"/>
      <w:outlineLvl w:val="1"/>
    </w:pPr>
    <w:rPr>
      <w:rFonts w:ascii="Calibri Light" w:hAnsi="Calibri Light"/>
      <w:b/>
      <w:bCs/>
      <w:sz w:val="32"/>
      <w:szCs w:val="3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qFormat/>
    <w:uiPriority w:val="0"/>
    <w:rPr>
      <w:sz w:val="28"/>
    </w:rPr>
  </w:style>
  <w:style w:type="paragraph" w:styleId="5">
    <w:name w:val="Date"/>
    <w:basedOn w:val="1"/>
    <w:next w:val="1"/>
    <w:qFormat/>
    <w:uiPriority w:val="0"/>
    <w:pPr>
      <w:ind w:left="100" w:leftChars="2500"/>
    </w:p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rFonts w:ascii="Calibri" w:hAnsi="Calibri"/>
      <w:sz w:val="24"/>
    </w:rPr>
  </w:style>
  <w:style w:type="table" w:styleId="11">
    <w:name w:val="Table Grid"/>
    <w:basedOn w:val="1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qFormat/>
    <w:uiPriority w:val="0"/>
  </w:style>
  <w:style w:type="character" w:styleId="15">
    <w:name w:val="Emphasis"/>
    <w:qFormat/>
    <w:uiPriority w:val="0"/>
    <w:rPr>
      <w:i/>
    </w:rPr>
  </w:style>
  <w:style w:type="character" w:styleId="16">
    <w:name w:val="Hyperlink"/>
    <w:qFormat/>
    <w:uiPriority w:val="99"/>
    <w:rPr>
      <w:rFonts w:cs="Times New Roman"/>
      <w:color w:val="0000FF"/>
      <w:u w:val="single"/>
    </w:rPr>
  </w:style>
  <w:style w:type="character" w:customStyle="1" w:styleId="17">
    <w:name w:val="标题 1 字符"/>
    <w:link w:val="2"/>
    <w:qFormat/>
    <w:uiPriority w:val="9"/>
    <w:rPr>
      <w:rFonts w:ascii="Calibri" w:hAnsi="Calibri"/>
      <w:b/>
      <w:bCs/>
      <w:kern w:val="44"/>
      <w:sz w:val="44"/>
      <w:szCs w:val="44"/>
    </w:rPr>
  </w:style>
  <w:style w:type="character" w:customStyle="1" w:styleId="18">
    <w:name w:val="标题 2 字符"/>
    <w:link w:val="3"/>
    <w:qFormat/>
    <w:uiPriority w:val="9"/>
    <w:rPr>
      <w:rFonts w:ascii="Calibri Light" w:hAnsi="Calibri Light"/>
      <w:b/>
      <w:bCs/>
      <w:kern w:val="2"/>
      <w:sz w:val="32"/>
      <w:szCs w:val="32"/>
    </w:rPr>
  </w:style>
  <w:style w:type="character" w:customStyle="1" w:styleId="19">
    <w:name w:val="正文文本 字符"/>
    <w:link w:val="4"/>
    <w:qFormat/>
    <w:uiPriority w:val="0"/>
    <w:rPr>
      <w:kern w:val="2"/>
      <w:sz w:val="28"/>
      <w:szCs w:val="24"/>
    </w:rPr>
  </w:style>
  <w:style w:type="character" w:customStyle="1" w:styleId="20">
    <w:name w:val="批注框文本 字符"/>
    <w:link w:val="6"/>
    <w:qFormat/>
    <w:uiPriority w:val="0"/>
    <w:rPr>
      <w:kern w:val="2"/>
      <w:sz w:val="18"/>
      <w:szCs w:val="18"/>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List Paragraph1"/>
    <w:basedOn w:val="1"/>
    <w:qFormat/>
    <w:uiPriority w:val="0"/>
    <w:pPr>
      <w:ind w:firstLine="420" w:firstLineChars="200"/>
    </w:pPr>
    <w:rPr>
      <w:rFonts w:ascii="Calibri" w:hAnsi="Calibri"/>
      <w:szCs w:val="22"/>
    </w:rPr>
  </w:style>
  <w:style w:type="paragraph" w:customStyle="1" w:styleId="23">
    <w:name w:val="msolistparagraph"/>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SC</Company>
  <Pages>2</Pages>
  <Words>1625</Words>
  <Characters>1743</Characters>
  <Lines>14</Lines>
  <Paragraphs>3</Paragraphs>
  <TotalTime>166</TotalTime>
  <ScaleCrop>false</ScaleCrop>
  <LinksUpToDate>false</LinksUpToDate>
  <CharactersWithSpaces>1877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2024-10-31T08:29:00Z</dcterms:created>
  <dc:creator>Li</dc:creator>
  <cp:lastModifiedBy>Ray</cp:lastModifiedBy>
  <cp:lastPrinted>2010-08-04T06:50:00Z</cp:lastPrinted>
  <dcterms:modified xsi:type="dcterms:W3CDTF">2024-11-01T02:47:04Z</dcterms:modified>
  <dc:title>四川省上市公司协会文件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4181AC599D654F0199066D74AD91CCB0_13</vt:lpwstr>
  </property>
</Properties>
</file>