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DCFB" w14:textId="77777777" w:rsidR="002C0ED1" w:rsidRDefault="00E869BA">
      <w:pPr>
        <w:pStyle w:val="Default"/>
        <w:spacing w:line="360" w:lineRule="exact"/>
        <w:jc w:val="center"/>
        <w:rPr>
          <w:rFonts w:ascii="宋体" w:eastAsia="宋体" w:hAnsi="宋体" w:cs="宋体"/>
          <w:b/>
          <w:bCs/>
          <w:color w:val="auto"/>
          <w:szCs w:val="21"/>
        </w:rPr>
      </w:pPr>
      <w:proofErr w:type="gramStart"/>
      <w:r>
        <w:rPr>
          <w:rFonts w:ascii="宋体" w:eastAsia="宋体" w:hAnsi="宋体" w:cs="宋体" w:hint="eastAsia"/>
          <w:b/>
          <w:bCs/>
          <w:color w:val="auto"/>
          <w:szCs w:val="21"/>
        </w:rPr>
        <w:t>晶科能源</w:t>
      </w:r>
      <w:proofErr w:type="gramEnd"/>
      <w:r>
        <w:rPr>
          <w:rFonts w:ascii="宋体" w:eastAsia="宋体" w:hAnsi="宋体" w:cs="宋体" w:hint="eastAsia"/>
          <w:b/>
          <w:bCs/>
          <w:color w:val="auto"/>
          <w:szCs w:val="21"/>
        </w:rPr>
        <w:t>股份有限公司</w:t>
      </w:r>
    </w:p>
    <w:p w14:paraId="3AD0285B" w14:textId="77777777" w:rsidR="002C0ED1" w:rsidRDefault="00E869BA">
      <w:pPr>
        <w:pStyle w:val="Default"/>
        <w:spacing w:line="360" w:lineRule="exact"/>
        <w:jc w:val="center"/>
        <w:rPr>
          <w:rFonts w:ascii="宋体" w:eastAsia="宋体" w:hAnsi="宋体" w:cs="宋体"/>
          <w:b/>
          <w:bCs/>
          <w:color w:val="auto"/>
          <w:szCs w:val="21"/>
        </w:rPr>
      </w:pPr>
      <w:r>
        <w:rPr>
          <w:rFonts w:ascii="宋体" w:eastAsia="宋体" w:hAnsi="宋体" w:cs="宋体" w:hint="eastAsia"/>
          <w:b/>
          <w:bCs/>
          <w:color w:val="auto"/>
          <w:szCs w:val="21"/>
        </w:rPr>
        <w:t>投资者关系活动记录表</w:t>
      </w:r>
    </w:p>
    <w:p w14:paraId="5EA90B1C" w14:textId="77777777" w:rsidR="002C0ED1" w:rsidRDefault="00E869BA">
      <w:pPr>
        <w:wordWrap w:val="0"/>
        <w:spacing w:line="360" w:lineRule="auto"/>
        <w:jc w:val="righ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</w:t>
      </w:r>
      <w:r>
        <w:rPr>
          <w:rFonts w:ascii="宋体" w:eastAsia="宋体" w:hAnsi="宋体" w:cs="Times New Roman" w:hint="eastAsia"/>
          <w:szCs w:val="21"/>
        </w:rPr>
        <w:t>编号</w:t>
      </w:r>
      <w:r>
        <w:rPr>
          <w:rFonts w:ascii="宋体" w:eastAsia="宋体" w:hAnsi="宋体" w:cs="Times New Roman"/>
          <w:szCs w:val="21"/>
        </w:rPr>
        <w:t>：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/>
          <w:szCs w:val="21"/>
        </w:rPr>
        <w:t>024</w:t>
      </w:r>
      <w:r>
        <w:rPr>
          <w:rFonts w:ascii="宋体" w:eastAsia="宋体" w:hAnsi="宋体" w:cs="Times New Roman" w:hint="eastAsia"/>
          <w:szCs w:val="21"/>
        </w:rPr>
        <w:t>-</w:t>
      </w:r>
      <w:r>
        <w:rPr>
          <w:rFonts w:ascii="宋体" w:eastAsia="宋体" w:hAnsi="宋体" w:cs="Times New Roman"/>
          <w:szCs w:val="21"/>
        </w:rPr>
        <w:t>10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2C0ED1" w14:paraId="31A0C034" w14:textId="77777777">
        <w:trPr>
          <w:trHeight w:val="1926"/>
        </w:trPr>
        <w:tc>
          <w:tcPr>
            <w:tcW w:w="1838" w:type="dxa"/>
            <w:vAlign w:val="center"/>
          </w:tcPr>
          <w:p w14:paraId="161C247D" w14:textId="77777777" w:rsidR="002C0ED1" w:rsidRDefault="00E869B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6458" w:type="dxa"/>
          </w:tcPr>
          <w:p w14:paraId="50B097CA" w14:textId="77777777" w:rsidR="002C0ED1" w:rsidRDefault="00E869B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特定对象调研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分析师会议</w:t>
            </w:r>
          </w:p>
          <w:p w14:paraId="21BC0C0F" w14:textId="77777777" w:rsidR="002C0ED1" w:rsidRDefault="00E869BA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媒体采访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√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业绩说明会</w:t>
            </w:r>
          </w:p>
          <w:p w14:paraId="46274F99" w14:textId="77777777" w:rsidR="002C0ED1" w:rsidRDefault="00E869BA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新闻发布会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路演活动</w:t>
            </w:r>
          </w:p>
          <w:p w14:paraId="6D258A9A" w14:textId="77777777" w:rsidR="002C0ED1" w:rsidRDefault="00E869B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现场参观</w:t>
            </w:r>
          </w:p>
          <w:p w14:paraId="544336F9" w14:textId="77777777" w:rsidR="002C0ED1" w:rsidRDefault="00E869B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其他（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请文字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说明）</w:t>
            </w:r>
          </w:p>
        </w:tc>
      </w:tr>
      <w:tr w:rsidR="002C0ED1" w14:paraId="3517635C" w14:textId="77777777">
        <w:trPr>
          <w:trHeight w:val="2670"/>
        </w:trPr>
        <w:tc>
          <w:tcPr>
            <w:tcW w:w="1838" w:type="dxa"/>
            <w:vAlign w:val="center"/>
          </w:tcPr>
          <w:p w14:paraId="7EFA6B3F" w14:textId="77777777" w:rsidR="002C0ED1" w:rsidRDefault="00E869B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参与单位</w:t>
            </w:r>
          </w:p>
        </w:tc>
        <w:tc>
          <w:tcPr>
            <w:tcW w:w="6458" w:type="dxa"/>
            <w:vAlign w:val="center"/>
          </w:tcPr>
          <w:p w14:paraId="67F1405A" w14:textId="77777777" w:rsidR="002C0ED1" w:rsidRDefault="002C0ED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14:paraId="2D3EAF43" w14:textId="77777777" w:rsidR="002C0ED1" w:rsidRDefault="00E869BA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广发基金、富国基金、易方达基金、嘉实基金、博时基金、南方基金、华安基金、万家基金、施罗德基金、中信保城基金、景顺长城基金、建信基金、银河基金、国泰基金、朱雀基金、长盛基金、新华基金、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浙商基金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、东方阿尔法基金、宝盈基金、华宝基金、农银人寿保险、东方红资管、混沌投资、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聚鸣投资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>
              <w:rPr>
                <w:rFonts w:ascii="宋体" w:eastAsia="宋体" w:hAnsi="宋体" w:cs="Times New Roman"/>
                <w:szCs w:val="21"/>
              </w:rPr>
              <w:t>AEZ Capital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>
              <w:rPr>
                <w:rFonts w:ascii="宋体" w:eastAsia="宋体" w:hAnsi="宋体" w:cs="Times New Roman"/>
                <w:szCs w:val="21"/>
              </w:rPr>
              <w:t>Bright Valley Capital</w:t>
            </w:r>
            <w:r>
              <w:rPr>
                <w:rFonts w:ascii="宋体" w:eastAsia="宋体" w:hAnsi="宋体" w:cs="Times New Roman"/>
                <w:szCs w:val="21"/>
              </w:rPr>
              <w:t>、</w:t>
            </w:r>
            <w:r>
              <w:rPr>
                <w:rFonts w:ascii="宋体" w:eastAsia="宋体" w:hAnsi="宋体" w:cs="Times New Roman"/>
                <w:szCs w:val="21"/>
              </w:rPr>
              <w:t>Point72</w:t>
            </w:r>
            <w:r>
              <w:rPr>
                <w:rFonts w:ascii="宋体" w:eastAsia="宋体" w:hAnsi="宋体" w:cs="Times New Roman"/>
                <w:szCs w:val="21"/>
              </w:rPr>
              <w:t>、</w:t>
            </w:r>
            <w:r>
              <w:rPr>
                <w:rFonts w:ascii="宋体" w:eastAsia="宋体" w:hAnsi="宋体" w:cs="Times New Roman"/>
                <w:szCs w:val="21"/>
              </w:rPr>
              <w:t>Oxbow Capital</w:t>
            </w:r>
            <w:r>
              <w:rPr>
                <w:rFonts w:ascii="宋体" w:eastAsia="宋体" w:hAnsi="宋体" w:cs="Times New Roman" w:hint="eastAsia"/>
                <w:szCs w:val="21"/>
              </w:rPr>
              <w:t>等，以及长江证券、东吴证券、中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信建投证券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、天风证券、广发证券、中信证券、招商证券、国金证券、财通证券、兴业证券、华泰证券、中泰证</w:t>
            </w:r>
            <w:r>
              <w:rPr>
                <w:rFonts w:ascii="宋体" w:eastAsia="宋体" w:hAnsi="宋体" w:cs="Times New Roman" w:hint="eastAsia"/>
                <w:szCs w:val="21"/>
              </w:rPr>
              <w:t>券、民生证券、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浙商证券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、西部证券、海通证券、东方证券、国泰君安证券、国信证券、国海证券、高盛</w:t>
            </w:r>
            <w:r>
              <w:rPr>
                <w:rFonts w:ascii="宋体" w:eastAsia="宋体" w:hAnsi="宋体" w:cs="Times New Roman"/>
                <w:szCs w:val="21"/>
              </w:rPr>
              <w:t>(</w:t>
            </w:r>
            <w:r>
              <w:rPr>
                <w:rFonts w:ascii="宋体" w:eastAsia="宋体" w:hAnsi="宋体" w:cs="Times New Roman"/>
                <w:szCs w:val="21"/>
              </w:rPr>
              <w:t>中国</w:t>
            </w:r>
            <w:r>
              <w:rPr>
                <w:rFonts w:ascii="宋体" w:eastAsia="宋体" w:hAnsi="宋体" w:cs="Times New Roman"/>
                <w:szCs w:val="21"/>
              </w:rPr>
              <w:t>)</w:t>
            </w:r>
            <w:r>
              <w:rPr>
                <w:rFonts w:ascii="宋体" w:eastAsia="宋体" w:hAnsi="宋体" w:cs="Times New Roman"/>
                <w:szCs w:val="21"/>
              </w:rPr>
              <w:t>证券</w:t>
            </w:r>
            <w:r>
              <w:rPr>
                <w:rFonts w:ascii="宋体" w:eastAsia="宋体" w:hAnsi="宋体" w:cs="Times New Roman" w:hint="eastAsia"/>
                <w:szCs w:val="21"/>
              </w:rPr>
              <w:t>、大和证券等</w:t>
            </w:r>
            <w:r>
              <w:rPr>
                <w:rFonts w:ascii="宋体" w:eastAsia="宋体" w:hAnsi="宋体" w:cs="Times New Roman" w:hint="eastAsia"/>
                <w:szCs w:val="21"/>
              </w:rPr>
              <w:t>300</w:t>
            </w:r>
            <w:r>
              <w:rPr>
                <w:rFonts w:ascii="宋体" w:eastAsia="宋体" w:hAnsi="宋体" w:cs="Times New Roman" w:hint="eastAsia"/>
                <w:szCs w:val="21"/>
              </w:rPr>
              <w:t>余人在线参与。</w:t>
            </w:r>
          </w:p>
          <w:p w14:paraId="58D66CC3" w14:textId="77777777" w:rsidR="002C0ED1" w:rsidRDefault="002C0ED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C0ED1" w14:paraId="0948A3D7" w14:textId="77777777">
        <w:trPr>
          <w:trHeight w:val="1415"/>
        </w:trPr>
        <w:tc>
          <w:tcPr>
            <w:tcW w:w="1838" w:type="dxa"/>
            <w:vAlign w:val="center"/>
          </w:tcPr>
          <w:p w14:paraId="5D4B9730" w14:textId="77777777" w:rsidR="002C0ED1" w:rsidRDefault="00E869B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公司接待人员姓名及职务</w:t>
            </w:r>
          </w:p>
        </w:tc>
        <w:tc>
          <w:tcPr>
            <w:tcW w:w="6458" w:type="dxa"/>
            <w:vAlign w:val="center"/>
          </w:tcPr>
          <w:p w14:paraId="37F3F351" w14:textId="77777777" w:rsidR="002C0ED1" w:rsidRDefault="002C0ED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14:paraId="24CA2CF7" w14:textId="77777777" w:rsidR="002C0ED1" w:rsidRDefault="00E869BA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首席财务官：曹海云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14:paraId="7B2BBE98" w14:textId="77777777" w:rsidR="002C0ED1" w:rsidRDefault="00E869BA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首席营销官：苗根</w:t>
            </w:r>
          </w:p>
          <w:p w14:paraId="583BB644" w14:textId="77777777" w:rsidR="002C0ED1" w:rsidRDefault="00E869BA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首席技术官：金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14:paraId="05CC4206" w14:textId="77777777" w:rsidR="002C0ED1" w:rsidRDefault="00E869BA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董事会秘书：蒋瑞</w:t>
            </w:r>
          </w:p>
          <w:p w14:paraId="080D8233" w14:textId="77777777" w:rsidR="002C0ED1" w:rsidRDefault="002C0ED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C0ED1" w14:paraId="2A6E6DE1" w14:textId="77777777">
        <w:trPr>
          <w:trHeight w:val="410"/>
        </w:trPr>
        <w:tc>
          <w:tcPr>
            <w:tcW w:w="1838" w:type="dxa"/>
            <w:vAlign w:val="center"/>
          </w:tcPr>
          <w:p w14:paraId="42C22341" w14:textId="77777777" w:rsidR="002C0ED1" w:rsidRDefault="00E869B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6458" w:type="dxa"/>
          </w:tcPr>
          <w:p w14:paraId="2CCF5EA3" w14:textId="77777777" w:rsidR="002C0ED1" w:rsidRDefault="00E869B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024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日、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2C0ED1" w14:paraId="1E59BF1B" w14:textId="77777777">
        <w:trPr>
          <w:trHeight w:val="417"/>
        </w:trPr>
        <w:tc>
          <w:tcPr>
            <w:tcW w:w="1838" w:type="dxa"/>
            <w:vAlign w:val="center"/>
          </w:tcPr>
          <w:p w14:paraId="697A2255" w14:textId="77777777" w:rsidR="002C0ED1" w:rsidRDefault="00E869B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6458" w:type="dxa"/>
          </w:tcPr>
          <w:p w14:paraId="0D840FAB" w14:textId="77777777" w:rsidR="002C0ED1" w:rsidRDefault="00E869B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线上电话会议</w:t>
            </w:r>
          </w:p>
        </w:tc>
      </w:tr>
    </w:tbl>
    <w:p w14:paraId="74053A2F" w14:textId="77777777" w:rsidR="002C0ED1" w:rsidRDefault="00E869BA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2C0ED1" w14:paraId="4245D180" w14:textId="77777777">
        <w:trPr>
          <w:trHeight w:val="1124"/>
        </w:trPr>
        <w:tc>
          <w:tcPr>
            <w:tcW w:w="1838" w:type="dxa"/>
            <w:vAlign w:val="center"/>
          </w:tcPr>
          <w:p w14:paraId="079612F1" w14:textId="77777777" w:rsidR="002C0ED1" w:rsidRDefault="00E869BA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投资者关系活动主要内容介绍</w:t>
            </w:r>
          </w:p>
        </w:tc>
        <w:tc>
          <w:tcPr>
            <w:tcW w:w="6458" w:type="dxa"/>
          </w:tcPr>
          <w:p w14:paraId="23615064" w14:textId="77777777" w:rsidR="002C0ED1" w:rsidRDefault="002C0ED1">
            <w:pPr>
              <w:rPr>
                <w:rFonts w:ascii="微软雅黑" w:eastAsia="微软雅黑" w:hAnsi="微软雅黑"/>
                <w:b/>
                <w:bCs/>
                <w:sz w:val="18"/>
                <w:szCs w:val="20"/>
              </w:rPr>
            </w:pPr>
          </w:p>
          <w:p w14:paraId="6755BF94" w14:textId="77777777" w:rsidR="002C0ED1" w:rsidRDefault="00E869B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【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2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24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年三季度经营情况】</w:t>
            </w:r>
          </w:p>
          <w:p w14:paraId="5FA373E5" w14:textId="77777777" w:rsidR="002C0ED1" w:rsidRDefault="00E869BA">
            <w:pPr>
              <w:spacing w:line="276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今年前三季度，得益于产品技术和海外市场优势，公司的出货和盈利保持同业领先的水平。</w:t>
            </w:r>
            <w:r>
              <w:rPr>
                <w:rFonts w:ascii="宋体" w:eastAsia="宋体" w:hAnsi="宋体" w:hint="eastAsia"/>
              </w:rPr>
              <w:t>1-</w:t>
            </w:r>
            <w:r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 w:hint="eastAsia"/>
              </w:rPr>
              <w:t>月公司实现光伏产品出货</w:t>
            </w:r>
            <w:r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/>
              </w:rPr>
              <w:t>3.13</w:t>
            </w:r>
            <w:r>
              <w:rPr>
                <w:rFonts w:ascii="宋体" w:eastAsia="宋体" w:hAnsi="宋体" w:hint="eastAsia"/>
              </w:rPr>
              <w:t>GW</w:t>
            </w:r>
            <w:r>
              <w:rPr>
                <w:rFonts w:ascii="宋体" w:eastAsia="宋体" w:hAnsi="宋体" w:hint="eastAsia"/>
              </w:rPr>
              <w:t>，同比增长</w:t>
            </w: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1.29%</w:t>
            </w:r>
            <w:r>
              <w:rPr>
                <w:rFonts w:ascii="宋体" w:eastAsia="宋体" w:hAnsi="宋体" w:hint="eastAsia"/>
              </w:rPr>
              <w:t>。其中组件出货</w:t>
            </w: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/>
              </w:rPr>
              <w:t>7.65</w:t>
            </w:r>
            <w:r>
              <w:rPr>
                <w:rFonts w:ascii="宋体" w:eastAsia="宋体" w:hAnsi="宋体" w:hint="eastAsia"/>
              </w:rPr>
              <w:t>GW</w:t>
            </w:r>
            <w:r>
              <w:rPr>
                <w:rFonts w:ascii="宋体" w:eastAsia="宋体" w:hAnsi="宋体" w:hint="eastAsia"/>
              </w:rPr>
              <w:t>，出货规模继续保持全球第一，</w:t>
            </w:r>
            <w:r>
              <w:rPr>
                <w:rFonts w:ascii="宋体" w:eastAsia="宋体" w:hAnsi="宋体" w:hint="eastAsia"/>
              </w:rPr>
              <w:t>N</w:t>
            </w:r>
            <w:r>
              <w:rPr>
                <w:rFonts w:ascii="宋体" w:eastAsia="宋体" w:hAnsi="宋体" w:hint="eastAsia"/>
              </w:rPr>
              <w:t>型组件</w:t>
            </w:r>
            <w:proofErr w:type="gramStart"/>
            <w:r>
              <w:rPr>
                <w:rFonts w:ascii="宋体" w:eastAsia="宋体" w:hAnsi="宋体" w:hint="eastAsia"/>
              </w:rPr>
              <w:t>出货占</w:t>
            </w:r>
            <w:proofErr w:type="gramEnd"/>
            <w:r>
              <w:rPr>
                <w:rFonts w:ascii="宋体" w:eastAsia="宋体" w:hAnsi="宋体" w:hint="eastAsia"/>
              </w:rPr>
              <w:t>比已经超过了</w:t>
            </w:r>
            <w:r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%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1CA1FDF2" w14:textId="77777777" w:rsidR="002C0ED1" w:rsidRDefault="00E869BA">
            <w:pPr>
              <w:spacing w:line="276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财务方面，公司前三季度实现营业收入</w:t>
            </w:r>
            <w:r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/>
              </w:rPr>
              <w:t>17.7</w:t>
            </w:r>
            <w:r>
              <w:rPr>
                <w:rFonts w:ascii="宋体" w:eastAsia="宋体" w:hAnsi="宋体" w:hint="eastAsia"/>
              </w:rPr>
              <w:t>亿元，</w:t>
            </w:r>
            <w:proofErr w:type="gramStart"/>
            <w:r>
              <w:rPr>
                <w:rFonts w:ascii="宋体" w:eastAsia="宋体" w:hAnsi="宋体" w:hint="eastAsia"/>
              </w:rPr>
              <w:t>归母净利润</w:t>
            </w:r>
            <w:proofErr w:type="gramEnd"/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2.15</w:t>
            </w:r>
            <w:r>
              <w:rPr>
                <w:rFonts w:ascii="宋体" w:eastAsia="宋体" w:hAnsi="宋体" w:hint="eastAsia"/>
              </w:rPr>
              <w:t>亿元，</w:t>
            </w:r>
            <w:proofErr w:type="gramStart"/>
            <w:r>
              <w:rPr>
                <w:rFonts w:ascii="宋体" w:eastAsia="宋体" w:hAnsi="宋体" w:hint="eastAsia"/>
              </w:rPr>
              <w:t>扣非净</w:t>
            </w:r>
            <w:proofErr w:type="gramEnd"/>
            <w:r>
              <w:rPr>
                <w:rFonts w:ascii="宋体" w:eastAsia="宋体" w:hAnsi="宋体" w:hint="eastAsia"/>
              </w:rPr>
              <w:t>利润</w:t>
            </w: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.76</w:t>
            </w:r>
            <w:r>
              <w:rPr>
                <w:rFonts w:ascii="宋体" w:eastAsia="宋体" w:hAnsi="宋体" w:hint="eastAsia"/>
              </w:rPr>
              <w:t>亿元。</w:t>
            </w:r>
            <w:r>
              <w:rPr>
                <w:rFonts w:ascii="宋体" w:eastAsia="宋体" w:hAnsi="宋体"/>
              </w:rPr>
              <w:t>毛利率从二季度</w:t>
            </w:r>
            <w:r>
              <w:rPr>
                <w:rFonts w:ascii="宋体" w:eastAsia="宋体" w:hAnsi="宋体"/>
              </w:rPr>
              <w:t>8%</w:t>
            </w:r>
            <w:r>
              <w:rPr>
                <w:rFonts w:ascii="宋体" w:eastAsia="宋体" w:hAnsi="宋体" w:hint="eastAsia"/>
              </w:rPr>
              <w:t>左右</w:t>
            </w:r>
            <w:r>
              <w:rPr>
                <w:rFonts w:ascii="宋体" w:eastAsia="宋体" w:hAnsi="宋体"/>
              </w:rPr>
              <w:t>提升到了三季度</w:t>
            </w:r>
            <w:r>
              <w:rPr>
                <w:rFonts w:ascii="宋体" w:eastAsia="宋体" w:hAnsi="宋体"/>
              </w:rPr>
              <w:t>11.8%</w:t>
            </w:r>
            <w:r>
              <w:rPr>
                <w:rFonts w:ascii="宋体" w:eastAsia="宋体" w:hAnsi="宋体" w:hint="eastAsia"/>
              </w:rPr>
              <w:t>。</w:t>
            </w:r>
            <w:r>
              <w:rPr>
                <w:rFonts w:ascii="宋体" w:eastAsia="宋体" w:hAnsi="宋体"/>
              </w:rPr>
              <w:t>面对行业的外部压力，公司坚持优化财务结构，三季度公司资产</w:t>
            </w:r>
            <w:proofErr w:type="gramStart"/>
            <w:r>
              <w:rPr>
                <w:rFonts w:ascii="宋体" w:eastAsia="宋体" w:hAnsi="宋体"/>
              </w:rPr>
              <w:t>负债率环比</w:t>
            </w:r>
            <w:proofErr w:type="gramEnd"/>
            <w:r>
              <w:rPr>
                <w:rFonts w:ascii="宋体" w:eastAsia="宋体" w:hAnsi="宋体"/>
              </w:rPr>
              <w:t>降低</w:t>
            </w:r>
            <w:r>
              <w:rPr>
                <w:rFonts w:ascii="宋体" w:eastAsia="宋体" w:hAnsi="宋体"/>
              </w:rPr>
              <w:t>1.28</w:t>
            </w:r>
            <w:r>
              <w:rPr>
                <w:rFonts w:ascii="宋体" w:eastAsia="宋体" w:hAnsi="宋体"/>
              </w:rPr>
              <w:t>个百分点，全年将继续保持</w:t>
            </w:r>
            <w:r>
              <w:rPr>
                <w:rFonts w:ascii="宋体" w:eastAsia="宋体" w:hAnsi="宋体" w:hint="eastAsia"/>
              </w:rPr>
              <w:t>财务稳健</w:t>
            </w:r>
            <w:r>
              <w:rPr>
                <w:rFonts w:ascii="宋体" w:eastAsia="宋体" w:hAnsi="宋体"/>
              </w:rPr>
              <w:t>。</w:t>
            </w:r>
          </w:p>
          <w:p w14:paraId="0D97FA05" w14:textId="77777777" w:rsidR="002C0ED1" w:rsidRDefault="00E869BA">
            <w:pPr>
              <w:spacing w:line="276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研发方面，</w:t>
            </w:r>
            <w:proofErr w:type="gramStart"/>
            <w:r>
              <w:rPr>
                <w:rFonts w:ascii="宋体" w:eastAsia="宋体" w:hAnsi="宋体" w:hint="eastAsia"/>
              </w:rPr>
              <w:t>晶科保持</w:t>
            </w:r>
            <w:proofErr w:type="gramEnd"/>
            <w:r>
              <w:rPr>
                <w:rFonts w:ascii="宋体" w:eastAsia="宋体" w:hAnsi="宋体" w:hint="eastAsia"/>
              </w:rPr>
              <w:t>高强度研发投入，前三季度研发投入合计</w:t>
            </w: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6.11</w:t>
            </w:r>
            <w:r>
              <w:rPr>
                <w:rFonts w:ascii="宋体" w:eastAsia="宋体" w:hAnsi="宋体" w:hint="eastAsia"/>
              </w:rPr>
              <w:t>亿，占营业收入的</w:t>
            </w: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.03%</w:t>
            </w:r>
            <w:r>
              <w:rPr>
                <w:rFonts w:ascii="宋体" w:eastAsia="宋体" w:hAnsi="宋体" w:hint="eastAsia"/>
              </w:rPr>
              <w:t>。公司发布</w:t>
            </w:r>
            <w:r>
              <w:rPr>
                <w:rFonts w:ascii="宋体" w:eastAsia="宋体" w:hAnsi="宋体" w:hint="eastAsia"/>
              </w:rPr>
              <w:t>Tiger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Neo</w:t>
            </w:r>
            <w:r>
              <w:rPr>
                <w:rFonts w:ascii="宋体" w:eastAsia="宋体" w:hAnsi="宋体" w:hint="eastAsia"/>
              </w:rPr>
              <w:t>第三代最新产品，涵盖多种创新技术，可实现最高功率</w:t>
            </w: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/>
              </w:rPr>
              <w:t>70</w:t>
            </w:r>
            <w:r>
              <w:rPr>
                <w:rFonts w:ascii="宋体" w:eastAsia="宋体" w:hAnsi="宋体" w:hint="eastAsia"/>
              </w:rPr>
              <w:t>W</w:t>
            </w:r>
            <w:r>
              <w:rPr>
                <w:rFonts w:ascii="宋体" w:eastAsia="宋体" w:hAnsi="宋体" w:hint="eastAsia"/>
              </w:rPr>
              <w:t>和最高组件转</w:t>
            </w:r>
            <w:r>
              <w:rPr>
                <w:rFonts w:ascii="宋体" w:eastAsia="宋体" w:hAnsi="宋体" w:hint="eastAsia"/>
              </w:rPr>
              <w:t>换</w:t>
            </w:r>
            <w:r>
              <w:rPr>
                <w:rFonts w:ascii="宋体" w:eastAsia="宋体" w:hAnsi="宋体" w:hint="eastAsia"/>
              </w:rPr>
              <w:t>效率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4.8%</w:t>
            </w:r>
            <w:r>
              <w:rPr>
                <w:rFonts w:ascii="宋体" w:eastAsia="宋体" w:hAnsi="宋体" w:hint="eastAsia"/>
              </w:rPr>
              <w:t>，体现</w:t>
            </w:r>
            <w:proofErr w:type="gramStart"/>
            <w:r>
              <w:rPr>
                <w:rFonts w:ascii="宋体" w:eastAsia="宋体" w:hAnsi="宋体" w:hint="eastAsia"/>
              </w:rPr>
              <w:t>了晶科在</w:t>
            </w:r>
            <w:proofErr w:type="gramEnd"/>
            <w:r>
              <w:rPr>
                <w:rFonts w:ascii="宋体" w:eastAsia="宋体" w:hAnsi="宋体" w:hint="eastAsia"/>
              </w:rPr>
              <w:t>技术创新上的持续引领能力。</w:t>
            </w:r>
          </w:p>
          <w:p w14:paraId="1A5F41C6" w14:textId="77777777" w:rsidR="002C0ED1" w:rsidRDefault="00E869BA">
            <w:pPr>
              <w:spacing w:line="276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展望后续，公司将继续积极应对行业变化，不断强化自身在技术、全球化等方面的竞争优势，做好规模和利润的平衡，实现经营的可持续和龙头地位的巩固。</w:t>
            </w:r>
          </w:p>
          <w:p w14:paraId="536B05FF" w14:textId="77777777" w:rsidR="002C0ED1" w:rsidRDefault="002C0ED1">
            <w:pPr>
              <w:spacing w:line="276" w:lineRule="auto"/>
              <w:ind w:firstLineChars="200" w:firstLine="420"/>
              <w:rPr>
                <w:rFonts w:ascii="宋体" w:eastAsia="宋体" w:hAnsi="宋体" w:cs="Times New Roman"/>
                <w:szCs w:val="21"/>
                <w:highlight w:val="yellow"/>
              </w:rPr>
            </w:pPr>
          </w:p>
          <w:p w14:paraId="4BD1E2E6" w14:textId="77777777" w:rsidR="002C0ED1" w:rsidRDefault="00E869BA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【投资者问答环节】</w:t>
            </w:r>
          </w:p>
          <w:p w14:paraId="4DFA7489" w14:textId="77777777" w:rsidR="002C0ED1" w:rsidRDefault="002C0ED1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1C558397" w14:textId="77777777" w:rsidR="002C0ED1" w:rsidRDefault="00E869BA"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对行业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反内卷及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自律举措如何评价与参与？</w:t>
            </w:r>
          </w:p>
          <w:p w14:paraId="17A5E6D7" w14:textId="77777777" w:rsidR="002C0ED1" w:rsidRDefault="00E869BA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光</w:t>
            </w:r>
            <w:proofErr w:type="gramStart"/>
            <w:r>
              <w:rPr>
                <w:rFonts w:ascii="宋体" w:eastAsia="宋体" w:hAnsi="宋体" w:cs="Times New Roman"/>
                <w:szCs w:val="21"/>
              </w:rPr>
              <w:t>伏行业</w:t>
            </w:r>
            <w:proofErr w:type="gramEnd"/>
            <w:r>
              <w:rPr>
                <w:rFonts w:ascii="宋体" w:eastAsia="宋体" w:hAnsi="宋体" w:cs="Times New Roman"/>
                <w:szCs w:val="21"/>
              </w:rPr>
              <w:t>作为全球技术领先的行业，低于成本出售本身不可持续</w:t>
            </w:r>
            <w:r>
              <w:rPr>
                <w:rFonts w:ascii="宋体" w:eastAsia="宋体" w:hAnsi="宋体" w:cs="Times New Roman" w:hint="eastAsia"/>
                <w:szCs w:val="21"/>
              </w:rPr>
              <w:t>。市场参与者在</w:t>
            </w:r>
            <w:r>
              <w:rPr>
                <w:rFonts w:ascii="宋体" w:eastAsia="宋体" w:hAnsi="宋体" w:cs="Times New Roman"/>
                <w:szCs w:val="21"/>
              </w:rPr>
              <w:t>大方向上都有明确一致共识</w:t>
            </w:r>
            <w:r>
              <w:rPr>
                <w:rFonts w:ascii="宋体" w:eastAsia="宋体" w:hAnsi="宋体" w:cs="Times New Roman" w:hint="eastAsia"/>
                <w:szCs w:val="21"/>
              </w:rPr>
              <w:t>，具体政策落地有利于落后产能退出，先进产能根据需求变化进行</w:t>
            </w:r>
            <w:r>
              <w:rPr>
                <w:rFonts w:ascii="宋体" w:eastAsia="宋体" w:hAnsi="宋体" w:cs="Times New Roman"/>
                <w:szCs w:val="21"/>
              </w:rPr>
              <w:t>开工率</w:t>
            </w:r>
            <w:r>
              <w:rPr>
                <w:rFonts w:ascii="宋体" w:eastAsia="宋体" w:hAnsi="宋体" w:cs="Times New Roman" w:hint="eastAsia"/>
                <w:szCs w:val="21"/>
              </w:rPr>
              <w:t>管理。</w:t>
            </w:r>
            <w:r>
              <w:rPr>
                <w:rFonts w:ascii="宋体" w:eastAsia="宋体" w:hAnsi="宋体" w:hint="eastAsia"/>
              </w:rPr>
              <w:t>作为头部企业，公司积极从供应链、市场报价与</w:t>
            </w:r>
            <w:r>
              <w:rPr>
                <w:rFonts w:ascii="宋体" w:eastAsia="宋体" w:hAnsi="宋体"/>
              </w:rPr>
              <w:t>政策相关咨询意见</w:t>
            </w:r>
            <w:proofErr w:type="gramStart"/>
            <w:r>
              <w:rPr>
                <w:rFonts w:ascii="宋体" w:eastAsia="宋体" w:hAnsi="宋体"/>
              </w:rPr>
              <w:t>稿方面</w:t>
            </w:r>
            <w:proofErr w:type="gramEnd"/>
            <w:r>
              <w:rPr>
                <w:rFonts w:ascii="宋体" w:eastAsia="宋体" w:hAnsi="宋体" w:hint="eastAsia"/>
              </w:rPr>
              <w:t>参与响应，</w:t>
            </w:r>
            <w:r>
              <w:rPr>
                <w:rFonts w:ascii="宋体" w:eastAsia="宋体" w:hAnsi="宋体"/>
              </w:rPr>
              <w:t>希望通过以身作则带动行业走向更健康、更可持续发展态势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5295754F" w14:textId="77777777" w:rsidR="002C0ED1" w:rsidRDefault="002C0ED1">
            <w:pPr>
              <w:spacing w:line="276" w:lineRule="auto"/>
              <w:rPr>
                <w:rFonts w:ascii="宋体" w:eastAsia="宋体" w:hAnsi="宋体"/>
              </w:rPr>
            </w:pPr>
          </w:p>
          <w:p w14:paraId="4AC2422C" w14:textId="77777777" w:rsidR="002C0ED1" w:rsidRDefault="00E869BA"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三季度</w:t>
            </w:r>
            <w:r>
              <w:rPr>
                <w:rFonts w:ascii="宋体" w:eastAsia="宋体" w:hAnsi="宋体" w:cs="Times New Roman"/>
                <w:b/>
                <w:szCs w:val="21"/>
              </w:rPr>
              <w:t>美国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市场出货情况与</w:t>
            </w:r>
            <w:r>
              <w:rPr>
                <w:rFonts w:ascii="宋体" w:eastAsia="宋体" w:hAnsi="宋体" w:cs="Times New Roman"/>
                <w:b/>
                <w:szCs w:val="21"/>
              </w:rPr>
              <w:t>后续展望？</w:t>
            </w:r>
          </w:p>
          <w:p w14:paraId="19717019" w14:textId="77777777" w:rsidR="002C0ED1" w:rsidRDefault="00E869BA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三季度美国市场</w:t>
            </w:r>
            <w:proofErr w:type="gramStart"/>
            <w:r>
              <w:rPr>
                <w:rFonts w:ascii="宋体" w:eastAsia="宋体" w:hAnsi="宋体"/>
              </w:rPr>
              <w:t>占比</w:t>
            </w:r>
            <w:r>
              <w:rPr>
                <w:rFonts w:ascii="宋体" w:eastAsia="宋体" w:hAnsi="宋体" w:hint="eastAsia"/>
              </w:rPr>
              <w:t>较</w:t>
            </w:r>
            <w:proofErr w:type="gramEnd"/>
            <w:r>
              <w:rPr>
                <w:rFonts w:ascii="宋体" w:eastAsia="宋体" w:hAnsi="宋体" w:hint="eastAsia"/>
              </w:rPr>
              <w:t>高</w:t>
            </w:r>
            <w:r>
              <w:rPr>
                <w:rFonts w:ascii="宋体" w:eastAsia="宋体" w:hAnsi="宋体"/>
              </w:rPr>
              <w:t>，预计</w:t>
            </w:r>
            <w:r>
              <w:rPr>
                <w:rFonts w:ascii="宋体" w:eastAsia="宋体" w:hAnsi="宋体" w:hint="eastAsia"/>
              </w:rPr>
              <w:t>四季度保持正常水平</w:t>
            </w:r>
            <w:r>
              <w:rPr>
                <w:rFonts w:ascii="宋体" w:eastAsia="宋体" w:hAnsi="宋体"/>
              </w:rPr>
              <w:t>。</w:t>
            </w:r>
            <w:r>
              <w:rPr>
                <w:rFonts w:ascii="宋体" w:eastAsia="宋体" w:hAnsi="宋体" w:hint="eastAsia"/>
              </w:rPr>
              <w:t>公司</w:t>
            </w:r>
            <w:r>
              <w:rPr>
                <w:rFonts w:ascii="宋体" w:eastAsia="宋体" w:hAnsi="宋体"/>
              </w:rPr>
              <w:t>长期看好美国市场需求，总体保持</w:t>
            </w:r>
            <w:r>
              <w:rPr>
                <w:rFonts w:ascii="宋体" w:eastAsia="宋体" w:hAnsi="宋体"/>
              </w:rPr>
              <w:t>5-10%</w:t>
            </w:r>
            <w:proofErr w:type="gramStart"/>
            <w:r>
              <w:rPr>
                <w:rFonts w:ascii="宋体" w:eastAsia="宋体" w:hAnsi="宋体"/>
              </w:rPr>
              <w:t>出货占</w:t>
            </w:r>
            <w:proofErr w:type="gramEnd"/>
            <w:r>
              <w:rPr>
                <w:rFonts w:ascii="宋体" w:eastAsia="宋体" w:hAnsi="宋体"/>
              </w:rPr>
              <w:t>比。</w:t>
            </w:r>
            <w:r>
              <w:rPr>
                <w:rFonts w:ascii="宋体" w:eastAsia="宋体" w:hAnsi="宋体" w:hint="eastAsia"/>
              </w:rPr>
              <w:t>展望明年，公司在</w:t>
            </w:r>
            <w:r>
              <w:rPr>
                <w:rFonts w:ascii="宋体" w:eastAsia="宋体" w:hAnsi="宋体"/>
              </w:rPr>
              <w:t>美国</w:t>
            </w:r>
            <w:r>
              <w:rPr>
                <w:rFonts w:ascii="宋体" w:eastAsia="宋体" w:hAnsi="宋体" w:hint="eastAsia"/>
              </w:rPr>
              <w:t>市场会持续</w:t>
            </w:r>
            <w:r>
              <w:rPr>
                <w:rFonts w:ascii="宋体" w:eastAsia="宋体" w:hAnsi="宋体"/>
              </w:rPr>
              <w:t>利用产品和产能的优势，努力提升</w:t>
            </w:r>
            <w:r>
              <w:rPr>
                <w:rFonts w:ascii="宋体" w:eastAsia="宋体" w:hAnsi="宋体" w:hint="eastAsia"/>
              </w:rPr>
              <w:t>当地</w:t>
            </w:r>
            <w:r>
              <w:rPr>
                <w:rFonts w:ascii="宋体" w:eastAsia="宋体" w:hAnsi="宋体"/>
              </w:rPr>
              <w:t>市场影响力和供货能力。</w:t>
            </w:r>
          </w:p>
          <w:p w14:paraId="2FE627F4" w14:textId="77777777" w:rsidR="002C0ED1" w:rsidRDefault="002C0ED1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/>
              </w:rPr>
            </w:pPr>
          </w:p>
          <w:p w14:paraId="2B979050" w14:textId="77777777" w:rsidR="002C0ED1" w:rsidRDefault="00E869BA"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公司三季度毛利率提升原因？后续持续性如何？</w:t>
            </w:r>
          </w:p>
          <w:p w14:paraId="70880A47" w14:textId="77777777" w:rsidR="002C0ED1" w:rsidRDefault="00E869BA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行业下行过程中，公司</w:t>
            </w:r>
            <w:r>
              <w:rPr>
                <w:rFonts w:ascii="宋体" w:eastAsia="宋体" w:hAnsi="宋体" w:hint="eastAsia"/>
              </w:rPr>
              <w:t>合理调整部分环节生产开工率，采取自产与外</w:t>
            </w:r>
            <w:proofErr w:type="gramStart"/>
            <w:r>
              <w:rPr>
                <w:rFonts w:ascii="宋体" w:eastAsia="宋体" w:hAnsi="宋体" w:hint="eastAsia"/>
              </w:rPr>
              <w:t>采结合</w:t>
            </w:r>
            <w:proofErr w:type="gramEnd"/>
            <w:r>
              <w:rPr>
                <w:rFonts w:ascii="宋体" w:eastAsia="宋体" w:hAnsi="宋体" w:hint="eastAsia"/>
              </w:rPr>
              <w:t>的策略，改善综合成本。后续</w:t>
            </w:r>
            <w:r>
              <w:rPr>
                <w:rFonts w:ascii="宋体" w:eastAsia="宋体" w:hAnsi="宋体"/>
              </w:rPr>
              <w:t>毛利率</w:t>
            </w:r>
            <w:r>
              <w:rPr>
                <w:rFonts w:ascii="宋体" w:eastAsia="宋体" w:hAnsi="宋体" w:hint="eastAsia"/>
              </w:rPr>
              <w:t>水平与海外高价市场贡献相关度较高，</w:t>
            </w:r>
            <w:r>
              <w:rPr>
                <w:rFonts w:ascii="宋体" w:eastAsia="宋体" w:hAnsi="宋体"/>
              </w:rPr>
              <w:t>整体</w:t>
            </w:r>
            <w:r>
              <w:rPr>
                <w:rFonts w:ascii="宋体" w:eastAsia="宋体" w:hAnsi="宋体" w:hint="eastAsia"/>
              </w:rPr>
              <w:t>毛利有信心</w:t>
            </w:r>
            <w:r>
              <w:rPr>
                <w:rFonts w:ascii="宋体" w:eastAsia="宋体" w:hAnsi="宋体"/>
              </w:rPr>
              <w:t>领先于行业头部</w:t>
            </w:r>
            <w:r>
              <w:rPr>
                <w:rFonts w:ascii="宋体" w:eastAsia="宋体" w:hAnsi="宋体" w:hint="eastAsia"/>
              </w:rPr>
              <w:t>企业</w:t>
            </w:r>
            <w:r>
              <w:rPr>
                <w:rFonts w:ascii="宋体" w:eastAsia="宋体" w:hAnsi="宋体"/>
              </w:rPr>
              <w:t>的平</w:t>
            </w:r>
            <w:r>
              <w:rPr>
                <w:rFonts w:ascii="宋体" w:eastAsia="宋体" w:hAnsi="宋体"/>
              </w:rPr>
              <w:lastRenderedPageBreak/>
              <w:t>均水平。</w:t>
            </w:r>
          </w:p>
          <w:p w14:paraId="2DFF2EFE" w14:textId="77777777" w:rsidR="002C0ED1" w:rsidRDefault="002C0ED1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/>
              </w:rPr>
            </w:pPr>
          </w:p>
          <w:p w14:paraId="31BAA103" w14:textId="77777777" w:rsidR="002C0ED1" w:rsidRDefault="00E869BA"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bookmarkStart w:id="0" w:name="KFvA-1730293467746"/>
            <w:bookmarkEnd w:id="0"/>
            <w:r>
              <w:rPr>
                <w:rFonts w:ascii="宋体" w:eastAsia="宋体" w:hAnsi="宋体" w:cs="Times New Roman" w:hint="eastAsia"/>
                <w:b/>
                <w:szCs w:val="21"/>
              </w:rPr>
              <w:t>如何看待未来市场组件价格走势，客户对涨价接受度如何？</w:t>
            </w:r>
          </w:p>
          <w:p w14:paraId="5FBFC8A7" w14:textId="77777777" w:rsidR="002C0ED1" w:rsidRDefault="00E869BA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目前</w:t>
            </w:r>
            <w:r>
              <w:rPr>
                <w:rFonts w:ascii="宋体" w:eastAsia="宋体" w:hAnsi="宋体"/>
              </w:rPr>
              <w:t>从近期市场招投标和报价来看，价格明显呈现止跌反弹趋势</w:t>
            </w:r>
            <w:r>
              <w:rPr>
                <w:rFonts w:ascii="宋体" w:eastAsia="宋体" w:hAnsi="宋体" w:hint="eastAsia"/>
              </w:rPr>
              <w:t>。</w:t>
            </w:r>
            <w:r>
              <w:rPr>
                <w:rFonts w:ascii="宋体" w:eastAsia="宋体" w:hAnsi="宋体" w:cs="Times New Roman"/>
                <w:szCs w:val="21"/>
              </w:rPr>
              <w:t>现</w:t>
            </w:r>
            <w:r>
              <w:rPr>
                <w:rFonts w:ascii="宋体" w:eastAsia="宋体" w:hAnsi="宋体" w:cs="Times New Roman" w:hint="eastAsia"/>
                <w:szCs w:val="21"/>
              </w:rPr>
              <w:t>阶段</w:t>
            </w:r>
            <w:r>
              <w:rPr>
                <w:rFonts w:ascii="宋体" w:eastAsia="宋体" w:hAnsi="宋体" w:cs="Times New Roman"/>
                <w:szCs w:val="21"/>
              </w:rPr>
              <w:t>组件在整个</w:t>
            </w:r>
            <w:r>
              <w:rPr>
                <w:rFonts w:ascii="宋体" w:eastAsia="宋体" w:hAnsi="宋体" w:cs="Times New Roman" w:hint="eastAsia"/>
                <w:szCs w:val="21"/>
              </w:rPr>
              <w:t>光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伏</w:t>
            </w:r>
            <w:r>
              <w:rPr>
                <w:rFonts w:ascii="宋体" w:eastAsia="宋体" w:hAnsi="宋体" w:cs="Times New Roman"/>
                <w:szCs w:val="21"/>
              </w:rPr>
              <w:t>系统</w:t>
            </w:r>
            <w:r>
              <w:rPr>
                <w:rFonts w:ascii="宋体" w:eastAsia="宋体" w:hAnsi="宋体" w:cs="Times New Roman" w:hint="eastAsia"/>
                <w:szCs w:val="21"/>
              </w:rPr>
              <w:t>成本</w:t>
            </w:r>
            <w:r>
              <w:rPr>
                <w:rFonts w:ascii="宋体" w:eastAsia="宋体" w:hAnsi="宋体" w:cs="Times New Roman"/>
                <w:szCs w:val="21"/>
              </w:rPr>
              <w:t>占比较</w:t>
            </w:r>
            <w:proofErr w:type="gramEnd"/>
            <w:r>
              <w:rPr>
                <w:rFonts w:ascii="宋体" w:eastAsia="宋体" w:hAnsi="宋体" w:cs="Times New Roman"/>
                <w:szCs w:val="21"/>
              </w:rPr>
              <w:t>以往更低，涨价对于</w:t>
            </w:r>
            <w:r>
              <w:rPr>
                <w:rFonts w:ascii="宋体" w:eastAsia="宋体" w:hAnsi="宋体" w:cs="Times New Roman" w:hint="eastAsia"/>
                <w:szCs w:val="21"/>
              </w:rPr>
              <w:t>电站</w:t>
            </w:r>
            <w:r>
              <w:rPr>
                <w:rFonts w:ascii="宋体" w:eastAsia="宋体" w:hAnsi="宋体" w:cs="Times New Roman"/>
                <w:szCs w:val="21"/>
              </w:rPr>
              <w:t>投资影响有限。同时</w:t>
            </w:r>
            <w:r>
              <w:rPr>
                <w:rFonts w:ascii="宋体" w:eastAsia="宋体" w:hAnsi="宋体" w:cs="Times New Roman" w:hint="eastAsia"/>
                <w:szCs w:val="21"/>
              </w:rPr>
              <w:t>经历</w:t>
            </w:r>
            <w:r>
              <w:rPr>
                <w:rFonts w:ascii="宋体" w:eastAsia="宋体" w:hAnsi="宋体" w:cs="Times New Roman"/>
                <w:szCs w:val="21"/>
              </w:rPr>
              <w:t>了过去两年的行业波动，</w:t>
            </w:r>
            <w:r>
              <w:rPr>
                <w:rFonts w:ascii="宋体" w:eastAsia="宋体" w:hAnsi="宋体" w:cs="Times New Roman" w:hint="eastAsia"/>
                <w:szCs w:val="21"/>
              </w:rPr>
              <w:t>国内签单价格</w:t>
            </w:r>
            <w:r>
              <w:rPr>
                <w:rFonts w:ascii="宋体" w:eastAsia="宋体" w:hAnsi="宋体" w:cs="Times New Roman"/>
                <w:szCs w:val="21"/>
              </w:rPr>
              <w:t>更多会是</w:t>
            </w:r>
            <w:r>
              <w:rPr>
                <w:rFonts w:ascii="宋体" w:eastAsia="宋体" w:hAnsi="宋体" w:cs="Times New Roman" w:hint="eastAsia"/>
                <w:szCs w:val="21"/>
              </w:rPr>
              <w:t>浮动定价机制</w:t>
            </w:r>
            <w:r>
              <w:rPr>
                <w:rFonts w:ascii="宋体" w:eastAsia="宋体" w:hAnsi="宋体" w:cs="Times New Roman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为产业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链</w:t>
            </w:r>
            <w:r>
              <w:rPr>
                <w:rFonts w:ascii="宋体" w:eastAsia="宋体" w:hAnsi="宋体" w:cs="Times New Roman"/>
                <w:szCs w:val="21"/>
              </w:rPr>
              <w:t>价格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上涨和下跌过程中的订单价格调节</w:t>
            </w:r>
            <w:r>
              <w:rPr>
                <w:rFonts w:ascii="宋体" w:eastAsia="宋体" w:hAnsi="宋体" w:cs="Times New Roman"/>
                <w:szCs w:val="21"/>
              </w:rPr>
              <w:t>带来了可能性。</w:t>
            </w:r>
          </w:p>
          <w:p w14:paraId="5B81A354" w14:textId="77777777" w:rsidR="002C0ED1" w:rsidRDefault="002C0ED1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/>
              </w:rPr>
            </w:pPr>
          </w:p>
          <w:p w14:paraId="1763C69A" w14:textId="77777777" w:rsidR="002C0ED1" w:rsidRDefault="00E869BA"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公司年度出货目标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90-100GW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如何实现，以及明年出货目标和接单策略如何？</w:t>
            </w:r>
          </w:p>
          <w:p w14:paraId="69C6C9CD" w14:textId="77777777" w:rsidR="002C0ED1" w:rsidRDefault="00E869BA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公司会从可持续经营的角度出发，做好出货、价格、利润在不同市场之间的平衡，努力实现</w:t>
            </w: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szCs w:val="21"/>
              </w:rPr>
              <w:t>-</w:t>
            </w:r>
            <w:r>
              <w:rPr>
                <w:rFonts w:ascii="宋体" w:eastAsia="宋体" w:hAnsi="宋体" w:cs="Times New Roman"/>
                <w:szCs w:val="21"/>
              </w:rPr>
              <w:t>100</w:t>
            </w:r>
            <w:r>
              <w:rPr>
                <w:rFonts w:ascii="宋体" w:eastAsia="宋体" w:hAnsi="宋体" w:cs="Times New Roman" w:hint="eastAsia"/>
                <w:szCs w:val="21"/>
              </w:rPr>
              <w:t>GW</w:t>
            </w:r>
            <w:r>
              <w:rPr>
                <w:rFonts w:ascii="宋体" w:eastAsia="宋体" w:hAnsi="宋体" w:cs="Times New Roman" w:hint="eastAsia"/>
                <w:szCs w:val="21"/>
              </w:rPr>
              <w:t>的组件出货。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025</w:t>
            </w:r>
            <w:r>
              <w:rPr>
                <w:rFonts w:ascii="宋体" w:eastAsia="宋体" w:hAnsi="宋体" w:cs="Times New Roman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</w:rPr>
              <w:t>公司</w:t>
            </w:r>
            <w:r>
              <w:rPr>
                <w:rFonts w:ascii="宋体" w:eastAsia="宋体" w:hAnsi="宋体" w:cs="Times New Roman"/>
                <w:szCs w:val="21"/>
              </w:rPr>
              <w:t>接单策略和出货目标</w:t>
            </w:r>
            <w:r>
              <w:rPr>
                <w:rFonts w:ascii="宋体" w:eastAsia="宋体" w:hAnsi="宋体" w:cs="Times New Roman" w:hint="eastAsia"/>
                <w:szCs w:val="21"/>
              </w:rPr>
              <w:t>结合</w:t>
            </w:r>
            <w:r>
              <w:rPr>
                <w:rFonts w:ascii="宋体" w:eastAsia="宋体" w:hAnsi="宋体" w:cs="Times New Roman"/>
                <w:szCs w:val="21"/>
              </w:rPr>
              <w:t>量、价、利以及公司长期发展</w:t>
            </w:r>
            <w:r>
              <w:rPr>
                <w:rFonts w:ascii="宋体" w:eastAsia="宋体" w:hAnsi="宋体" w:cs="Times New Roman" w:hint="eastAsia"/>
                <w:szCs w:val="21"/>
              </w:rPr>
              <w:t>战略</w:t>
            </w:r>
            <w:r>
              <w:rPr>
                <w:rFonts w:ascii="宋体" w:eastAsia="宋体" w:hAnsi="宋体" w:cs="Times New Roman"/>
                <w:szCs w:val="21"/>
              </w:rPr>
              <w:t>决定，后续会</w:t>
            </w:r>
            <w:r>
              <w:rPr>
                <w:rFonts w:ascii="宋体" w:eastAsia="宋体" w:hAnsi="宋体" w:cs="Times New Roman" w:hint="eastAsia"/>
                <w:szCs w:val="21"/>
              </w:rPr>
              <w:t>根据</w:t>
            </w:r>
            <w:r>
              <w:rPr>
                <w:rFonts w:ascii="宋体" w:eastAsia="宋体" w:hAnsi="宋体" w:cs="Times New Roman"/>
                <w:szCs w:val="21"/>
              </w:rPr>
              <w:t>公司的管理目标和行业协会相关的会议精神进行综合判断</w:t>
            </w:r>
            <w:r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/>
                <w:szCs w:val="21"/>
              </w:rPr>
              <w:t>制定</w:t>
            </w:r>
            <w:r>
              <w:rPr>
                <w:rFonts w:ascii="宋体" w:eastAsia="宋体" w:hAnsi="宋体" w:cs="Times New Roman" w:hint="eastAsia"/>
                <w:szCs w:val="21"/>
              </w:rPr>
              <w:t>明年</w:t>
            </w:r>
            <w:r>
              <w:rPr>
                <w:rFonts w:ascii="宋体" w:eastAsia="宋体" w:hAnsi="宋体" w:cs="Times New Roman"/>
                <w:szCs w:val="21"/>
              </w:rPr>
              <w:t>经营策略。</w:t>
            </w:r>
          </w:p>
          <w:p w14:paraId="0A389EBC" w14:textId="77777777" w:rsidR="002C0ED1" w:rsidRDefault="002C0ED1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</w:p>
          <w:p w14:paraId="392E3CEF" w14:textId="77777777" w:rsidR="002C0ED1" w:rsidRDefault="00E869BA"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公司</w:t>
            </w:r>
            <w:r>
              <w:rPr>
                <w:rFonts w:ascii="宋体" w:eastAsia="宋体" w:hAnsi="宋体" w:cs="Times New Roman"/>
                <w:b/>
                <w:szCs w:val="21"/>
              </w:rPr>
              <w:t>对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全球</w:t>
            </w:r>
            <w:proofErr w:type="gramStart"/>
            <w:r>
              <w:rPr>
                <w:rFonts w:ascii="宋体" w:eastAsia="宋体" w:hAnsi="宋体" w:cs="Times New Roman"/>
                <w:b/>
                <w:szCs w:val="21"/>
              </w:rPr>
              <w:t>各光伏市场</w:t>
            </w:r>
            <w:proofErr w:type="gramEnd"/>
            <w:r>
              <w:rPr>
                <w:rFonts w:ascii="宋体" w:eastAsia="宋体" w:hAnsi="宋体" w:cs="Times New Roman" w:hint="eastAsia"/>
                <w:b/>
                <w:szCs w:val="21"/>
              </w:rPr>
              <w:t>未来</w:t>
            </w:r>
            <w:r>
              <w:rPr>
                <w:rFonts w:ascii="宋体" w:eastAsia="宋体" w:hAnsi="宋体" w:cs="Times New Roman"/>
                <w:b/>
                <w:szCs w:val="21"/>
              </w:rPr>
              <w:t>整体需求的判断？</w:t>
            </w:r>
            <w:bookmarkStart w:id="1" w:name="j7cM-1730296845228"/>
            <w:bookmarkEnd w:id="1"/>
          </w:p>
          <w:p w14:paraId="3DE45DDD" w14:textId="77777777" w:rsidR="002C0ED1" w:rsidRDefault="00E869BA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预计全球市场明年需求稳中有升，实现</w:t>
            </w:r>
            <w:r>
              <w:rPr>
                <w:rFonts w:ascii="宋体" w:eastAsia="宋体" w:hAnsi="宋体" w:cs="Times New Roman" w:hint="eastAsia"/>
                <w:szCs w:val="21"/>
              </w:rPr>
              <w:t>10%-</w:t>
            </w:r>
            <w:r>
              <w:rPr>
                <w:rFonts w:ascii="宋体" w:eastAsia="宋体" w:hAnsi="宋体" w:cs="Times New Roman"/>
                <w:szCs w:val="21"/>
              </w:rPr>
              <w:t>20</w:t>
            </w:r>
            <w:r>
              <w:rPr>
                <w:rFonts w:ascii="宋体" w:eastAsia="宋体" w:hAnsi="宋体" w:cs="Times New Roman" w:hint="eastAsia"/>
                <w:szCs w:val="21"/>
              </w:rPr>
              <w:t>%</w:t>
            </w:r>
            <w:r>
              <w:rPr>
                <w:rFonts w:ascii="宋体" w:eastAsia="宋体" w:hAnsi="宋体" w:cs="Times New Roman" w:hint="eastAsia"/>
                <w:szCs w:val="21"/>
              </w:rPr>
              <w:t>的增速。中国市场持续稳定在今年的高位，预计维持</w:t>
            </w:r>
            <w:r>
              <w:rPr>
                <w:rFonts w:ascii="宋体" w:eastAsia="宋体" w:hAnsi="宋体" w:cs="Times New Roman" w:hint="eastAsia"/>
                <w:szCs w:val="21"/>
              </w:rPr>
              <w:t>250GW</w:t>
            </w:r>
            <w:r>
              <w:rPr>
                <w:rFonts w:ascii="宋体" w:eastAsia="宋体" w:hAnsi="宋体" w:cs="Times New Roman" w:hint="eastAsia"/>
                <w:szCs w:val="21"/>
              </w:rPr>
              <w:t>的组件需求。美国短期有一定政策不确定性，看好未来</w:t>
            </w:r>
            <w:r>
              <w:rPr>
                <w:rFonts w:ascii="宋体" w:eastAsia="宋体" w:hAnsi="宋体" w:cs="Times New Roman" w:hint="eastAsia"/>
                <w:szCs w:val="21"/>
              </w:rPr>
              <w:t>3-5</w:t>
            </w:r>
            <w:r>
              <w:rPr>
                <w:rFonts w:ascii="宋体" w:eastAsia="宋体" w:hAnsi="宋体" w:cs="Times New Roman" w:hint="eastAsia"/>
                <w:szCs w:val="21"/>
              </w:rPr>
              <w:t>年长期的新能源装机的发展，预计明年同比增长</w:t>
            </w:r>
            <w:r>
              <w:rPr>
                <w:rFonts w:ascii="宋体" w:eastAsia="宋体" w:hAnsi="宋体" w:cs="Times New Roman" w:hint="eastAsia"/>
                <w:szCs w:val="21"/>
              </w:rPr>
              <w:t>20%</w:t>
            </w:r>
            <w:r>
              <w:rPr>
                <w:rFonts w:ascii="宋体" w:eastAsia="宋体" w:hAnsi="宋体" w:cs="Times New Roman" w:hint="eastAsia"/>
                <w:szCs w:val="21"/>
              </w:rPr>
              <w:t>左右。欧洲市场明年进入相对平稳的态势，增速约</w:t>
            </w:r>
            <w:r>
              <w:rPr>
                <w:rFonts w:ascii="宋体" w:eastAsia="宋体" w:hAnsi="宋体" w:cs="Times New Roman" w:hint="eastAsia"/>
                <w:szCs w:val="21"/>
              </w:rPr>
              <w:t>10%-15%</w:t>
            </w:r>
            <w:r>
              <w:rPr>
                <w:rFonts w:ascii="宋体" w:eastAsia="宋体" w:hAnsi="宋体" w:cs="Times New Roman" w:hint="eastAsia"/>
                <w:szCs w:val="21"/>
              </w:rPr>
              <w:t>，随着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szCs w:val="21"/>
              </w:rPr>
              <w:t>26-</w:t>
            </w:r>
            <w:r>
              <w:rPr>
                <w:rFonts w:ascii="宋体" w:eastAsia="宋体" w:hAnsi="宋体" w:cs="Times New Roman"/>
                <w:szCs w:val="21"/>
              </w:rPr>
              <w:t>20</w:t>
            </w:r>
            <w:r>
              <w:rPr>
                <w:rFonts w:ascii="宋体" w:eastAsia="宋体" w:hAnsi="宋体" w:cs="Times New Roman" w:hint="eastAsia"/>
                <w:szCs w:val="21"/>
              </w:rPr>
              <w:t>27</w:t>
            </w:r>
            <w:r>
              <w:rPr>
                <w:rFonts w:ascii="宋体" w:eastAsia="宋体" w:hAnsi="宋体" w:cs="Times New Roman" w:hint="eastAsia"/>
                <w:szCs w:val="21"/>
              </w:rPr>
              <w:t>年新一轮电站项目开发和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绿电政策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的落地</w:t>
            </w:r>
            <w:r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欧洲</w:t>
            </w:r>
            <w:r>
              <w:rPr>
                <w:rFonts w:ascii="宋体" w:eastAsia="宋体" w:hAnsi="宋体" w:cs="Times New Roman" w:hint="eastAsia"/>
                <w:szCs w:val="21"/>
              </w:rPr>
              <w:t>将</w:t>
            </w:r>
            <w:r>
              <w:rPr>
                <w:rFonts w:ascii="宋体" w:eastAsia="宋体" w:hAnsi="宋体" w:cs="Times New Roman" w:hint="eastAsia"/>
                <w:szCs w:val="21"/>
              </w:rPr>
              <w:t>迎来</w:t>
            </w:r>
            <w:r>
              <w:rPr>
                <w:rFonts w:ascii="宋体" w:eastAsia="宋体" w:hAnsi="宋体" w:cs="Times New Roman" w:hint="eastAsia"/>
                <w:szCs w:val="21"/>
              </w:rPr>
              <w:t>新</w:t>
            </w:r>
            <w:r>
              <w:rPr>
                <w:rFonts w:ascii="宋体" w:eastAsia="宋体" w:hAnsi="宋体" w:cs="Times New Roman" w:hint="eastAsia"/>
                <w:szCs w:val="21"/>
              </w:rPr>
              <w:t>的增长周期。</w:t>
            </w:r>
            <w:r>
              <w:rPr>
                <w:rFonts w:ascii="宋体" w:eastAsia="宋体" w:hAnsi="宋体" w:cs="Times New Roman"/>
                <w:szCs w:val="21"/>
              </w:rPr>
              <w:t>中东市场</w:t>
            </w:r>
            <w:r>
              <w:rPr>
                <w:rFonts w:ascii="宋体" w:eastAsia="宋体" w:hAnsi="宋体" w:cs="Times New Roman" w:hint="eastAsia"/>
                <w:szCs w:val="21"/>
              </w:rPr>
              <w:t>的</w:t>
            </w:r>
            <w:r>
              <w:rPr>
                <w:rFonts w:ascii="宋体" w:eastAsia="宋体" w:hAnsi="宋体" w:cs="Times New Roman"/>
                <w:szCs w:val="21"/>
              </w:rPr>
              <w:t>大项目</w:t>
            </w:r>
            <w:r>
              <w:rPr>
                <w:rFonts w:ascii="宋体" w:eastAsia="宋体" w:hAnsi="宋体" w:cs="Times New Roman" w:hint="eastAsia"/>
                <w:szCs w:val="21"/>
              </w:rPr>
              <w:t>需求</w:t>
            </w:r>
            <w:r>
              <w:rPr>
                <w:rFonts w:ascii="宋体" w:eastAsia="宋体" w:hAnsi="宋体" w:cs="Times New Roman"/>
                <w:szCs w:val="21"/>
              </w:rPr>
              <w:t>可预见性强</w:t>
            </w:r>
            <w:r>
              <w:rPr>
                <w:rFonts w:ascii="宋体" w:eastAsia="宋体" w:hAnsi="宋体" w:cs="Times New Roman" w:hint="eastAsia"/>
                <w:szCs w:val="21"/>
              </w:rPr>
              <w:t>，明年增速有望达到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szCs w:val="21"/>
              </w:rPr>
              <w:t>%</w:t>
            </w:r>
            <w:r>
              <w:rPr>
                <w:rFonts w:ascii="宋体" w:eastAsia="宋体" w:hAnsi="宋体" w:cs="Times New Roman" w:hint="eastAsia"/>
                <w:szCs w:val="21"/>
              </w:rPr>
              <w:t>，未</w:t>
            </w:r>
            <w:r>
              <w:rPr>
                <w:rFonts w:ascii="宋体" w:eastAsia="宋体" w:hAnsi="宋体" w:cs="Times New Roman"/>
                <w:szCs w:val="21"/>
              </w:rPr>
              <w:t>来</w:t>
            </w:r>
            <w:r>
              <w:rPr>
                <w:rFonts w:ascii="宋体" w:eastAsia="宋体" w:hAnsi="宋体" w:cs="Times New Roman"/>
                <w:szCs w:val="21"/>
              </w:rPr>
              <w:t>3-5</w:t>
            </w:r>
            <w:r>
              <w:rPr>
                <w:rFonts w:ascii="宋体" w:eastAsia="宋体" w:hAnsi="宋体" w:cs="Times New Roman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</w:rPr>
              <w:t>有望</w:t>
            </w:r>
            <w:r>
              <w:rPr>
                <w:rFonts w:ascii="宋体" w:eastAsia="宋体" w:hAnsi="宋体" w:cs="Times New Roman"/>
                <w:szCs w:val="21"/>
              </w:rPr>
              <w:t>持续</w:t>
            </w:r>
            <w:r>
              <w:rPr>
                <w:rFonts w:ascii="宋体" w:eastAsia="宋体" w:hAnsi="宋体" w:cs="Times New Roman"/>
                <w:szCs w:val="21"/>
              </w:rPr>
              <w:t>20%</w:t>
            </w:r>
            <w:r>
              <w:rPr>
                <w:rFonts w:ascii="宋体" w:eastAsia="宋体" w:hAnsi="宋体" w:cs="Times New Roman" w:hint="eastAsia"/>
                <w:szCs w:val="21"/>
              </w:rPr>
              <w:t>左右的市场</w:t>
            </w:r>
            <w:r>
              <w:rPr>
                <w:rFonts w:ascii="宋体" w:eastAsia="宋体" w:hAnsi="宋体" w:cs="Times New Roman"/>
                <w:szCs w:val="21"/>
              </w:rPr>
              <w:t>增速。预计</w:t>
            </w:r>
            <w:r>
              <w:rPr>
                <w:rFonts w:ascii="宋体" w:eastAsia="宋体" w:hAnsi="宋体" w:cs="Times New Roman" w:hint="eastAsia"/>
                <w:szCs w:val="21"/>
              </w:rPr>
              <w:t>明后年</w:t>
            </w:r>
            <w:r>
              <w:rPr>
                <w:rFonts w:ascii="宋体" w:eastAsia="宋体" w:hAnsi="宋体" w:cs="Times New Roman"/>
                <w:szCs w:val="21"/>
              </w:rPr>
              <w:t>在新兴市场会有很多类似于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024</w:t>
            </w:r>
            <w:r>
              <w:rPr>
                <w:rFonts w:ascii="宋体" w:eastAsia="宋体" w:hAnsi="宋体" w:cs="Times New Roman"/>
                <w:szCs w:val="21"/>
              </w:rPr>
              <w:t>年巴基斯坦</w:t>
            </w:r>
            <w:r>
              <w:rPr>
                <w:rFonts w:ascii="宋体" w:eastAsia="宋体" w:hAnsi="宋体" w:cs="Times New Roman" w:hint="eastAsia"/>
                <w:szCs w:val="21"/>
              </w:rPr>
              <w:t>市场</w:t>
            </w:r>
            <w:r>
              <w:rPr>
                <w:rFonts w:ascii="宋体" w:eastAsia="宋体" w:hAnsi="宋体" w:cs="Times New Roman"/>
                <w:szCs w:val="21"/>
              </w:rPr>
              <w:t>的</w:t>
            </w:r>
            <w:r>
              <w:rPr>
                <w:rFonts w:ascii="宋体" w:eastAsia="宋体" w:hAnsi="宋体" w:cs="Times New Roman" w:hint="eastAsia"/>
                <w:szCs w:val="21"/>
              </w:rPr>
              <w:t>需求</w:t>
            </w:r>
            <w:r>
              <w:rPr>
                <w:rFonts w:ascii="宋体" w:eastAsia="宋体" w:hAnsi="宋体" w:cs="Times New Roman"/>
                <w:szCs w:val="21"/>
              </w:rPr>
              <w:t>爆</w:t>
            </w:r>
            <w:r>
              <w:rPr>
                <w:rFonts w:ascii="宋体" w:eastAsia="宋体" w:hAnsi="宋体" w:cs="Times New Roman"/>
                <w:szCs w:val="21"/>
              </w:rPr>
              <w:t>发，为整个</w:t>
            </w:r>
            <w:r>
              <w:rPr>
                <w:rFonts w:ascii="宋体" w:eastAsia="宋体" w:hAnsi="宋体" w:cs="Times New Roman" w:hint="eastAsia"/>
                <w:szCs w:val="21"/>
              </w:rPr>
              <w:t>全球光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伏</w:t>
            </w:r>
            <w:r>
              <w:rPr>
                <w:rFonts w:ascii="宋体" w:eastAsia="宋体" w:hAnsi="宋体" w:cs="Times New Roman"/>
                <w:szCs w:val="21"/>
              </w:rPr>
              <w:t>市场</w:t>
            </w:r>
            <w:proofErr w:type="gramEnd"/>
            <w:r>
              <w:rPr>
                <w:rFonts w:ascii="宋体" w:eastAsia="宋体" w:hAnsi="宋体" w:cs="Times New Roman"/>
                <w:szCs w:val="21"/>
              </w:rPr>
              <w:t>的增量带来比较强的确定性。</w:t>
            </w:r>
          </w:p>
          <w:p w14:paraId="7CF1B43C" w14:textId="77777777" w:rsidR="002C0ED1" w:rsidRDefault="002C0ED1">
            <w:pPr>
              <w:pStyle w:val="11"/>
              <w:spacing w:line="276" w:lineRule="auto"/>
              <w:ind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F9C508A" w14:textId="77777777" w:rsidR="002C0ED1" w:rsidRDefault="00E869BA"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公司三季度</w:t>
            </w:r>
            <w:r>
              <w:rPr>
                <w:rFonts w:ascii="宋体" w:eastAsia="宋体" w:hAnsi="宋体" w:cs="Times New Roman"/>
                <w:b/>
                <w:szCs w:val="21"/>
              </w:rPr>
              <w:t>现金流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环比</w:t>
            </w:r>
            <w:r>
              <w:rPr>
                <w:rFonts w:ascii="宋体" w:eastAsia="宋体" w:hAnsi="宋体" w:cs="Times New Roman"/>
                <w:b/>
                <w:szCs w:val="21"/>
              </w:rPr>
              <w:t>明显改善的主要原因？</w:t>
            </w:r>
          </w:p>
          <w:p w14:paraId="0ACAA9F5" w14:textId="77777777" w:rsidR="002C0ED1" w:rsidRDefault="00E869BA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公司二季度</w:t>
            </w:r>
            <w:r>
              <w:rPr>
                <w:rFonts w:ascii="宋体" w:eastAsia="宋体" w:hAnsi="宋体" w:cs="Times New Roman"/>
                <w:szCs w:val="21"/>
              </w:rPr>
              <w:t>从供应</w:t>
            </w:r>
            <w:proofErr w:type="gramStart"/>
            <w:r>
              <w:rPr>
                <w:rFonts w:ascii="宋体" w:eastAsia="宋体" w:hAnsi="宋体" w:cs="Times New Roman"/>
                <w:szCs w:val="21"/>
              </w:rPr>
              <w:t>链成本</w:t>
            </w:r>
            <w:proofErr w:type="gramEnd"/>
            <w:r>
              <w:rPr>
                <w:rFonts w:ascii="宋体" w:eastAsia="宋体" w:hAnsi="宋体" w:cs="Times New Roman"/>
                <w:szCs w:val="21"/>
              </w:rPr>
              <w:t>最优的角度加快了供应商付款</w:t>
            </w:r>
            <w:r>
              <w:rPr>
                <w:rFonts w:ascii="宋体" w:eastAsia="宋体" w:hAnsi="宋体" w:cs="Times New Roman" w:hint="eastAsia"/>
                <w:szCs w:val="21"/>
              </w:rPr>
              <w:t>，三季度公司现金流</w:t>
            </w:r>
            <w:r>
              <w:rPr>
                <w:rFonts w:ascii="宋体" w:eastAsia="宋体" w:hAnsi="宋体" w:cs="Times New Roman"/>
                <w:szCs w:val="21"/>
              </w:rPr>
              <w:t>恢复</w:t>
            </w:r>
            <w:r>
              <w:rPr>
                <w:rFonts w:ascii="宋体" w:eastAsia="宋体" w:hAnsi="宋体" w:cs="Times New Roman" w:hint="eastAsia"/>
                <w:szCs w:val="21"/>
              </w:rPr>
              <w:t>至</w:t>
            </w:r>
            <w:r>
              <w:rPr>
                <w:rFonts w:ascii="宋体" w:eastAsia="宋体" w:hAnsi="宋体" w:cs="Times New Roman"/>
                <w:szCs w:val="21"/>
              </w:rPr>
              <w:t>正常</w:t>
            </w:r>
            <w:r>
              <w:rPr>
                <w:rFonts w:ascii="宋体" w:eastAsia="宋体" w:hAnsi="宋体" w:cs="Times New Roman" w:hint="eastAsia"/>
                <w:szCs w:val="21"/>
              </w:rPr>
              <w:t>水平，从而体现环比改善</w:t>
            </w:r>
            <w:r>
              <w:rPr>
                <w:rFonts w:ascii="宋体" w:eastAsia="宋体" w:hAnsi="宋体" w:cs="Times New Roman"/>
                <w:szCs w:val="21"/>
              </w:rPr>
              <w:t>。</w:t>
            </w:r>
          </w:p>
          <w:p w14:paraId="1BE6DE18" w14:textId="77777777" w:rsidR="002C0ED1" w:rsidRDefault="002C0ED1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2E2FA24" w14:textId="77777777" w:rsidR="002C0ED1" w:rsidRDefault="00E869BA"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公司</w:t>
            </w:r>
            <w:r>
              <w:rPr>
                <w:rFonts w:ascii="宋体" w:eastAsia="宋体" w:hAnsi="宋体" w:cs="Times New Roman"/>
                <w:b/>
                <w:szCs w:val="21"/>
              </w:rPr>
              <w:t>P</w:t>
            </w:r>
            <w:r>
              <w:rPr>
                <w:rFonts w:ascii="宋体" w:eastAsia="宋体" w:hAnsi="宋体" w:cs="Times New Roman"/>
                <w:b/>
                <w:szCs w:val="21"/>
              </w:rPr>
              <w:t>型的老产能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的</w:t>
            </w:r>
            <w:r>
              <w:rPr>
                <w:rFonts w:ascii="宋体" w:eastAsia="宋体" w:hAnsi="宋体" w:cs="Times New Roman"/>
                <w:b/>
                <w:szCs w:val="21"/>
              </w:rPr>
              <w:t>减值或折旧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计划</w:t>
            </w:r>
            <w:r>
              <w:rPr>
                <w:rFonts w:ascii="宋体" w:eastAsia="宋体" w:hAnsi="宋体" w:cs="Times New Roman"/>
                <w:b/>
                <w:szCs w:val="21"/>
              </w:rPr>
              <w:t>？</w:t>
            </w:r>
            <w:bookmarkStart w:id="2" w:name="bvrH-1730297160017"/>
            <w:bookmarkEnd w:id="2"/>
          </w:p>
          <w:p w14:paraId="58A2EC20" w14:textId="77777777" w:rsidR="002C0ED1" w:rsidRDefault="00E869BA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公司</w:t>
            </w:r>
            <w:r>
              <w:rPr>
                <w:rFonts w:ascii="宋体" w:eastAsia="宋体" w:hAnsi="宋体" w:cs="Times New Roman"/>
                <w:szCs w:val="21"/>
              </w:rPr>
              <w:t>P</w:t>
            </w:r>
            <w:r>
              <w:rPr>
                <w:rFonts w:ascii="宋体" w:eastAsia="宋体" w:hAnsi="宋体" w:cs="Times New Roman"/>
                <w:szCs w:val="21"/>
              </w:rPr>
              <w:t>型产能的</w:t>
            </w:r>
            <w:r>
              <w:rPr>
                <w:rFonts w:ascii="宋体" w:eastAsia="宋体" w:hAnsi="宋体" w:cs="Times New Roman" w:hint="eastAsia"/>
                <w:szCs w:val="21"/>
              </w:rPr>
              <w:t>总体</w:t>
            </w:r>
            <w:r>
              <w:rPr>
                <w:rFonts w:ascii="宋体" w:eastAsia="宋体" w:hAnsi="宋体" w:cs="Times New Roman"/>
                <w:szCs w:val="21"/>
              </w:rPr>
              <w:t>规模体量占比</w:t>
            </w:r>
            <w:r>
              <w:rPr>
                <w:rFonts w:ascii="宋体" w:eastAsia="宋体" w:hAnsi="宋体" w:cs="Times New Roman" w:hint="eastAsia"/>
                <w:szCs w:val="21"/>
              </w:rPr>
              <w:t>在</w:t>
            </w:r>
            <w:r>
              <w:rPr>
                <w:rFonts w:ascii="宋体" w:eastAsia="宋体" w:hAnsi="宋体" w:cs="Times New Roman"/>
                <w:szCs w:val="21"/>
              </w:rPr>
              <w:t>行业中</w:t>
            </w:r>
            <w:r>
              <w:rPr>
                <w:rFonts w:ascii="宋体" w:eastAsia="宋体" w:hAnsi="宋体" w:cs="Times New Roman" w:hint="eastAsia"/>
                <w:szCs w:val="21"/>
              </w:rPr>
              <w:t>较</w:t>
            </w:r>
            <w:r>
              <w:rPr>
                <w:rFonts w:ascii="宋体" w:eastAsia="宋体" w:hAnsi="宋体" w:cs="Times New Roman"/>
                <w:szCs w:val="21"/>
              </w:rPr>
              <w:t>小，</w:t>
            </w:r>
            <w:r>
              <w:rPr>
                <w:rFonts w:ascii="宋体" w:eastAsia="宋体" w:hAnsi="宋体" w:cs="Times New Roman" w:hint="eastAsia"/>
                <w:szCs w:val="21"/>
              </w:rPr>
              <w:t>随着行业落后产能加速淘汰，前三季度已经</w:t>
            </w:r>
            <w:r>
              <w:rPr>
                <w:rFonts w:ascii="宋体" w:eastAsia="宋体" w:hAnsi="宋体" w:cs="Times New Roman"/>
                <w:szCs w:val="21"/>
              </w:rPr>
              <w:t>有</w:t>
            </w:r>
            <w:r>
              <w:rPr>
                <w:rFonts w:ascii="宋体" w:eastAsia="宋体" w:hAnsi="宋体" w:cs="Times New Roman" w:hint="eastAsia"/>
                <w:szCs w:val="21"/>
              </w:rPr>
              <w:t>一定规模的</w:t>
            </w:r>
            <w:r>
              <w:rPr>
                <w:rFonts w:ascii="宋体" w:eastAsia="宋体" w:hAnsi="宋体" w:cs="Times New Roman"/>
                <w:szCs w:val="21"/>
              </w:rPr>
              <w:t>减值</w:t>
            </w:r>
            <w:r>
              <w:rPr>
                <w:rFonts w:ascii="宋体" w:eastAsia="宋体" w:hAnsi="宋体" w:cs="Times New Roman" w:hint="eastAsia"/>
                <w:szCs w:val="21"/>
              </w:rPr>
              <w:t>处置</w:t>
            </w:r>
            <w:r>
              <w:rPr>
                <w:rFonts w:ascii="宋体" w:eastAsia="宋体" w:hAnsi="宋体" w:cs="Times New Roman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未来</w:t>
            </w:r>
            <w:r>
              <w:rPr>
                <w:rFonts w:ascii="宋体" w:eastAsia="宋体" w:hAnsi="宋体" w:cs="Times New Roman"/>
                <w:szCs w:val="21"/>
              </w:rPr>
              <w:t>会进一步</w:t>
            </w:r>
            <w:r>
              <w:rPr>
                <w:rFonts w:ascii="宋体" w:eastAsia="宋体" w:hAnsi="宋体" w:cs="Times New Roman" w:hint="eastAsia"/>
                <w:szCs w:val="21"/>
              </w:rPr>
              <w:t>处置</w:t>
            </w:r>
            <w:r>
              <w:rPr>
                <w:rFonts w:ascii="宋体" w:eastAsia="宋体" w:hAnsi="宋体" w:cs="Times New Roman"/>
                <w:szCs w:val="21"/>
              </w:rPr>
              <w:t>P</w:t>
            </w:r>
            <w:r>
              <w:rPr>
                <w:rFonts w:ascii="宋体" w:eastAsia="宋体" w:hAnsi="宋体" w:cs="Times New Roman"/>
                <w:szCs w:val="21"/>
              </w:rPr>
              <w:t>型产能，</w:t>
            </w:r>
            <w:r>
              <w:rPr>
                <w:rFonts w:ascii="宋体" w:eastAsia="宋体" w:hAnsi="宋体" w:cs="Times New Roman" w:hint="eastAsia"/>
                <w:szCs w:val="21"/>
              </w:rPr>
              <w:t>总体</w:t>
            </w:r>
            <w:r>
              <w:rPr>
                <w:rFonts w:ascii="宋体" w:eastAsia="宋体" w:hAnsi="宋体" w:cs="Times New Roman"/>
                <w:szCs w:val="21"/>
              </w:rPr>
              <w:t>体量</w:t>
            </w:r>
            <w:r>
              <w:rPr>
                <w:rFonts w:ascii="宋体" w:eastAsia="宋体" w:hAnsi="宋体" w:cs="Times New Roman" w:hint="eastAsia"/>
                <w:szCs w:val="21"/>
              </w:rPr>
              <w:t>可控</w:t>
            </w:r>
            <w:r>
              <w:rPr>
                <w:rFonts w:ascii="宋体" w:eastAsia="宋体" w:hAnsi="宋体" w:cs="Times New Roman"/>
                <w:szCs w:val="21"/>
              </w:rPr>
              <w:t>。</w:t>
            </w:r>
          </w:p>
          <w:p w14:paraId="7D49788A" w14:textId="77777777" w:rsidR="002C0ED1" w:rsidRDefault="002C0ED1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6A25314" w14:textId="77777777" w:rsidR="002C0ED1" w:rsidRDefault="00E869BA"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公司对</w:t>
            </w:r>
            <w:r>
              <w:rPr>
                <w:rFonts w:ascii="宋体" w:eastAsia="宋体" w:hAnsi="宋体" w:cs="Times New Roman"/>
                <w:b/>
                <w:szCs w:val="21"/>
              </w:rPr>
              <w:t>BC</w:t>
            </w:r>
            <w:r>
              <w:rPr>
                <w:rFonts w:ascii="宋体" w:eastAsia="宋体" w:hAnsi="宋体" w:cs="Times New Roman"/>
                <w:b/>
                <w:szCs w:val="21"/>
              </w:rPr>
              <w:t>技术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的</w:t>
            </w:r>
            <w:proofErr w:type="gramStart"/>
            <w:r>
              <w:rPr>
                <w:rFonts w:ascii="宋体" w:eastAsia="宋体" w:hAnsi="宋体" w:cs="Times New Roman" w:hint="eastAsia"/>
                <w:b/>
                <w:szCs w:val="21"/>
              </w:rPr>
              <w:t>考量</w:t>
            </w:r>
            <w:proofErr w:type="gramEnd"/>
            <w:r>
              <w:rPr>
                <w:rFonts w:ascii="宋体" w:eastAsia="宋体" w:hAnsi="宋体" w:cs="Times New Roman" w:hint="eastAsia"/>
                <w:b/>
                <w:szCs w:val="21"/>
              </w:rPr>
              <w:t>与</w:t>
            </w:r>
            <w:r>
              <w:rPr>
                <w:rFonts w:ascii="宋体" w:eastAsia="宋体" w:hAnsi="宋体" w:cs="Times New Roman"/>
                <w:b/>
                <w:szCs w:val="21"/>
              </w:rPr>
              <w:t>储备，和</w:t>
            </w:r>
            <w:proofErr w:type="spellStart"/>
            <w:r>
              <w:rPr>
                <w:rFonts w:ascii="宋体" w:eastAsia="宋体" w:hAnsi="宋体" w:cs="Times New Roman"/>
                <w:b/>
                <w:szCs w:val="21"/>
              </w:rPr>
              <w:t>TOPCon</w:t>
            </w:r>
            <w:proofErr w:type="spellEnd"/>
            <w:r>
              <w:rPr>
                <w:rFonts w:ascii="宋体" w:eastAsia="宋体" w:hAnsi="宋体" w:cs="Times New Roman"/>
                <w:b/>
                <w:szCs w:val="21"/>
              </w:rPr>
              <w:t>的对比情况如何？</w:t>
            </w:r>
          </w:p>
          <w:p w14:paraId="1C59CD02" w14:textId="77777777" w:rsidR="002C0ED1" w:rsidRDefault="00E869BA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从研发的角度公司持续加大投入，搭建了</w:t>
            </w:r>
            <w:r>
              <w:rPr>
                <w:rFonts w:ascii="宋体" w:eastAsia="宋体" w:hAnsi="宋体" w:cs="Times New Roman"/>
                <w:szCs w:val="21"/>
              </w:rPr>
              <w:t>BC</w:t>
            </w:r>
            <w:r>
              <w:rPr>
                <w:rFonts w:ascii="宋体" w:eastAsia="宋体" w:hAnsi="宋体" w:cs="Times New Roman"/>
                <w:szCs w:val="21"/>
              </w:rPr>
              <w:t>研发生产线。</w:t>
            </w:r>
            <w:r>
              <w:rPr>
                <w:rFonts w:ascii="宋体" w:eastAsia="宋体" w:hAnsi="宋体" w:cs="Times New Roman" w:hint="eastAsia"/>
                <w:szCs w:val="21"/>
              </w:rPr>
              <w:t>同时</w:t>
            </w:r>
            <w:proofErr w:type="spellStart"/>
            <w:r>
              <w:rPr>
                <w:rFonts w:ascii="宋体" w:eastAsia="宋体" w:hAnsi="宋体" w:cs="Times New Roman"/>
                <w:szCs w:val="21"/>
              </w:rPr>
              <w:t>TOPCon</w:t>
            </w:r>
            <w:proofErr w:type="spellEnd"/>
            <w:r>
              <w:rPr>
                <w:rFonts w:ascii="宋体" w:eastAsia="宋体" w:hAnsi="宋体" w:cs="Times New Roman"/>
                <w:szCs w:val="21"/>
              </w:rPr>
              <w:t>在技术</w:t>
            </w:r>
            <w:r>
              <w:rPr>
                <w:rFonts w:ascii="宋体" w:eastAsia="宋体" w:hAnsi="宋体" w:cs="Times New Roman" w:hint="eastAsia"/>
                <w:szCs w:val="21"/>
              </w:rPr>
              <w:t>提效</w:t>
            </w:r>
            <w:r>
              <w:rPr>
                <w:rFonts w:ascii="宋体" w:eastAsia="宋体" w:hAnsi="宋体" w:cs="Times New Roman"/>
                <w:szCs w:val="21"/>
              </w:rPr>
              <w:t>方面潜力</w:t>
            </w:r>
            <w:r>
              <w:rPr>
                <w:rFonts w:ascii="宋体" w:eastAsia="宋体" w:hAnsi="宋体" w:cs="Times New Roman" w:hint="eastAsia"/>
                <w:szCs w:val="21"/>
              </w:rPr>
              <w:t>仍比较</w:t>
            </w:r>
            <w:r>
              <w:rPr>
                <w:rFonts w:ascii="宋体" w:eastAsia="宋体" w:hAnsi="宋体" w:cs="Times New Roman"/>
                <w:szCs w:val="21"/>
              </w:rPr>
              <w:t>大</w:t>
            </w:r>
            <w:r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/>
                <w:szCs w:val="21"/>
              </w:rPr>
              <w:t>公司维持</w:t>
            </w:r>
            <w:r>
              <w:rPr>
                <w:rFonts w:ascii="宋体" w:eastAsia="宋体" w:hAnsi="宋体" w:cs="Times New Roman" w:hint="eastAsia"/>
                <w:szCs w:val="21"/>
              </w:rPr>
              <w:t>较高</w:t>
            </w:r>
            <w:r>
              <w:rPr>
                <w:rFonts w:ascii="宋体" w:eastAsia="宋体" w:hAnsi="宋体" w:cs="Times New Roman"/>
                <w:szCs w:val="21"/>
              </w:rPr>
              <w:t>投入规模</w:t>
            </w:r>
            <w:bookmarkStart w:id="3" w:name="Inea-1730298510898"/>
            <w:bookmarkEnd w:id="3"/>
            <w:r>
              <w:rPr>
                <w:rFonts w:ascii="宋体" w:eastAsia="宋体" w:hAnsi="宋体" w:cs="Times New Roman" w:hint="eastAsia"/>
                <w:szCs w:val="21"/>
              </w:rPr>
              <w:t>。公司对</w:t>
            </w: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  <w:r>
              <w:rPr>
                <w:rFonts w:ascii="宋体" w:eastAsia="宋体" w:hAnsi="宋体" w:cs="Times New Roman"/>
                <w:szCs w:val="21"/>
              </w:rPr>
              <w:t>C</w:t>
            </w:r>
            <w:r>
              <w:rPr>
                <w:rFonts w:ascii="宋体" w:eastAsia="宋体" w:hAnsi="宋体" w:cs="Times New Roman" w:hint="eastAsia"/>
                <w:szCs w:val="21"/>
              </w:rPr>
              <w:t>相关</w:t>
            </w:r>
            <w:r>
              <w:rPr>
                <w:rFonts w:ascii="宋体" w:eastAsia="宋体" w:hAnsi="宋体" w:cs="Times New Roman"/>
                <w:szCs w:val="21"/>
              </w:rPr>
              <w:t>研发</w:t>
            </w:r>
            <w:r>
              <w:rPr>
                <w:rFonts w:ascii="宋体" w:eastAsia="宋体" w:hAnsi="宋体" w:cs="Times New Roman" w:hint="eastAsia"/>
                <w:szCs w:val="21"/>
              </w:rPr>
              <w:t>的领先性比较</w:t>
            </w:r>
            <w:r>
              <w:rPr>
                <w:rFonts w:ascii="宋体" w:eastAsia="宋体" w:hAnsi="宋体" w:cs="Times New Roman"/>
                <w:szCs w:val="21"/>
              </w:rPr>
              <w:t>有信心</w:t>
            </w:r>
            <w:bookmarkStart w:id="4" w:name="If8R-1730299371081"/>
            <w:bookmarkEnd w:id="4"/>
            <w:r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/>
                <w:szCs w:val="21"/>
              </w:rPr>
              <w:t>目前在评估未来产能投入规模。</w:t>
            </w:r>
            <w:r>
              <w:rPr>
                <w:rFonts w:ascii="宋体" w:eastAsia="宋体" w:hAnsi="宋体" w:cs="Times New Roman" w:hint="eastAsia"/>
                <w:szCs w:val="21"/>
              </w:rPr>
              <w:t>从</w:t>
            </w:r>
            <w:r>
              <w:rPr>
                <w:rFonts w:ascii="宋体" w:eastAsia="宋体" w:hAnsi="宋体" w:cs="Times New Roman"/>
                <w:szCs w:val="21"/>
              </w:rPr>
              <w:t>下游市场客户应用的角度</w:t>
            </w:r>
            <w:r>
              <w:rPr>
                <w:rFonts w:ascii="宋体" w:eastAsia="宋体" w:hAnsi="宋体" w:cs="Times New Roman" w:hint="eastAsia"/>
                <w:szCs w:val="21"/>
              </w:rPr>
              <w:t>出发</w:t>
            </w:r>
            <w:r>
              <w:rPr>
                <w:rFonts w:ascii="宋体" w:eastAsia="宋体" w:hAnsi="宋体" w:cs="Times New Roman"/>
                <w:szCs w:val="21"/>
              </w:rPr>
              <w:t>，</w:t>
            </w:r>
            <w:r>
              <w:rPr>
                <w:rFonts w:ascii="宋体" w:eastAsia="宋体" w:hAnsi="宋体" w:cs="Times New Roman"/>
                <w:szCs w:val="21"/>
              </w:rPr>
              <w:t>BC</w:t>
            </w:r>
            <w:r>
              <w:rPr>
                <w:rFonts w:ascii="宋体" w:eastAsia="宋体" w:hAnsi="宋体" w:cs="Times New Roman"/>
                <w:szCs w:val="21"/>
              </w:rPr>
              <w:t>比较适合分布式的部分单面应用场景，</w:t>
            </w:r>
            <w:r>
              <w:rPr>
                <w:rFonts w:ascii="宋体" w:eastAsia="宋体" w:hAnsi="宋体" w:cs="Times New Roman" w:hint="eastAsia"/>
                <w:szCs w:val="21"/>
              </w:rPr>
              <w:t>全市场来看</w:t>
            </w:r>
            <w:proofErr w:type="spellStart"/>
            <w:r>
              <w:rPr>
                <w:rFonts w:ascii="宋体" w:eastAsia="宋体" w:hAnsi="宋体" w:cs="Times New Roman"/>
                <w:szCs w:val="21"/>
              </w:rPr>
              <w:t>TOPCon</w:t>
            </w:r>
            <w:proofErr w:type="spellEnd"/>
            <w:r>
              <w:rPr>
                <w:rFonts w:ascii="宋体" w:eastAsia="宋体" w:hAnsi="宋体" w:cs="Times New Roman"/>
                <w:szCs w:val="21"/>
              </w:rPr>
              <w:t>在未来</w:t>
            </w:r>
            <w:r>
              <w:rPr>
                <w:rFonts w:ascii="宋体" w:eastAsia="宋体" w:hAnsi="宋体" w:cs="Times New Roman"/>
                <w:szCs w:val="21"/>
              </w:rPr>
              <w:t>3</w:t>
            </w:r>
            <w:r>
              <w:rPr>
                <w:rFonts w:ascii="宋体" w:eastAsia="宋体" w:hAnsi="宋体" w:cs="Times New Roman"/>
                <w:szCs w:val="21"/>
              </w:rPr>
              <w:t>年还是</w:t>
            </w:r>
            <w:r>
              <w:rPr>
                <w:rFonts w:ascii="宋体" w:eastAsia="宋体" w:hAnsi="宋体" w:cs="Times New Roman" w:hint="eastAsia"/>
                <w:szCs w:val="21"/>
              </w:rPr>
              <w:t>主力。</w:t>
            </w:r>
          </w:p>
          <w:p w14:paraId="3C1A75AE" w14:textId="77777777" w:rsidR="002C0ED1" w:rsidRDefault="002C0ED1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</w:p>
          <w:p w14:paraId="5E2177A4" w14:textId="77777777" w:rsidR="002C0ED1" w:rsidRDefault="00E869BA"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对美国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市场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025</w:t>
            </w:r>
            <w:r>
              <w:rPr>
                <w:rFonts w:ascii="宋体" w:eastAsia="宋体" w:hAnsi="宋体" w:cs="Times New Roman"/>
                <w:b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组件</w:t>
            </w:r>
            <w:r>
              <w:rPr>
                <w:rFonts w:ascii="宋体" w:eastAsia="宋体" w:hAnsi="宋体" w:cs="Times New Roman"/>
                <w:b/>
                <w:szCs w:val="21"/>
              </w:rPr>
              <w:t>价格展望？</w:t>
            </w:r>
            <w:bookmarkStart w:id="5" w:name="KZAH-1730298511388"/>
            <w:bookmarkEnd w:id="5"/>
          </w:p>
          <w:p w14:paraId="44F7A9D7" w14:textId="77777777" w:rsidR="002C0ED1" w:rsidRDefault="00E869BA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美国针对东南亚的反倾销关税裁定尚待公布，目前仍有一定不确定性，预期会对明年美国市场价格产生一定影响。由于受到新增关税以及</w:t>
            </w:r>
            <w:r>
              <w:rPr>
                <w:rFonts w:ascii="宋体" w:eastAsia="宋体" w:hAnsi="宋体" w:cs="Times New Roman" w:hint="eastAsia"/>
                <w:szCs w:val="21"/>
              </w:rPr>
              <w:t>UFLPA</w:t>
            </w:r>
            <w:r>
              <w:rPr>
                <w:rFonts w:ascii="宋体" w:eastAsia="宋体" w:hAnsi="宋体" w:cs="Times New Roman" w:hint="eastAsia"/>
                <w:szCs w:val="21"/>
              </w:rPr>
              <w:t>追溯成本等因素对供需造成的影响，预计美国市场组件</w:t>
            </w:r>
            <w:r>
              <w:rPr>
                <w:rFonts w:ascii="宋体" w:eastAsia="宋体" w:hAnsi="宋体" w:cs="Times New Roman" w:hint="eastAsia"/>
                <w:szCs w:val="21"/>
              </w:rPr>
              <w:t>价格将整体保持持续向上的趋势。</w:t>
            </w:r>
          </w:p>
          <w:p w14:paraId="6C3B8015" w14:textId="77777777" w:rsidR="002C0ED1" w:rsidRDefault="002C0ED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14:paraId="41ADA3CF" w14:textId="77777777" w:rsidR="002C0ED1" w:rsidRDefault="00E869BA"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如何</w:t>
            </w:r>
            <w:proofErr w:type="gramStart"/>
            <w:r>
              <w:rPr>
                <w:rFonts w:ascii="宋体" w:eastAsia="宋体" w:hAnsi="宋体" w:cs="Times New Roman" w:hint="eastAsia"/>
                <w:b/>
                <w:szCs w:val="21"/>
              </w:rPr>
              <w:t>看待光储平价</w:t>
            </w:r>
            <w:proofErr w:type="gramEnd"/>
            <w:r>
              <w:rPr>
                <w:rFonts w:ascii="宋体" w:eastAsia="宋体" w:hAnsi="宋体" w:cs="Times New Roman" w:hint="eastAsia"/>
                <w:b/>
                <w:szCs w:val="21"/>
              </w:rPr>
              <w:t>后光</w:t>
            </w:r>
            <w:proofErr w:type="gramStart"/>
            <w:r>
              <w:rPr>
                <w:rFonts w:ascii="宋体" w:eastAsia="宋体" w:hAnsi="宋体" w:cs="Times New Roman" w:hint="eastAsia"/>
                <w:b/>
                <w:szCs w:val="21"/>
              </w:rPr>
              <w:t>伏市场</w:t>
            </w:r>
            <w:proofErr w:type="gramEnd"/>
            <w:r>
              <w:rPr>
                <w:rFonts w:ascii="宋体" w:eastAsia="宋体" w:hAnsi="宋体" w:cs="Times New Roman" w:hint="eastAsia"/>
                <w:b/>
                <w:szCs w:val="21"/>
              </w:rPr>
              <w:t>中长期需求空间？</w:t>
            </w:r>
          </w:p>
          <w:p w14:paraId="3D72118B" w14:textId="77777777" w:rsidR="002C0ED1" w:rsidRDefault="00E869BA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中期来看新能源</w:t>
            </w:r>
            <w:r>
              <w:rPr>
                <w:rFonts w:ascii="宋体" w:eastAsia="宋体" w:hAnsi="宋体" w:cs="Times New Roman" w:hint="eastAsia"/>
                <w:szCs w:val="21"/>
              </w:rPr>
              <w:t>+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光储平价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是电力新增装机的重要支撑，可以提供经济性及可持续发展。长期来看由于化石能源、煤电核电等到期退役后造成的电力供应缺口，叠加人工智能驱动的新增电力需求，目前我们看到全球市场特别是美国市场对电力需求强劲。因此，在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光伏加储能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平价的场景下需求增量空间依然可期，有可能突破太瓦（</w:t>
            </w:r>
            <w:r>
              <w:rPr>
                <w:rFonts w:ascii="宋体" w:eastAsia="宋体" w:hAnsi="宋体" w:cs="Times New Roman" w:hint="eastAsia"/>
                <w:szCs w:val="21"/>
              </w:rPr>
              <w:t>TW</w:t>
            </w:r>
            <w:r>
              <w:rPr>
                <w:rFonts w:ascii="宋体" w:eastAsia="宋体" w:hAnsi="宋体" w:cs="Times New Roman" w:hint="eastAsia"/>
                <w:szCs w:val="21"/>
              </w:rPr>
              <w:t>）级别。</w:t>
            </w:r>
          </w:p>
          <w:p w14:paraId="5C17D710" w14:textId="77777777" w:rsidR="002C0ED1" w:rsidRDefault="002C0ED1">
            <w:pPr>
              <w:spacing w:line="276" w:lineRule="auto"/>
              <w:rPr>
                <w:rFonts w:ascii="宋体" w:eastAsia="宋体" w:hAnsi="宋体" w:cs="Times New Roman"/>
                <w:b/>
                <w:szCs w:val="21"/>
              </w:rPr>
            </w:pPr>
          </w:p>
          <w:p w14:paraId="19A26B4A" w14:textId="77777777" w:rsidR="002C0ED1" w:rsidRDefault="00E869BA"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公司在中东与美国等地的海外产能建设</w:t>
            </w:r>
            <w:r>
              <w:rPr>
                <w:rFonts w:ascii="宋体" w:eastAsia="宋体" w:hAnsi="宋体" w:cs="Times New Roman"/>
                <w:b/>
                <w:szCs w:val="21"/>
              </w:rPr>
              <w:t>情况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如何</w:t>
            </w:r>
            <w:r>
              <w:rPr>
                <w:rFonts w:ascii="宋体" w:eastAsia="宋体" w:hAnsi="宋体" w:cs="Times New Roman"/>
                <w:b/>
                <w:szCs w:val="21"/>
              </w:rPr>
              <w:t>？</w:t>
            </w:r>
            <w:bookmarkStart w:id="6" w:name="F8yZ-1730298514716"/>
            <w:bookmarkEnd w:id="6"/>
          </w:p>
          <w:p w14:paraId="06FAADA2" w14:textId="77777777" w:rsidR="002C0ED1" w:rsidRDefault="00E869BA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bookmarkStart w:id="7" w:name="5I7l-1730298515048"/>
            <w:bookmarkStart w:id="8" w:name="ISp8-1730298514875"/>
            <w:bookmarkEnd w:id="7"/>
            <w:bookmarkEnd w:id="8"/>
            <w:r>
              <w:rPr>
                <w:rFonts w:ascii="宋体" w:eastAsia="宋体" w:hAnsi="宋体" w:cs="Times New Roman" w:hint="eastAsia"/>
                <w:szCs w:val="21"/>
              </w:rPr>
              <w:t>公司已于上个季度完成中东产能项目协议签署，目前项目在推动执行阶段，计划明年上半年相关基础设施动工建设，预计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6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</w:rPr>
              <w:t>上半年达</w:t>
            </w:r>
            <w:r>
              <w:rPr>
                <w:rFonts w:ascii="宋体" w:eastAsia="宋体" w:hAnsi="宋体" w:cs="Times New Roman" w:hint="eastAsia"/>
                <w:szCs w:val="21"/>
              </w:rPr>
              <w:t>产。美国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GW</w:t>
            </w:r>
            <w:r>
              <w:rPr>
                <w:rFonts w:ascii="宋体" w:eastAsia="宋体" w:hAnsi="宋体" w:cs="Times New Roman" w:hint="eastAsia"/>
                <w:szCs w:val="21"/>
              </w:rPr>
              <w:t>组件产能有望</w:t>
            </w:r>
            <w:r>
              <w:rPr>
                <w:rFonts w:ascii="宋体" w:eastAsia="宋体" w:hAnsi="宋体" w:cs="Times New Roman" w:hint="eastAsia"/>
                <w:szCs w:val="21"/>
              </w:rPr>
              <w:t>今</w:t>
            </w:r>
            <w:r>
              <w:rPr>
                <w:rFonts w:ascii="宋体" w:eastAsia="宋体" w:hAnsi="宋体" w:cs="Times New Roman" w:hint="eastAsia"/>
                <w:szCs w:val="21"/>
              </w:rPr>
              <w:t>年底完成产能爬坡，预计明年会有所放量，未来本土制造的品牌对美国市场拓展和市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占率提升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有积极作用。</w:t>
            </w:r>
          </w:p>
          <w:p w14:paraId="59E3D8B9" w14:textId="77777777" w:rsidR="002C0ED1" w:rsidRDefault="002C0ED1">
            <w:pPr>
              <w:spacing w:line="276" w:lineRule="auto"/>
              <w:rPr>
                <w:rFonts w:ascii="宋体" w:eastAsia="宋体" w:hAnsi="宋体" w:cs="Times New Roman"/>
                <w:b/>
                <w:szCs w:val="21"/>
              </w:rPr>
            </w:pPr>
            <w:bookmarkStart w:id="9" w:name="tDVJ-1730298516407"/>
            <w:bookmarkStart w:id="10" w:name="tB7W-1730298515302"/>
            <w:bookmarkEnd w:id="9"/>
            <w:bookmarkEnd w:id="10"/>
          </w:p>
          <w:p w14:paraId="14FE05E1" w14:textId="77777777" w:rsidR="002C0ED1" w:rsidRDefault="00E869BA"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如何展望后续</w:t>
            </w:r>
            <w:proofErr w:type="spellStart"/>
            <w:r>
              <w:rPr>
                <w:rFonts w:ascii="宋体" w:eastAsia="宋体" w:hAnsi="宋体" w:cs="Times New Roman" w:hint="eastAsia"/>
                <w:b/>
                <w:szCs w:val="21"/>
              </w:rPr>
              <w:t>TOPCon</w:t>
            </w:r>
            <w:proofErr w:type="spellEnd"/>
            <w:r>
              <w:rPr>
                <w:rFonts w:ascii="宋体" w:eastAsia="宋体" w:hAnsi="宋体" w:cs="Times New Roman" w:hint="eastAsia"/>
                <w:b/>
                <w:szCs w:val="21"/>
              </w:rPr>
              <w:t>提效节奏与实现方式？</w:t>
            </w:r>
          </w:p>
          <w:p w14:paraId="703445F4" w14:textId="77777777" w:rsidR="002C0ED1" w:rsidRDefault="00E869BA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在实现今年年底接近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6</w:t>
            </w:r>
            <w:r>
              <w:rPr>
                <w:rFonts w:ascii="宋体" w:eastAsia="宋体" w:hAnsi="宋体" w:cs="Times New Roman" w:hint="eastAsia"/>
                <w:szCs w:val="21"/>
              </w:rPr>
              <w:t>.5</w:t>
            </w:r>
            <w:r>
              <w:rPr>
                <w:rFonts w:ascii="宋体" w:eastAsia="宋体" w:hAnsi="宋体" w:cs="Times New Roman"/>
                <w:szCs w:val="21"/>
              </w:rPr>
              <w:t>%</w:t>
            </w:r>
            <w:r>
              <w:rPr>
                <w:rFonts w:ascii="宋体" w:eastAsia="宋体" w:hAnsi="宋体" w:cs="Times New Roman" w:hint="eastAsia"/>
                <w:szCs w:val="21"/>
              </w:rPr>
              <w:t>的电池量产效率基础上，未来</w:t>
            </w:r>
            <w:r>
              <w:rPr>
                <w:rFonts w:ascii="宋体" w:eastAsia="宋体" w:hAnsi="宋体" w:cs="Times New Roman" w:hint="eastAsia"/>
                <w:szCs w:val="21"/>
              </w:rPr>
              <w:t>2-3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proofErr w:type="spellStart"/>
            <w:r>
              <w:rPr>
                <w:rFonts w:ascii="宋体" w:eastAsia="宋体" w:hAnsi="宋体" w:cs="Times New Roman" w:hint="eastAsia"/>
                <w:szCs w:val="21"/>
              </w:rPr>
              <w:t>TOPCon</w:t>
            </w:r>
            <w:proofErr w:type="spellEnd"/>
            <w:r>
              <w:rPr>
                <w:rFonts w:ascii="宋体" w:eastAsia="宋体" w:hAnsi="宋体" w:cs="Times New Roman" w:hint="eastAsia"/>
                <w:szCs w:val="21"/>
              </w:rPr>
              <w:t>仍有望年均提效</w:t>
            </w:r>
            <w:r>
              <w:rPr>
                <w:rFonts w:ascii="宋体" w:eastAsia="宋体" w:hAnsi="宋体" w:cs="Times New Roman" w:hint="eastAsia"/>
                <w:szCs w:val="21"/>
              </w:rPr>
              <w:t>0.5</w:t>
            </w:r>
            <w:r>
              <w:rPr>
                <w:rFonts w:ascii="宋体" w:eastAsia="宋体" w:hAnsi="宋体" w:cs="Times New Roman" w:hint="eastAsia"/>
                <w:szCs w:val="21"/>
              </w:rPr>
              <w:t>个百分点左右。目前公司主要计划从优化</w:t>
            </w:r>
            <w:r>
              <w:rPr>
                <w:rFonts w:ascii="宋体" w:eastAsia="宋体" w:hAnsi="宋体" w:cs="Times New Roman" w:hint="eastAsia"/>
                <w:szCs w:val="21"/>
              </w:rPr>
              <w:t>LECO</w:t>
            </w:r>
            <w:r>
              <w:rPr>
                <w:rFonts w:ascii="宋体" w:eastAsia="宋体" w:hAnsi="宋体" w:cs="Times New Roman" w:hint="eastAsia"/>
                <w:szCs w:val="21"/>
              </w:rPr>
              <w:t>技术、钝化与细栅金属优化等方向持续提效。后续实现</w:t>
            </w:r>
            <w:r>
              <w:rPr>
                <w:rFonts w:ascii="宋体" w:eastAsia="宋体" w:hAnsi="宋体" w:cs="Times New Roman" w:hint="eastAsia"/>
                <w:szCs w:val="21"/>
              </w:rPr>
              <w:t>27%</w:t>
            </w:r>
            <w:r>
              <w:rPr>
                <w:rFonts w:ascii="宋体" w:eastAsia="宋体" w:hAnsi="宋体" w:cs="Times New Roman" w:hint="eastAsia"/>
                <w:szCs w:val="21"/>
              </w:rPr>
              <w:t>的电池转换效率主要应用背面图</w:t>
            </w:r>
            <w:r>
              <w:rPr>
                <w:rFonts w:ascii="宋体" w:eastAsia="宋体" w:hAnsi="宋体" w:cs="Times New Roman" w:hint="eastAsia"/>
                <w:szCs w:val="21"/>
              </w:rPr>
              <w:t>形化、正面接触钝化优化等技术工艺。</w:t>
            </w:r>
          </w:p>
          <w:p w14:paraId="206C8AD8" w14:textId="77777777" w:rsidR="002C0ED1" w:rsidRDefault="002C0ED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14:paraId="7F1734D7" w14:textId="77777777" w:rsidR="002C0ED1" w:rsidRDefault="00E869BA"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公司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Ti</w:t>
            </w:r>
            <w:r>
              <w:rPr>
                <w:rFonts w:ascii="宋体" w:eastAsia="宋体" w:hAnsi="宋体" w:cs="Times New Roman"/>
                <w:b/>
                <w:szCs w:val="21"/>
              </w:rPr>
              <w:t xml:space="preserve">ger Neo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第三代产品相比之前产品成本竞争力如何？</w:t>
            </w:r>
            <w:r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</w:p>
          <w:p w14:paraId="38531B09" w14:textId="77777777" w:rsidR="002C0ED1" w:rsidRDefault="00E869BA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Ti</w:t>
            </w:r>
            <w:r>
              <w:rPr>
                <w:rFonts w:ascii="宋体" w:eastAsia="宋体" w:hAnsi="宋体" w:cs="Times New Roman"/>
                <w:szCs w:val="21"/>
              </w:rPr>
              <w:t xml:space="preserve">ger Neo </w:t>
            </w:r>
            <w:r>
              <w:rPr>
                <w:rFonts w:ascii="宋体" w:eastAsia="宋体" w:hAnsi="宋体" w:cs="Times New Roman" w:hint="eastAsia"/>
                <w:szCs w:val="21"/>
              </w:rPr>
              <w:t>第三代产品成本将基本与第二代产品持平。虽然新增了设备工艺，但是效率、功率的提升将有效摊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薄单瓦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成本。过去</w:t>
            </w: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一年行业竞争激烈，材料降本幅度已经比较极致，公司后续更看重运用新技术提效来降低单位成本。</w:t>
            </w:r>
          </w:p>
          <w:p w14:paraId="6740F6B8" w14:textId="77777777" w:rsidR="002C0ED1" w:rsidRDefault="002C0ED1">
            <w:pPr>
              <w:pStyle w:val="11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C0ED1" w14:paraId="4067BF26" w14:textId="77777777">
        <w:trPr>
          <w:trHeight w:val="77"/>
        </w:trPr>
        <w:tc>
          <w:tcPr>
            <w:tcW w:w="1838" w:type="dxa"/>
            <w:vAlign w:val="center"/>
          </w:tcPr>
          <w:p w14:paraId="0B83017B" w14:textId="77777777" w:rsidR="002C0ED1" w:rsidRDefault="00E869BA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附件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清单</w:t>
            </w:r>
          </w:p>
          <w:p w14:paraId="3BDC8754" w14:textId="77777777" w:rsidR="002C0ED1" w:rsidRDefault="00E869BA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如有）</w:t>
            </w:r>
          </w:p>
        </w:tc>
        <w:tc>
          <w:tcPr>
            <w:tcW w:w="6458" w:type="dxa"/>
            <w:vAlign w:val="center"/>
          </w:tcPr>
          <w:p w14:paraId="16406B79" w14:textId="77777777" w:rsidR="002C0ED1" w:rsidRDefault="00E869B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C0ED1" w14:paraId="604846C3" w14:textId="77777777">
        <w:trPr>
          <w:trHeight w:val="77"/>
        </w:trPr>
        <w:tc>
          <w:tcPr>
            <w:tcW w:w="1838" w:type="dxa"/>
            <w:vAlign w:val="center"/>
          </w:tcPr>
          <w:p w14:paraId="671CE580" w14:textId="77777777" w:rsidR="002C0ED1" w:rsidRDefault="00E869B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6458" w:type="dxa"/>
            <w:vAlign w:val="center"/>
          </w:tcPr>
          <w:p w14:paraId="5A9D5164" w14:textId="77777777" w:rsidR="002C0ED1" w:rsidRDefault="00E869B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</w:t>
            </w:r>
            <w:r>
              <w:rPr>
                <w:rFonts w:ascii="宋体" w:eastAsia="宋体" w:hAnsi="宋体" w:cs="宋体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14:paraId="4FCF9416" w14:textId="77777777" w:rsidR="002C0ED1" w:rsidRDefault="002C0ED1">
      <w:pPr>
        <w:rPr>
          <w:rFonts w:ascii="宋体" w:eastAsia="宋体" w:hAnsi="宋体"/>
          <w:szCs w:val="21"/>
        </w:rPr>
      </w:pPr>
    </w:p>
    <w:sectPr w:rsidR="002C0ED1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568" w:footer="56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37DA" w14:textId="77777777" w:rsidR="00E869BA" w:rsidRDefault="00E869BA">
      <w:r>
        <w:separator/>
      </w:r>
    </w:p>
  </w:endnote>
  <w:endnote w:type="continuationSeparator" w:id="0">
    <w:p w14:paraId="38A0159F" w14:textId="77777777" w:rsidR="00E869BA" w:rsidRDefault="00E8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00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7BAC" w14:textId="77777777" w:rsidR="002C0ED1" w:rsidRDefault="00E869BA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end"/>
    </w:r>
  </w:p>
  <w:p w14:paraId="51354CDA" w14:textId="77777777" w:rsidR="002C0ED1" w:rsidRDefault="002C0E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EDF3" w14:textId="77777777" w:rsidR="002C0ED1" w:rsidRDefault="00E869BA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</w:rPr>
      <w:t>5</w:t>
    </w:r>
    <w:r>
      <w:rPr>
        <w:rStyle w:val="af1"/>
      </w:rPr>
      <w:fldChar w:fldCharType="end"/>
    </w:r>
  </w:p>
  <w:p w14:paraId="293445F7" w14:textId="77777777" w:rsidR="002C0ED1" w:rsidRDefault="002C0E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86F8" w14:textId="77777777" w:rsidR="00E869BA" w:rsidRDefault="00E869BA">
      <w:r>
        <w:separator/>
      </w:r>
    </w:p>
  </w:footnote>
  <w:footnote w:type="continuationSeparator" w:id="0">
    <w:p w14:paraId="39819457" w14:textId="77777777" w:rsidR="00E869BA" w:rsidRDefault="00E8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58C4" w14:textId="77777777" w:rsidR="002C0ED1" w:rsidRDefault="002C0ED1">
    <w:pPr>
      <w:pStyle w:val="ab"/>
      <w:pBdr>
        <w:bottom w:val="none" w:sz="0" w:space="1" w:color="auto"/>
      </w:pBdr>
      <w:jc w:val="right"/>
      <w:rPr>
        <w:rFonts w:ascii="Arial" w:eastAsia="黑体" w:hAnsi="Arial" w:cs="Arial"/>
        <w:color w:val="191919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2DED"/>
    <w:multiLevelType w:val="multilevel"/>
    <w:tmpl w:val="25722DE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D1"/>
    <w:rsid w:val="00207A10"/>
    <w:rsid w:val="002C0ED1"/>
    <w:rsid w:val="00E8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7712B"/>
  <w15:docId w15:val="{F4CBC174-3291-45A0-9630-3952F922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pPr>
      <w:spacing w:before="120" w:after="120"/>
      <w:ind w:firstLineChars="200" w:firstLine="200"/>
      <w:jc w:val="left"/>
      <w:outlineLvl w:val="0"/>
    </w:pPr>
    <w:rPr>
      <w:rFonts w:asciiTheme="majorHAnsi" w:hAnsiTheme="majorHAnsi" w:cstheme="majorBidi"/>
      <w:bCs/>
      <w:szCs w:val="32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page number"/>
    <w:basedOn w:val="a0"/>
    <w:uiPriority w:val="99"/>
    <w:unhideWhenUsed/>
  </w:style>
  <w:style w:type="character" w:styleId="af2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f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4">
    <w:name w:val="annotation reference"/>
    <w:basedOn w:val="a0"/>
    <w:uiPriority w:val="99"/>
    <w:unhideWhenUsed/>
    <w:qFormat/>
    <w:rPr>
      <w:sz w:val="21"/>
      <w:szCs w:val="21"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f">
    <w:name w:val="标题 字符"/>
    <w:basedOn w:val="a0"/>
    <w:link w:val="ae"/>
    <w:uiPriority w:val="10"/>
    <w:qFormat/>
    <w:rPr>
      <w:rFonts w:asciiTheme="majorHAnsi" w:hAnsiTheme="majorHAnsi" w:cstheme="majorBidi"/>
      <w:bCs/>
      <w:szCs w:val="32"/>
    </w:rPr>
  </w:style>
  <w:style w:type="character" w:customStyle="1" w:styleId="a6">
    <w:name w:val="批注文字 字符"/>
    <w:basedOn w:val="a0"/>
    <w:link w:val="a4"/>
    <w:uiPriority w:val="99"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473</Words>
  <Characters>2701</Characters>
  <Application>Microsoft Office Word</Application>
  <DocSecurity>0</DocSecurity>
  <Lines>22</Lines>
  <Paragraphs>6</Paragraphs>
  <ScaleCrop>false</ScaleCrop>
  <Company>JinkoSolar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olivia</dc:creator>
  <cp:lastModifiedBy>慧 熊</cp:lastModifiedBy>
  <cp:revision>2</cp:revision>
  <cp:lastPrinted>2020-06-21T01:05:00Z</cp:lastPrinted>
  <dcterms:created xsi:type="dcterms:W3CDTF">2024-11-03T07:34:00Z</dcterms:created>
  <dcterms:modified xsi:type="dcterms:W3CDTF">2024-11-03T07:34:00Z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2052-12.17.1</vt:lpwstr>
  </property>
  <property fmtid="{D5CDD505-2E9C-101B-9397-08002B2CF9AE}" pid="3" name="ICV">
    <vt:lpwstr>EC1894164213464486E1E0CE81223936</vt:lpwstr>
  </property>
  <property fmtid="{D5CDD505-2E9C-101B-9397-08002B2CF9AE}" pid="4" name="JKClassification">
    <vt:lpwstr>外来文件</vt:lpwstr>
  </property>
</Properties>
</file>