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5844B">
      <w:pPr>
        <w:spacing w:line="500" w:lineRule="exact"/>
        <w:jc w:val="center"/>
        <w:outlineLvl w:val="0"/>
        <w:rPr>
          <w:rFonts w:ascii="仿宋_GB2312" w:hAnsi="黑体" w:eastAsia="仿宋_GB2312"/>
          <w:iCs/>
          <w:color w:val="000000" w:themeColor="text1"/>
          <w:sz w:val="44"/>
          <w:szCs w:val="28"/>
          <w14:textFill>
            <w14:solidFill>
              <w14:schemeClr w14:val="tx1"/>
            </w14:solidFill>
          </w14:textFill>
        </w:rPr>
      </w:pPr>
      <w:r>
        <w:rPr>
          <w:rFonts w:hint="eastAsia" w:ascii="仿宋_GB2312" w:hAnsi="黑体" w:eastAsia="仿宋_GB2312"/>
          <w:iCs/>
          <w:color w:val="000000" w:themeColor="text1"/>
          <w:sz w:val="44"/>
          <w:szCs w:val="28"/>
          <w14:textFill>
            <w14:solidFill>
              <w14:schemeClr w14:val="tx1"/>
            </w14:solidFill>
          </w14:textFill>
        </w:rPr>
        <w:t>南方电网电力科技股份有限公司</w:t>
      </w:r>
    </w:p>
    <w:p w14:paraId="619CEB2A">
      <w:pPr>
        <w:spacing w:line="640" w:lineRule="exact"/>
        <w:jc w:val="center"/>
        <w:outlineLvl w:val="0"/>
        <w:rPr>
          <w:rFonts w:ascii="仿宋_GB2312" w:hAnsi="黑体" w:eastAsia="仿宋_GB2312"/>
          <w:iCs/>
          <w:color w:val="000000" w:themeColor="text1"/>
          <w:sz w:val="44"/>
          <w:szCs w:val="28"/>
          <w14:textFill>
            <w14:solidFill>
              <w14:schemeClr w14:val="tx1"/>
            </w14:solidFill>
          </w14:textFill>
        </w:rPr>
      </w:pPr>
      <w:r>
        <w:rPr>
          <w:rFonts w:hint="eastAsia" w:ascii="仿宋_GB2312" w:hAnsi="黑体" w:eastAsia="仿宋_GB2312"/>
          <w:iCs/>
          <w:color w:val="000000" w:themeColor="text1"/>
          <w:sz w:val="44"/>
          <w:szCs w:val="28"/>
          <w14:textFill>
            <w14:solidFill>
              <w14:schemeClr w14:val="tx1"/>
            </w14:solidFill>
          </w14:textFill>
        </w:rPr>
        <w:t>投资者关系活动记录表</w:t>
      </w:r>
    </w:p>
    <w:p w14:paraId="534B852F">
      <w:pPr>
        <w:spacing w:before="156" w:beforeLines="50" w:after="156" w:afterLines="50" w:line="500" w:lineRule="exact"/>
        <w:jc w:val="center"/>
        <w:outlineLvl w:val="0"/>
        <w:rPr>
          <w:rFonts w:ascii="仿宋_GB2312" w:hAnsi="仿宋" w:eastAsia="仿宋_GB2312"/>
          <w:iCs/>
          <w:color w:val="000000" w:themeColor="text1"/>
          <w:sz w:val="28"/>
          <w:szCs w:val="28"/>
          <w14:textFill>
            <w14:solidFill>
              <w14:schemeClr w14:val="tx1"/>
            </w14:solidFill>
          </w14:textFill>
        </w:rPr>
      </w:pPr>
      <w:r>
        <w:rPr>
          <w:rFonts w:hint="eastAsia" w:ascii="仿宋_GB2312" w:hAnsi="仿宋" w:eastAsia="仿宋_GB2312"/>
          <w:bCs/>
          <w:iCs/>
          <w:color w:val="000000" w:themeColor="text1"/>
          <w:sz w:val="28"/>
          <w:szCs w:val="28"/>
          <w14:textFill>
            <w14:solidFill>
              <w14:schemeClr w14:val="tx1"/>
            </w14:solidFill>
          </w14:textFill>
        </w:rPr>
        <w:t>证券简称：南网科技      证券代码：688248     编号：2024-01</w:t>
      </w:r>
      <w:r>
        <w:rPr>
          <w:rFonts w:ascii="仿宋_GB2312" w:hAnsi="仿宋" w:eastAsia="仿宋_GB2312"/>
          <w:bCs/>
          <w:iCs/>
          <w:color w:val="000000" w:themeColor="text1"/>
          <w:sz w:val="28"/>
          <w:szCs w:val="28"/>
          <w14:textFill>
            <w14:solidFill>
              <w14:schemeClr w14:val="tx1"/>
            </w14:solidFill>
          </w14:textFill>
        </w:rPr>
        <w:t>0</w:t>
      </w:r>
    </w:p>
    <w:tbl>
      <w:tblPr>
        <w:tblStyle w:val="10"/>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7717"/>
      </w:tblGrid>
      <w:tr w14:paraId="435C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2027" w:type="dxa"/>
            <w:tcBorders>
              <w:top w:val="single" w:color="auto" w:sz="4" w:space="0"/>
              <w:left w:val="single" w:color="auto" w:sz="4" w:space="0"/>
              <w:bottom w:val="single" w:color="auto" w:sz="4" w:space="0"/>
              <w:right w:val="single" w:color="auto" w:sz="4" w:space="0"/>
            </w:tcBorders>
            <w:vAlign w:val="center"/>
          </w:tcPr>
          <w:p w14:paraId="2F8F05A6">
            <w:pPr>
              <w:spacing w:line="500" w:lineRule="exact"/>
              <w:jc w:val="center"/>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投资者关系活动类别</w:t>
            </w:r>
          </w:p>
        </w:tc>
        <w:tc>
          <w:tcPr>
            <w:tcW w:w="7717" w:type="dxa"/>
            <w:tcBorders>
              <w:top w:val="single" w:color="auto" w:sz="4" w:space="0"/>
              <w:left w:val="single" w:color="auto" w:sz="4" w:space="0"/>
              <w:bottom w:val="single" w:color="auto" w:sz="4" w:space="0"/>
              <w:right w:val="single" w:color="auto" w:sz="4" w:space="0"/>
            </w:tcBorders>
            <w:vAlign w:val="center"/>
          </w:tcPr>
          <w:p w14:paraId="4088D129">
            <w:pPr>
              <w:tabs>
                <w:tab w:val="left" w:pos="3093"/>
              </w:tabs>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特定对象调研        </w:t>
            </w:r>
            <w:r>
              <w:rPr>
                <w:rFonts w:hint="eastAsia" w:ascii="仿宋_GB2312" w:hAnsi="仿宋_GB2312" w:eastAsia="仿宋_GB2312" w:cs="仿宋_GB2312"/>
                <w:bCs/>
                <w:iCs/>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分析师会议</w:t>
            </w:r>
          </w:p>
          <w:p w14:paraId="1D576F86">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媒体采访            </w:t>
            </w:r>
            <w:r>
              <w:rPr>
                <w:rFonts w:hint="eastAsia" w:ascii="仿宋_GB2312" w:hAnsi="仿宋_GB2312" w:eastAsia="仿宋_GB2312" w:cs="仿宋_GB2312"/>
                <w:bCs/>
                <w:iCs/>
                <w:color w:val="000000" w:themeColor="text1"/>
                <w:kern w:val="0"/>
                <w:sz w:val="28"/>
                <w:szCs w:val="28"/>
                <w14:textFill>
                  <w14:solidFill>
                    <w14:schemeClr w14:val="tx1"/>
                  </w14:solidFill>
                </w14:textFill>
              </w:rPr>
              <w:sym w:font="Wingdings 2" w:char="0052"/>
            </w:r>
            <w:r>
              <w:rPr>
                <w:rFonts w:hint="eastAsia" w:ascii="仿宋_GB2312" w:hAnsi="仿宋_GB2312" w:eastAsia="仿宋_GB2312" w:cs="仿宋_GB2312"/>
                <w:color w:val="000000" w:themeColor="text1"/>
                <w:kern w:val="0"/>
                <w:sz w:val="28"/>
                <w:szCs w:val="28"/>
                <w14:textFill>
                  <w14:solidFill>
                    <w14:schemeClr w14:val="tx1"/>
                  </w14:solidFill>
                </w14:textFill>
              </w:rPr>
              <w:t>业绩说明会</w:t>
            </w:r>
          </w:p>
          <w:p w14:paraId="35463093">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新闻发布会          </w:t>
            </w:r>
            <w:r>
              <w:rPr>
                <w:rFonts w:hint="eastAsia" w:ascii="仿宋_GB2312" w:hAnsi="仿宋_GB2312" w:eastAsia="仿宋_GB2312" w:cs="仿宋_GB2312"/>
                <w:bCs/>
                <w:iCs/>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路演活动</w:t>
            </w:r>
          </w:p>
          <w:p w14:paraId="4AEAA992">
            <w:pPr>
              <w:tabs>
                <w:tab w:val="left" w:pos="3130"/>
                <w:tab w:val="center" w:pos="3199"/>
              </w:tabs>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现场参观</w:t>
            </w:r>
            <w:r>
              <w:rPr>
                <w:rFonts w:hint="eastAsia" w:ascii="仿宋_GB2312" w:hAnsi="仿宋_GB2312" w:eastAsia="仿宋_GB2312" w:cs="仿宋_GB2312"/>
                <w:bCs/>
                <w:iCs/>
                <w:color w:val="000000" w:themeColor="text1"/>
                <w:kern w:val="0"/>
                <w:sz w:val="28"/>
                <w:szCs w:val="28"/>
                <w14:textFill>
                  <w14:solidFill>
                    <w14:schemeClr w14:val="tx1"/>
                  </w14:solidFill>
                </w14:textFill>
              </w:rPr>
              <w:tab/>
            </w:r>
            <w:r>
              <w:rPr>
                <w:rFonts w:hint="eastAsia" w:ascii="仿宋_GB2312" w:hAnsi="仿宋_GB2312" w:eastAsia="仿宋_GB2312" w:cs="仿宋_GB2312"/>
                <w:bCs/>
                <w:iCs/>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其他（策略会）</w:t>
            </w:r>
          </w:p>
        </w:tc>
      </w:tr>
      <w:tr w14:paraId="0919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27" w:type="dxa"/>
            <w:tcBorders>
              <w:top w:val="single" w:color="auto" w:sz="4" w:space="0"/>
              <w:left w:val="single" w:color="auto" w:sz="4" w:space="0"/>
              <w:bottom w:val="single" w:color="auto" w:sz="4" w:space="0"/>
              <w:right w:val="single" w:color="auto" w:sz="4" w:space="0"/>
            </w:tcBorders>
            <w:vAlign w:val="center"/>
          </w:tcPr>
          <w:p w14:paraId="07F3C769">
            <w:pPr>
              <w:spacing w:line="500" w:lineRule="exact"/>
              <w:jc w:val="center"/>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参与单位名称</w:t>
            </w:r>
          </w:p>
        </w:tc>
        <w:tc>
          <w:tcPr>
            <w:tcW w:w="7717" w:type="dxa"/>
            <w:tcBorders>
              <w:top w:val="single" w:color="auto" w:sz="4" w:space="0"/>
              <w:left w:val="single" w:color="auto" w:sz="4" w:space="0"/>
              <w:bottom w:val="single" w:color="auto" w:sz="4" w:space="0"/>
              <w:right w:val="single" w:color="auto" w:sz="4" w:space="0"/>
            </w:tcBorders>
            <w:vAlign w:val="center"/>
          </w:tcPr>
          <w:p w14:paraId="2F79D330">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华福证券: 李宜琛、魏征宇；</w:t>
            </w:r>
          </w:p>
          <w:p w14:paraId="0E97892B">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国联证券: 张天浩；</w:t>
            </w:r>
          </w:p>
          <w:p w14:paraId="54E78FA6">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长城证券: 黄俊峰；</w:t>
            </w:r>
          </w:p>
          <w:p w14:paraId="6320DAF4">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开源证券: 王炳辉、周磊；</w:t>
            </w:r>
          </w:p>
          <w:p w14:paraId="10044FE8">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东方证券: 崔洋；</w:t>
            </w:r>
          </w:p>
          <w:p w14:paraId="3BD80E5A">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东北证券: 黄净；</w:t>
            </w:r>
          </w:p>
          <w:p w14:paraId="22F95CE1">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华泰证券: 邵梓洋；</w:t>
            </w:r>
          </w:p>
          <w:p w14:paraId="15C7B9C5">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华安证券: 来祚豪、王雲昊；</w:t>
            </w:r>
          </w:p>
          <w:p w14:paraId="5473D452">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西部证券: 刘荣辉；</w:t>
            </w:r>
          </w:p>
          <w:p w14:paraId="2C8C618F">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西南证券: 汪翌雯；</w:t>
            </w:r>
          </w:p>
          <w:p w14:paraId="07ED22DB">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东方财富证券: 吕林；</w:t>
            </w:r>
          </w:p>
          <w:p w14:paraId="6434FE3C">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财通证券: 张生；</w:t>
            </w:r>
          </w:p>
          <w:p w14:paraId="0222253B">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国信证券: 王晓声；</w:t>
            </w:r>
          </w:p>
          <w:p w14:paraId="22C41E21">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浙商证券: 曹宇；</w:t>
            </w:r>
          </w:p>
          <w:p w14:paraId="0ACA7C01">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中航证券: 向正富、曾帅；</w:t>
            </w:r>
          </w:p>
          <w:p w14:paraId="52A36E9F">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中国国际金融: 闫汐语、曲昊源；</w:t>
            </w:r>
          </w:p>
          <w:p w14:paraId="050B23DD">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国泰君安证券: 庞钧文；</w:t>
            </w:r>
          </w:p>
          <w:p w14:paraId="13703242">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海通证券: 魏宗；</w:t>
            </w:r>
          </w:p>
          <w:p w14:paraId="3170DFD1">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德邦证券: 李天帅；</w:t>
            </w:r>
          </w:p>
          <w:p w14:paraId="0CAF4B59">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中银国际证券: 顾真；</w:t>
            </w:r>
          </w:p>
          <w:p w14:paraId="2795EC40">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中信证券: 许文荣；</w:t>
            </w:r>
          </w:p>
          <w:p w14:paraId="1C2C7CD8">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瑞银证券: 张维璇；</w:t>
            </w:r>
          </w:p>
          <w:p w14:paraId="27F1032C">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申银万国证券研究: 朱赫；</w:t>
            </w:r>
          </w:p>
          <w:p w14:paraId="57F70C0E">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招商证券: 周翔宇；</w:t>
            </w:r>
          </w:p>
          <w:p w14:paraId="101F6E9E">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天风证券: 王屿熙；</w:t>
            </w:r>
          </w:p>
          <w:p w14:paraId="4E8E09C5">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中邮证券: 杨帅波；</w:t>
            </w:r>
          </w:p>
          <w:p w14:paraId="02C5527A">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国海证券: 王刚；</w:t>
            </w:r>
          </w:p>
          <w:p w14:paraId="17C6ED8B">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野村东方国际证券: 李沛雨；</w:t>
            </w:r>
          </w:p>
          <w:p w14:paraId="2DDC6E64">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中信建投证券: 雷云泽；</w:t>
            </w:r>
          </w:p>
          <w:p w14:paraId="5CFC4EC1">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博时基金: 谢泽林；</w:t>
            </w:r>
          </w:p>
          <w:p w14:paraId="292B1035">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富国基金: 白冰洋；</w:t>
            </w:r>
          </w:p>
          <w:p w14:paraId="126E9B47">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泰石: 韦思发；</w:t>
            </w:r>
          </w:p>
          <w:p w14:paraId="3085EDF2">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智诚海威资管: 陈丹丹；</w:t>
            </w:r>
          </w:p>
          <w:p w14:paraId="109DB0BD">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鸿运私募基金: 张丽青；</w:t>
            </w:r>
          </w:p>
          <w:p w14:paraId="58DB5485">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金翼私募基金: 罗浩峰；</w:t>
            </w:r>
          </w:p>
          <w:p w14:paraId="33CA0AD7">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中天汇富基金: 慕陶；</w:t>
            </w:r>
          </w:p>
          <w:p w14:paraId="6FECCCB1">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百达世瑞私募: 胡安祺；</w:t>
            </w:r>
          </w:p>
          <w:p w14:paraId="3D9D43F9">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福建红移投资: 戴文忠；</w:t>
            </w:r>
          </w:p>
          <w:p w14:paraId="664774BD">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正圆私募基金: 张萍；</w:t>
            </w:r>
          </w:p>
          <w:p w14:paraId="30862E3C">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上海嘉世私募: 李其东；</w:t>
            </w:r>
          </w:p>
          <w:p w14:paraId="27B98125">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宁波三登投资: 倪娜；</w:t>
            </w:r>
          </w:p>
          <w:p w14:paraId="0B60671B">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上海云门投资: 俞忠华；</w:t>
            </w:r>
          </w:p>
          <w:p w14:paraId="5FC769C0">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征金资本控股: 谢丰；</w:t>
            </w:r>
          </w:p>
          <w:p w14:paraId="56111B9B">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润达私募: 赵维卿；</w:t>
            </w:r>
          </w:p>
          <w:p w14:paraId="2D15685F">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东方证券资管: 蒋蛟龙；</w:t>
            </w:r>
          </w:p>
          <w:p w14:paraId="448137BB">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国君证券资管: 张晨洁；</w:t>
            </w:r>
          </w:p>
          <w:p w14:paraId="40EABE16">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泰康资管: 黄成扬；</w:t>
            </w:r>
          </w:p>
          <w:p w14:paraId="5E3A1AC2">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百达资管(香港): 许汪洋；</w:t>
            </w:r>
          </w:p>
          <w:p w14:paraId="78ADA0C9">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前方基金(香港): 梁劍文；</w:t>
            </w:r>
          </w:p>
          <w:p w14:paraId="2E2E5214">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交银证券: 文昊；</w:t>
            </w:r>
          </w:p>
          <w:p w14:paraId="2FCF0A2E">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Fidelity</w:t>
            </w:r>
            <w:r>
              <w:rPr>
                <w:rFonts w:ascii="仿宋_GB2312" w:hAnsi="仿宋_GB2312" w:eastAsia="仿宋_GB2312" w:cs="仿宋_GB2312"/>
                <w:bCs/>
                <w:iCs/>
                <w:color w:val="000000" w:themeColor="text1"/>
                <w:kern w:val="0"/>
                <w:sz w:val="28"/>
                <w:szCs w:val="28"/>
                <w14:textFill>
                  <w14:solidFill>
                    <w14:schemeClr w14:val="tx1"/>
                  </w14:solidFill>
                </w14:textFill>
              </w:rPr>
              <w:t xml:space="preserve"> </w:t>
            </w:r>
            <w:r>
              <w:rPr>
                <w:rFonts w:hint="eastAsia" w:ascii="仿宋_GB2312" w:hAnsi="仿宋_GB2312" w:eastAsia="仿宋_GB2312" w:cs="仿宋_GB2312"/>
                <w:bCs/>
                <w:iCs/>
                <w:color w:val="000000" w:themeColor="text1"/>
                <w:kern w:val="0"/>
                <w:sz w:val="28"/>
                <w:szCs w:val="28"/>
                <w14:textFill>
                  <w14:solidFill>
                    <w14:schemeClr w14:val="tx1"/>
                  </w14:solidFill>
                </w14:textFill>
              </w:rPr>
              <w:t>International</w:t>
            </w:r>
            <w:r>
              <w:rPr>
                <w:rFonts w:ascii="仿宋_GB2312" w:hAnsi="仿宋_GB2312" w:eastAsia="仿宋_GB2312" w:cs="仿宋_GB2312"/>
                <w:bCs/>
                <w:iCs/>
                <w:color w:val="000000" w:themeColor="text1"/>
                <w:kern w:val="0"/>
                <w:sz w:val="28"/>
                <w:szCs w:val="28"/>
                <w14:textFill>
                  <w14:solidFill>
                    <w14:schemeClr w14:val="tx1"/>
                  </w14:solidFill>
                </w14:textFill>
              </w:rPr>
              <w:t xml:space="preserve"> </w:t>
            </w:r>
            <w:r>
              <w:rPr>
                <w:rFonts w:hint="eastAsia" w:ascii="仿宋_GB2312" w:hAnsi="仿宋_GB2312" w:eastAsia="仿宋_GB2312" w:cs="仿宋_GB2312"/>
                <w:bCs/>
                <w:iCs/>
                <w:color w:val="000000" w:themeColor="text1"/>
                <w:kern w:val="0"/>
                <w:sz w:val="28"/>
                <w:szCs w:val="28"/>
                <w14:textFill>
                  <w14:solidFill>
                    <w14:schemeClr w14:val="tx1"/>
                  </w14:solidFill>
                </w14:textFill>
              </w:rPr>
              <w:t>Limited(FIL): 黄颖、Mary Han；</w:t>
            </w:r>
          </w:p>
          <w:p w14:paraId="37B26712">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博星投资: 刘阳；</w:t>
            </w:r>
          </w:p>
          <w:p w14:paraId="073166BA">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众为资本: 王霖；</w:t>
            </w:r>
          </w:p>
          <w:p w14:paraId="36701E23">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科锐配电: 刘后弟；</w:t>
            </w:r>
          </w:p>
          <w:p w14:paraId="03F43BF9">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度势投资: 顾宝成；</w:t>
            </w:r>
          </w:p>
          <w:p w14:paraId="572D975C">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睿澜投资: 罗贵文；</w:t>
            </w:r>
          </w:p>
          <w:p w14:paraId="2C4DE13D">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中泽控股: 刘军洁；</w:t>
            </w:r>
          </w:p>
          <w:p w14:paraId="4481649C">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丞毅投资: 胡亚男；</w:t>
            </w:r>
          </w:p>
          <w:p w14:paraId="46B54DB7">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渤海资本研究院: 李嫄春；</w:t>
            </w:r>
          </w:p>
          <w:p w14:paraId="44EF1759">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昭云投资: 程安靖；</w:t>
            </w:r>
          </w:p>
          <w:p w14:paraId="4AF9696B">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莫尼塔咨询: 陈兵；</w:t>
            </w:r>
          </w:p>
          <w:p w14:paraId="0ADAD530">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Green</w:t>
            </w:r>
            <w:r>
              <w:rPr>
                <w:rFonts w:ascii="仿宋_GB2312" w:hAnsi="仿宋_GB2312" w:eastAsia="仿宋_GB2312" w:cs="仿宋_GB2312"/>
                <w:bCs/>
                <w:iCs/>
                <w:color w:val="000000" w:themeColor="text1"/>
                <w:kern w:val="0"/>
                <w:sz w:val="28"/>
                <w:szCs w:val="28"/>
                <w14:textFill>
                  <w14:solidFill>
                    <w14:schemeClr w14:val="tx1"/>
                  </w14:solidFill>
                </w14:textFill>
              </w:rPr>
              <w:t xml:space="preserve"> </w:t>
            </w:r>
            <w:r>
              <w:rPr>
                <w:rFonts w:hint="eastAsia" w:ascii="仿宋_GB2312" w:hAnsi="仿宋_GB2312" w:eastAsia="仿宋_GB2312" w:cs="仿宋_GB2312"/>
                <w:bCs/>
                <w:iCs/>
                <w:color w:val="000000" w:themeColor="text1"/>
                <w:kern w:val="0"/>
                <w:sz w:val="28"/>
                <w:szCs w:val="28"/>
                <w14:textFill>
                  <w14:solidFill>
                    <w14:schemeClr w14:val="tx1"/>
                  </w14:solidFill>
                </w14:textFill>
              </w:rPr>
              <w:t>fund: 梁亚辉；</w:t>
            </w:r>
          </w:p>
          <w:p w14:paraId="3C4E4293">
            <w:pPr>
              <w:spacing w:line="500" w:lineRule="exact"/>
              <w:jc w:val="lef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宁波明裕股权投资合伙企业（有限合伙）: 章寅辰、王玥。</w:t>
            </w:r>
          </w:p>
        </w:tc>
      </w:tr>
      <w:tr w14:paraId="2D86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027" w:type="dxa"/>
            <w:tcBorders>
              <w:top w:val="single" w:color="auto" w:sz="4" w:space="0"/>
              <w:left w:val="single" w:color="auto" w:sz="4" w:space="0"/>
              <w:bottom w:val="single" w:color="auto" w:sz="4" w:space="0"/>
              <w:right w:val="single" w:color="auto" w:sz="4" w:space="0"/>
            </w:tcBorders>
            <w:vAlign w:val="center"/>
          </w:tcPr>
          <w:p w14:paraId="1B2C8626">
            <w:pPr>
              <w:spacing w:line="500" w:lineRule="exact"/>
              <w:jc w:val="center"/>
              <w:rPr>
                <w:rFonts w:ascii="仿宋_GB2312" w:hAnsi="仿宋_GB2312" w:eastAsia="仿宋_GB2312" w:cs="仿宋_GB2312"/>
                <w:bCs/>
                <w:iCs/>
                <w:color w:val="000000" w:themeColor="text1"/>
                <w:kern w:val="0"/>
                <w:sz w:val="28"/>
                <w:szCs w:val="28"/>
                <w14:textFill>
                  <w14:solidFill>
                    <w14:schemeClr w14:val="tx1"/>
                  </w14:solidFill>
                </w14:textFill>
              </w:rPr>
            </w:pPr>
          </w:p>
        </w:tc>
        <w:tc>
          <w:tcPr>
            <w:tcW w:w="7717" w:type="dxa"/>
            <w:tcBorders>
              <w:top w:val="single" w:color="auto" w:sz="4" w:space="0"/>
              <w:left w:val="single" w:color="auto" w:sz="4" w:space="0"/>
              <w:bottom w:val="single" w:color="auto" w:sz="4" w:space="0"/>
              <w:right w:val="single" w:color="auto" w:sz="4" w:space="0"/>
            </w:tcBorders>
            <w:vAlign w:val="center"/>
          </w:tcPr>
          <w:p w14:paraId="532AB530">
            <w:pPr>
              <w:spacing w:line="500" w:lineRule="exac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2024年11月1日（周五）下午15:00</w:t>
            </w:r>
            <w:r>
              <w:rPr>
                <w:rFonts w:ascii="仿宋_GB2312" w:hAnsi="仿宋_GB2312" w:eastAsia="仿宋_GB2312" w:cs="仿宋_GB2312"/>
                <w:bCs/>
                <w:iCs/>
                <w:color w:val="000000" w:themeColor="text1"/>
                <w:kern w:val="0"/>
                <w:sz w:val="28"/>
                <w:szCs w:val="28"/>
                <w14:textFill>
                  <w14:solidFill>
                    <w14:schemeClr w14:val="tx1"/>
                  </w14:solidFill>
                </w14:textFill>
              </w:rPr>
              <w:t>-16:30</w:t>
            </w:r>
          </w:p>
        </w:tc>
      </w:tr>
      <w:tr w14:paraId="6ED7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027" w:type="dxa"/>
            <w:tcBorders>
              <w:top w:val="single" w:color="auto" w:sz="4" w:space="0"/>
              <w:left w:val="single" w:color="auto" w:sz="4" w:space="0"/>
              <w:bottom w:val="single" w:color="auto" w:sz="4" w:space="0"/>
              <w:right w:val="single" w:color="auto" w:sz="4" w:space="0"/>
            </w:tcBorders>
            <w:vAlign w:val="center"/>
          </w:tcPr>
          <w:p w14:paraId="6B40479A">
            <w:pPr>
              <w:spacing w:line="500" w:lineRule="exact"/>
              <w:jc w:val="center"/>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地点</w:t>
            </w:r>
          </w:p>
        </w:tc>
        <w:tc>
          <w:tcPr>
            <w:tcW w:w="7717" w:type="dxa"/>
            <w:tcBorders>
              <w:top w:val="single" w:color="auto" w:sz="4" w:space="0"/>
              <w:left w:val="single" w:color="auto" w:sz="4" w:space="0"/>
              <w:bottom w:val="single" w:color="auto" w:sz="4" w:space="0"/>
              <w:right w:val="single" w:color="auto" w:sz="4" w:space="0"/>
            </w:tcBorders>
            <w:vAlign w:val="center"/>
          </w:tcPr>
          <w:p w14:paraId="5B676F43">
            <w:pPr>
              <w:spacing w:line="500" w:lineRule="exac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“进门财经”小程序及APP</w:t>
            </w:r>
          </w:p>
        </w:tc>
      </w:tr>
      <w:tr w14:paraId="4D00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027" w:type="dxa"/>
            <w:tcBorders>
              <w:top w:val="single" w:color="auto" w:sz="4" w:space="0"/>
              <w:left w:val="single" w:color="auto" w:sz="4" w:space="0"/>
              <w:bottom w:val="single" w:color="auto" w:sz="4" w:space="0"/>
              <w:right w:val="single" w:color="auto" w:sz="4" w:space="0"/>
            </w:tcBorders>
            <w:vAlign w:val="center"/>
          </w:tcPr>
          <w:p w14:paraId="44800088">
            <w:pPr>
              <w:spacing w:line="500" w:lineRule="exact"/>
              <w:jc w:val="center"/>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上市公司</w:t>
            </w:r>
          </w:p>
          <w:p w14:paraId="71998189">
            <w:pPr>
              <w:spacing w:line="500" w:lineRule="exact"/>
              <w:jc w:val="center"/>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接待人员姓名</w:t>
            </w:r>
          </w:p>
        </w:tc>
        <w:tc>
          <w:tcPr>
            <w:tcW w:w="7717" w:type="dxa"/>
            <w:tcBorders>
              <w:top w:val="single" w:color="auto" w:sz="4" w:space="0"/>
              <w:left w:val="single" w:color="auto" w:sz="4" w:space="0"/>
              <w:bottom w:val="single" w:color="auto" w:sz="4" w:space="0"/>
              <w:right w:val="single" w:color="auto" w:sz="4" w:space="0"/>
            </w:tcBorders>
            <w:vAlign w:val="center"/>
          </w:tcPr>
          <w:p w14:paraId="008A1C09">
            <w:pPr>
              <w:spacing w:line="500" w:lineRule="exac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董事长：吴亦竹先生</w:t>
            </w:r>
          </w:p>
          <w:p w14:paraId="4D6223C4">
            <w:pPr>
              <w:spacing w:line="500" w:lineRule="exac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总经理：姜海龙先生</w:t>
            </w:r>
          </w:p>
          <w:p w14:paraId="4902ED45">
            <w:pPr>
              <w:spacing w:line="500" w:lineRule="exac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总会计师：叶敏娜女士</w:t>
            </w:r>
          </w:p>
          <w:p w14:paraId="4D5E29BF">
            <w:pPr>
              <w:spacing w:line="500" w:lineRule="exac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董事会秘书：赵子艺先生</w:t>
            </w:r>
          </w:p>
        </w:tc>
      </w:tr>
      <w:tr w14:paraId="72A4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2027" w:type="dxa"/>
            <w:tcBorders>
              <w:top w:val="single" w:color="auto" w:sz="4" w:space="0"/>
              <w:left w:val="single" w:color="auto" w:sz="4" w:space="0"/>
              <w:bottom w:val="single" w:color="auto" w:sz="4" w:space="0"/>
              <w:right w:val="single" w:color="auto" w:sz="4" w:space="0"/>
            </w:tcBorders>
            <w:vAlign w:val="center"/>
          </w:tcPr>
          <w:p w14:paraId="6ECE3DB9">
            <w:pPr>
              <w:spacing w:line="480" w:lineRule="exact"/>
              <w:jc w:val="center"/>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投资者关系活动主要内容介绍</w:t>
            </w:r>
          </w:p>
        </w:tc>
        <w:tc>
          <w:tcPr>
            <w:tcW w:w="7717" w:type="dxa"/>
            <w:tcBorders>
              <w:top w:val="single" w:color="auto" w:sz="4" w:space="0"/>
              <w:left w:val="single" w:color="auto" w:sz="4" w:space="0"/>
              <w:bottom w:val="single" w:color="auto" w:sz="4" w:space="0"/>
              <w:right w:val="single" w:color="auto" w:sz="4" w:space="0"/>
            </w:tcBorders>
            <w:vAlign w:val="center"/>
          </w:tcPr>
          <w:p w14:paraId="45A1F3E1">
            <w:pPr>
              <w:spacing w:line="520" w:lineRule="exact"/>
              <w:rPr>
                <w:rFonts w:ascii="仿宋_GB2312" w:hAnsi="仿宋" w:eastAsia="仿宋_GB2312" w:cs="仿宋_GB2312"/>
                <w:b/>
                <w:bCs/>
                <w:iCs/>
                <w:color w:val="000000" w:themeColor="text1"/>
                <w:kern w:val="0"/>
                <w:sz w:val="28"/>
                <w:szCs w:val="28"/>
                <w14:textFill>
                  <w14:solidFill>
                    <w14:schemeClr w14:val="tx1"/>
                  </w14:solidFill>
                </w14:textFill>
              </w:rPr>
            </w:pPr>
            <w:r>
              <w:rPr>
                <w:rFonts w:hint="eastAsia" w:ascii="仿宋_GB2312" w:hAnsi="仿宋" w:eastAsia="仿宋_GB2312" w:cs="仿宋_GB2312"/>
                <w:b/>
                <w:bCs/>
                <w:iCs/>
                <w:color w:val="000000" w:themeColor="text1"/>
                <w:kern w:val="0"/>
                <w:sz w:val="28"/>
                <w:szCs w:val="28"/>
                <w14:textFill>
                  <w14:solidFill>
                    <w14:schemeClr w14:val="tx1"/>
                  </w14:solidFill>
                </w14:textFill>
              </w:rPr>
              <w:t>1、2024年三季度业绩总体情况介绍</w:t>
            </w:r>
          </w:p>
          <w:p w14:paraId="3583A0EB">
            <w:pPr>
              <w:numPr>
                <w:ilvl w:val="0"/>
                <w:numId w:val="1"/>
              </w:numPr>
              <w:snapToGrid w:val="0"/>
              <w:spacing w:line="520" w:lineRule="exact"/>
              <w:rPr>
                <w:rFonts w:ascii="仿宋_GB2312" w:hAnsi="仿宋" w:eastAsia="仿宋_GB2312"/>
                <w:bCs/>
                <w:sz w:val="28"/>
                <w:szCs w:val="28"/>
              </w:rPr>
            </w:pPr>
            <w:r>
              <w:rPr>
                <w:rFonts w:hint="eastAsia" w:ascii="仿宋_GB2312" w:hAnsi="仿宋" w:eastAsia="仿宋_GB2312"/>
                <w:bCs/>
                <w:sz w:val="28"/>
                <w:szCs w:val="28"/>
              </w:rPr>
              <w:t>总体情况</w:t>
            </w:r>
          </w:p>
          <w:p w14:paraId="15C12EAA">
            <w:pPr>
              <w:snapToGrid w:val="0"/>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2024年前三季度营收21.1亿元，同比增长29.05%；净利润2.8亿元，同比增长74.95%；扣非净利润2.75亿元，同比增长87.34%。</w:t>
            </w:r>
          </w:p>
          <w:p w14:paraId="2F27FAB0">
            <w:pPr>
              <w:snapToGrid w:val="0"/>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公司积极开拓市场获取新订单，前三季度智能配用电业务、试验检测及调试业务增长迅速。营业收入增长带来净利润增长，业务结构性变化带动整体毛利率提升，毛利率较高的试验检测和智能配用电设备业务营收占比大幅增长，公司整体毛利率31.13%，比去年同期增长4.32个百分点。</w:t>
            </w:r>
          </w:p>
          <w:p w14:paraId="2BC8FDFE">
            <w:pPr>
              <w:numPr>
                <w:ilvl w:val="0"/>
                <w:numId w:val="1"/>
              </w:numPr>
              <w:snapToGrid w:val="0"/>
              <w:spacing w:line="520" w:lineRule="exact"/>
              <w:rPr>
                <w:rFonts w:ascii="仿宋_GB2312" w:hAnsi="仿宋" w:eastAsia="仿宋_GB2312"/>
                <w:bCs/>
                <w:sz w:val="28"/>
                <w:szCs w:val="28"/>
              </w:rPr>
            </w:pPr>
            <w:r>
              <w:rPr>
                <w:rFonts w:hint="eastAsia" w:ascii="仿宋_GB2312" w:hAnsi="仿宋" w:eastAsia="仿宋_GB2312"/>
                <w:bCs/>
                <w:sz w:val="28"/>
                <w:szCs w:val="28"/>
              </w:rPr>
              <w:t>各板块情况</w:t>
            </w:r>
          </w:p>
          <w:p w14:paraId="58C4BAC2">
            <w:pPr>
              <w:snapToGrid w:val="0"/>
              <w:spacing w:line="520" w:lineRule="exact"/>
              <w:rPr>
                <w:rFonts w:ascii="仿宋_GB2312" w:hAnsi="仿宋" w:eastAsia="仿宋_GB2312"/>
                <w:sz w:val="28"/>
                <w:szCs w:val="28"/>
              </w:rPr>
            </w:pPr>
            <w:r>
              <w:rPr>
                <w:rFonts w:hint="eastAsia" w:ascii="仿宋_GB2312" w:hAnsi="仿宋" w:eastAsia="仿宋_GB2312"/>
                <w:bCs/>
                <w:sz w:val="28"/>
                <w:szCs w:val="28"/>
              </w:rPr>
              <w:t>1.储能系统技术服务</w:t>
            </w:r>
            <w:r>
              <w:rPr>
                <w:rFonts w:hint="eastAsia" w:ascii="仿宋_GB2312" w:hAnsi="仿宋" w:eastAsia="仿宋_GB2312"/>
                <w:bCs/>
                <w:sz w:val="28"/>
                <w:szCs w:val="28"/>
              </w:rPr>
              <w:br w:type="textWrapping"/>
            </w:r>
            <w:r>
              <w:rPr>
                <w:rFonts w:hint="eastAsia" w:ascii="仿宋_GB2312" w:hAnsi="仿宋" w:eastAsia="仿宋_GB2312"/>
                <w:sz w:val="28"/>
                <w:szCs w:val="28"/>
              </w:rPr>
              <w:tab/>
            </w:r>
            <w:r>
              <w:rPr>
                <w:rFonts w:hint="eastAsia" w:ascii="仿宋_GB2312" w:hAnsi="仿宋" w:eastAsia="仿宋_GB2312"/>
                <w:sz w:val="28"/>
                <w:szCs w:val="28"/>
              </w:rPr>
              <w:t>前三季度营收5.79亿元，同比略有下降；毛利率13.39%，同比基本持平，仍处于行业较高毛利水平。</w:t>
            </w:r>
          </w:p>
          <w:p w14:paraId="0E3D9B3E">
            <w:pPr>
              <w:snapToGrid w:val="0"/>
              <w:spacing w:line="520" w:lineRule="exact"/>
              <w:rPr>
                <w:rFonts w:ascii="仿宋_GB2312" w:hAnsi="仿宋" w:eastAsia="仿宋_GB2312"/>
                <w:bCs/>
                <w:sz w:val="28"/>
                <w:szCs w:val="28"/>
              </w:rPr>
            </w:pPr>
            <w:r>
              <w:rPr>
                <w:rFonts w:hint="eastAsia" w:ascii="仿宋_GB2312" w:hAnsi="仿宋" w:eastAsia="仿宋_GB2312"/>
                <w:bCs/>
                <w:sz w:val="28"/>
                <w:szCs w:val="28"/>
              </w:rPr>
              <w:t>2.试验检测及调试服务</w:t>
            </w:r>
          </w:p>
          <w:p w14:paraId="03F93145">
            <w:pPr>
              <w:snapToGrid w:val="0"/>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公司试验检测及调试服务营收5.52亿元，同比增长65.43%。电源侧试验检测前三季度营收3.51亿元，同比大幅增长161.22%；毛利率48.76%，同比略有下降；电网侧试验检测业务前三季度营收2.01亿元，同比略有增长；毛利率41.01%，同比提升1.60个百分点。</w:t>
            </w:r>
          </w:p>
          <w:p w14:paraId="09E3E987">
            <w:pPr>
              <w:snapToGrid w:val="0"/>
              <w:spacing w:line="520" w:lineRule="exact"/>
              <w:rPr>
                <w:rFonts w:ascii="仿宋_GB2312" w:hAnsi="仿宋" w:eastAsia="仿宋_GB2312"/>
                <w:bCs/>
                <w:sz w:val="28"/>
                <w:szCs w:val="28"/>
              </w:rPr>
            </w:pPr>
            <w:r>
              <w:rPr>
                <w:rFonts w:hint="eastAsia" w:ascii="仿宋_GB2312" w:hAnsi="仿宋" w:eastAsia="仿宋_GB2312"/>
                <w:bCs/>
                <w:sz w:val="28"/>
                <w:szCs w:val="28"/>
              </w:rPr>
              <w:t>3.智能配用电设备</w:t>
            </w:r>
          </w:p>
          <w:p w14:paraId="0782A222">
            <w:pPr>
              <w:snapToGrid w:val="0"/>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前三季度营收5.44亿元，同比增长116.06%；毛利率35.07%，同比增长3.63个百分点。</w:t>
            </w:r>
          </w:p>
          <w:p w14:paraId="4B2139FB">
            <w:pPr>
              <w:numPr>
                <w:ilvl w:val="0"/>
                <w:numId w:val="2"/>
              </w:numPr>
              <w:snapToGrid w:val="0"/>
              <w:spacing w:line="520" w:lineRule="exact"/>
              <w:rPr>
                <w:rFonts w:ascii="仿宋_GB2312" w:hAnsi="仿宋" w:eastAsia="仿宋_GB2312"/>
                <w:sz w:val="28"/>
                <w:szCs w:val="28"/>
              </w:rPr>
            </w:pPr>
            <w:r>
              <w:rPr>
                <w:rFonts w:hint="eastAsia" w:ascii="仿宋_GB2312" w:hAnsi="仿宋" w:eastAsia="仿宋_GB2312"/>
                <w:bCs/>
                <w:sz w:val="28"/>
                <w:szCs w:val="28"/>
              </w:rPr>
              <w:t>智能监测设备</w:t>
            </w:r>
            <w:r>
              <w:rPr>
                <w:rFonts w:hint="eastAsia" w:ascii="仿宋_GB2312" w:hAnsi="仿宋" w:eastAsia="仿宋_GB2312"/>
                <w:bCs/>
                <w:sz w:val="28"/>
                <w:szCs w:val="28"/>
              </w:rPr>
              <w:br w:type="textWrapping"/>
            </w:r>
            <w:r>
              <w:rPr>
                <w:rFonts w:hint="eastAsia" w:ascii="仿宋_GB2312" w:hAnsi="仿宋" w:eastAsia="仿宋_GB2312"/>
                <w:sz w:val="28"/>
                <w:szCs w:val="28"/>
              </w:rPr>
              <w:tab/>
            </w:r>
            <w:r>
              <w:rPr>
                <w:rFonts w:hint="eastAsia" w:ascii="仿宋_GB2312" w:hAnsi="仿宋" w:eastAsia="仿宋_GB2312"/>
                <w:sz w:val="28"/>
                <w:szCs w:val="28"/>
              </w:rPr>
              <w:t xml:space="preserve"> 前三季度营收1.65亿元，同比增长37.16%；毛利率36.68%，同比基本持平。</w:t>
            </w:r>
          </w:p>
          <w:p w14:paraId="02ED4E3D">
            <w:pPr>
              <w:numPr>
                <w:ilvl w:val="0"/>
                <w:numId w:val="2"/>
              </w:numPr>
              <w:snapToGrid w:val="0"/>
              <w:spacing w:line="520" w:lineRule="exact"/>
              <w:rPr>
                <w:rFonts w:ascii="仿宋_GB2312" w:hAnsi="仿宋" w:eastAsia="仿宋_GB2312"/>
                <w:sz w:val="28"/>
                <w:szCs w:val="28"/>
              </w:rPr>
            </w:pPr>
            <w:r>
              <w:rPr>
                <w:rFonts w:hint="eastAsia" w:ascii="仿宋_GB2312" w:hAnsi="仿宋" w:eastAsia="仿宋_GB2312"/>
                <w:bCs/>
                <w:sz w:val="28"/>
                <w:szCs w:val="28"/>
              </w:rPr>
              <w:t>机器人和无人机</w:t>
            </w:r>
            <w:r>
              <w:rPr>
                <w:rFonts w:hint="eastAsia" w:ascii="仿宋_GB2312" w:hAnsi="仿宋" w:eastAsia="仿宋_GB2312"/>
                <w:bCs/>
                <w:sz w:val="28"/>
                <w:szCs w:val="28"/>
              </w:rPr>
              <w:br w:type="textWrapping"/>
            </w:r>
            <w:r>
              <w:rPr>
                <w:rFonts w:hint="eastAsia" w:ascii="仿宋_GB2312" w:hAnsi="仿宋" w:eastAsia="仿宋_GB2312"/>
                <w:sz w:val="28"/>
                <w:szCs w:val="28"/>
              </w:rPr>
              <w:t xml:space="preserve">    前三季度营收1.34亿元，同比增长11.07%；毛利率32.39%，同比提升2.96个百分点。</w:t>
            </w:r>
          </w:p>
          <w:p w14:paraId="4C4E55AA">
            <w:pPr>
              <w:spacing w:line="520" w:lineRule="exact"/>
              <w:rPr>
                <w:rFonts w:ascii="仿宋_GB2312" w:hAnsi="仿宋" w:eastAsia="仿宋_GB2312" w:cs="仿宋_GB2312"/>
                <w:b/>
                <w:bCs/>
                <w:iCs/>
                <w:color w:val="000000" w:themeColor="text1"/>
                <w:kern w:val="0"/>
                <w:sz w:val="28"/>
                <w:szCs w:val="28"/>
                <w14:textFill>
                  <w14:solidFill>
                    <w14:schemeClr w14:val="tx1"/>
                  </w14:solidFill>
                </w14:textFill>
              </w:rPr>
            </w:pPr>
            <w:r>
              <w:rPr>
                <w:rFonts w:ascii="仿宋_GB2312" w:hAnsi="仿宋" w:eastAsia="仿宋_GB2312" w:cs="仿宋_GB2312"/>
                <w:b/>
                <w:bCs/>
                <w:iCs/>
                <w:color w:val="000000" w:themeColor="text1"/>
                <w:kern w:val="0"/>
                <w:sz w:val="28"/>
                <w:szCs w:val="28"/>
                <w14:textFill>
                  <w14:solidFill>
                    <w14:schemeClr w14:val="tx1"/>
                  </w14:solidFill>
                </w14:textFill>
              </w:rPr>
              <w:t>2</w:t>
            </w:r>
            <w:r>
              <w:rPr>
                <w:rFonts w:hint="eastAsia" w:ascii="仿宋_GB2312" w:hAnsi="仿宋" w:eastAsia="仿宋_GB2312" w:cs="仿宋_GB2312"/>
                <w:b/>
                <w:bCs/>
                <w:iCs/>
                <w:color w:val="000000" w:themeColor="text1"/>
                <w:kern w:val="0"/>
                <w:sz w:val="28"/>
                <w:szCs w:val="28"/>
                <w14:textFill>
                  <w14:solidFill>
                    <w14:schemeClr w14:val="tx1"/>
                  </w14:solidFill>
                </w14:textFill>
              </w:rPr>
              <w:t>、请问公司对2025年主营增长情况、毛利率预期如何展望？</w:t>
            </w:r>
          </w:p>
          <w:p w14:paraId="4FD1ECCC">
            <w:pPr>
              <w:spacing w:line="520" w:lineRule="exact"/>
              <w:rPr>
                <w:rFonts w:ascii="仿宋_GB2312" w:eastAsia="仿宋_GB2312"/>
                <w:sz w:val="28"/>
                <w:szCs w:val="28"/>
              </w:rPr>
            </w:pPr>
            <w:r>
              <w:rPr>
                <w:rFonts w:hint="eastAsia" w:ascii="仿宋_GB2312" w:eastAsia="仿宋_GB2312"/>
                <w:sz w:val="28"/>
                <w:szCs w:val="28"/>
              </w:rPr>
              <w:t xml:space="preserve">    答：尊敬的投资者，您好。公司2021-2023年，营业收入复合增长率超过35%、归母净利润复合增长率超过40%，实现了经营业绩可持续、高质量的增长。2025年，公司将持续聚焦主营业务,做大做强储能、试验检测、电力设备等优势业务，力争主营业务收入实现稳定增长，持续开展降本增效工作，优化提升各业务板块的毛利率水平，以更好的业绩回报广大投资者。感谢您的关注。</w:t>
            </w:r>
          </w:p>
          <w:p w14:paraId="31222B24">
            <w:pPr>
              <w:spacing w:line="520" w:lineRule="exact"/>
              <w:rPr>
                <w:rFonts w:ascii="仿宋_GB2312" w:hAnsi="仿宋" w:eastAsia="仿宋_GB2312" w:cs="仿宋_GB2312"/>
                <w:b/>
                <w:bCs/>
                <w:iCs/>
                <w:color w:val="000000" w:themeColor="text1"/>
                <w:kern w:val="0"/>
                <w:sz w:val="28"/>
                <w:szCs w:val="28"/>
                <w14:textFill>
                  <w14:solidFill>
                    <w14:schemeClr w14:val="tx1"/>
                  </w14:solidFill>
                </w14:textFill>
              </w:rPr>
            </w:pPr>
            <w:r>
              <w:rPr>
                <w:rFonts w:ascii="仿宋_GB2312" w:hAnsi="仿宋" w:eastAsia="仿宋_GB2312" w:cs="仿宋_GB2312"/>
                <w:b/>
                <w:bCs/>
                <w:iCs/>
                <w:color w:val="000000" w:themeColor="text1"/>
                <w:kern w:val="0"/>
                <w:sz w:val="28"/>
                <w:szCs w:val="28"/>
                <w14:textFill>
                  <w14:solidFill>
                    <w14:schemeClr w14:val="tx1"/>
                  </w14:solidFill>
                </w14:textFill>
              </w:rPr>
              <w:t>3</w:t>
            </w:r>
            <w:r>
              <w:rPr>
                <w:rFonts w:hint="eastAsia" w:ascii="仿宋_GB2312" w:hAnsi="仿宋" w:eastAsia="仿宋_GB2312" w:cs="仿宋_GB2312"/>
                <w:b/>
                <w:bCs/>
                <w:iCs/>
                <w:color w:val="000000" w:themeColor="text1"/>
                <w:kern w:val="0"/>
                <w:sz w:val="28"/>
                <w:szCs w:val="28"/>
                <w14:textFill>
                  <w14:solidFill>
                    <w14:schemeClr w14:val="tx1"/>
                  </w14:solidFill>
                </w14:textFill>
              </w:rPr>
              <w:t>、请问如何展望储能项目盈利性，低价竞争还会持续吗？公司在储能方面的发展策略是什么？</w:t>
            </w:r>
          </w:p>
          <w:p w14:paraId="71EB4B72">
            <w:pPr>
              <w:pStyle w:val="2"/>
              <w:spacing w:line="520" w:lineRule="exact"/>
              <w:ind w:firstLine="560"/>
              <w:rPr>
                <w:rFonts w:ascii="仿宋_GB2312" w:eastAsia="仿宋_GB2312"/>
                <w:sz w:val="28"/>
                <w:szCs w:val="28"/>
              </w:rPr>
            </w:pPr>
            <w:r>
              <w:rPr>
                <w:rFonts w:hint="eastAsia" w:ascii="仿宋_GB2312" w:eastAsia="仿宋_GB2312"/>
                <w:sz w:val="28"/>
                <w:szCs w:val="28"/>
              </w:rPr>
              <w:t>答：尊敬的投资者，您好。关于储能项目的盈利性，主要受储能材料及设备成本、储能项目成本回收机制以及政策等因素的影响，储能项目的盈利性有望随着技术进步、成本降低和政策支持而提高。同时，低价竞争可能会持续，但随着市场的发展和消费者需求的变化，竞争焦点可能会从单纯的价格竞争转向产品质量和技术创新。公司致力于应用清洁能源技术和新一代信息技术，围绕“源、网、荷、储”全产业链条，提供基于人工智能的高技术服务和高端智能设备综合解决方案。公司的储能系统及服务主要应用于电源侧、电网侧和用户侧，用于提升新能源并网消纳能力、电源调峰调频能力、电网灵活调节和应急支撑能力、用户侧峰谷调节能力，以解决新能源并网时因其随机性和波动性对电网的冲击。综合考虑行业发展和竞争趋势，公司将以巩固优势、有序拓展、质量优先作为业务经营策略，通过加强承接业务前的风险评估和经济测算，确保毛利率维持在合理水平；并持续加强储能产品的安全性和系统性能，为客户提供高质量的产品及服务，持续提升行业市场竞争力。感谢您的关注。</w:t>
            </w:r>
          </w:p>
          <w:p w14:paraId="1D5F4548">
            <w:pPr>
              <w:spacing w:line="520" w:lineRule="exact"/>
              <w:rPr>
                <w:rFonts w:ascii="仿宋_GB2312" w:hAnsi="仿宋" w:eastAsia="仿宋_GB2312" w:cs="仿宋_GB2312"/>
                <w:b/>
                <w:bCs/>
                <w:iCs/>
                <w:color w:val="000000" w:themeColor="text1"/>
                <w:kern w:val="0"/>
                <w:sz w:val="28"/>
                <w:szCs w:val="28"/>
                <w14:textFill>
                  <w14:solidFill>
                    <w14:schemeClr w14:val="tx1"/>
                  </w14:solidFill>
                </w14:textFill>
              </w:rPr>
            </w:pPr>
            <w:r>
              <w:rPr>
                <w:rFonts w:ascii="仿宋_GB2312" w:hAnsi="仿宋" w:eastAsia="仿宋_GB2312" w:cs="仿宋_GB2312"/>
                <w:b/>
                <w:bCs/>
                <w:iCs/>
                <w:color w:val="000000" w:themeColor="text1"/>
                <w:kern w:val="0"/>
                <w:sz w:val="28"/>
                <w:szCs w:val="28"/>
                <w14:textFill>
                  <w14:solidFill>
                    <w14:schemeClr w14:val="tx1"/>
                  </w14:solidFill>
                </w14:textFill>
              </w:rPr>
              <w:t>4</w:t>
            </w:r>
            <w:r>
              <w:rPr>
                <w:rFonts w:hint="eastAsia" w:ascii="仿宋_GB2312" w:hAnsi="仿宋" w:eastAsia="仿宋_GB2312" w:cs="仿宋_GB2312"/>
                <w:b/>
                <w:bCs/>
                <w:iCs/>
                <w:color w:val="000000" w:themeColor="text1"/>
                <w:kern w:val="0"/>
                <w:sz w:val="28"/>
                <w:szCs w:val="28"/>
                <w14:textFill>
                  <w14:solidFill>
                    <w14:schemeClr w14:val="tx1"/>
                  </w14:solidFill>
                </w14:textFill>
              </w:rPr>
              <w:t>、请问储能创新中心项目的落地情况和未来的展望如何？在手储能订单规模和确认节奏时间情况如何？</w:t>
            </w:r>
          </w:p>
          <w:p w14:paraId="100CA659">
            <w:pPr>
              <w:spacing w:line="520" w:lineRule="exact"/>
              <w:ind w:firstLine="560"/>
              <w:rPr>
                <w:rFonts w:ascii="仿宋_GB2312" w:eastAsia="仿宋_GB2312"/>
                <w:sz w:val="28"/>
                <w:szCs w:val="28"/>
              </w:rPr>
            </w:pPr>
            <w:r>
              <w:rPr>
                <w:rFonts w:hint="eastAsia" w:ascii="仿宋_GB2312" w:eastAsia="仿宋_GB2312"/>
                <w:sz w:val="28"/>
                <w:szCs w:val="28"/>
              </w:rPr>
              <w:t>答：尊敬的投资者，您好。储能创新中心共备案了1+11个实证项目，包含1个产学研用协同创新基地项目和11个实证项目，其中5个项目已入选能源局新型储能试点示范项目。目前各项目均在有序推进当中，预计将于未来两年逐步实现落地。目前公司储能订单规模超5亿元，公司将积极推动相关项目的履约和营收确认。感谢您的关注。</w:t>
            </w:r>
          </w:p>
          <w:p w14:paraId="7E57C06C">
            <w:pPr>
              <w:spacing w:line="520" w:lineRule="exact"/>
              <w:rPr>
                <w:rFonts w:ascii="仿宋_GB2312" w:hAnsi="仿宋" w:eastAsia="仿宋_GB2312" w:cs="仿宋_GB2312"/>
                <w:b/>
                <w:bCs/>
                <w:iCs/>
                <w:color w:val="000000" w:themeColor="text1"/>
                <w:kern w:val="0"/>
                <w:sz w:val="28"/>
                <w:szCs w:val="28"/>
                <w14:textFill>
                  <w14:solidFill>
                    <w14:schemeClr w14:val="tx1"/>
                  </w14:solidFill>
                </w14:textFill>
              </w:rPr>
            </w:pPr>
            <w:r>
              <w:rPr>
                <w:rFonts w:hint="eastAsia" w:ascii="仿宋_GB2312" w:hAnsi="仿宋" w:eastAsia="仿宋_GB2312" w:cs="仿宋_GB2312"/>
                <w:b/>
                <w:bCs/>
                <w:iCs/>
                <w:color w:val="000000" w:themeColor="text1"/>
                <w:kern w:val="0"/>
                <w:sz w:val="28"/>
                <w:szCs w:val="28"/>
                <w14:textFill>
                  <w14:solidFill>
                    <w14:schemeClr w14:val="tx1"/>
                  </w14:solidFill>
                </w14:textFill>
              </w:rPr>
              <w:t>5、这边简单算了一下，Q3储能确收是800万左右，请问储能业务目前的在手订单情况和未来项目的确收节奏如何？</w:t>
            </w:r>
          </w:p>
          <w:p w14:paraId="09D667F2">
            <w:pPr>
              <w:pStyle w:val="2"/>
              <w:spacing w:line="520" w:lineRule="exact"/>
              <w:ind w:firstLine="560"/>
              <w:rPr>
                <w:rFonts w:ascii="仿宋_GB2312" w:eastAsia="仿宋_GB2312"/>
                <w:sz w:val="28"/>
                <w:szCs w:val="28"/>
              </w:rPr>
            </w:pPr>
            <w:r>
              <w:rPr>
                <w:rFonts w:hint="eastAsia" w:ascii="仿宋_GB2312" w:eastAsia="仿宋_GB2312"/>
                <w:sz w:val="28"/>
                <w:szCs w:val="28"/>
              </w:rPr>
              <w:t>答：尊敬的投资者，您好。公司储能业务前三季度营收近6亿，毛利率稳定，由于三季度未有较大规模的储能项目交付，储能业务单季度收入规模相对较小。公司今年中标了国内最大半固态电池规模化应用项目、南网区域首例构网型储能项目。</w:t>
            </w:r>
            <w:r>
              <w:rPr>
                <w:rFonts w:hint="eastAsia" w:ascii="仿宋_GB2312" w:eastAsia="仿宋_GB2312"/>
                <w:sz w:val="28"/>
                <w:szCs w:val="28"/>
                <w:lang w:val="en-US" w:eastAsia="zh-CN"/>
              </w:rPr>
              <w:t>截止目前，</w:t>
            </w:r>
            <w:bookmarkStart w:id="0" w:name="_GoBack"/>
            <w:bookmarkEnd w:id="0"/>
            <w:r>
              <w:rPr>
                <w:rFonts w:hint="eastAsia" w:ascii="仿宋_GB2312" w:eastAsia="仿宋_GB2312"/>
                <w:sz w:val="28"/>
                <w:szCs w:val="28"/>
              </w:rPr>
              <w:t>公司储能业务合计在手订单超过5亿，履约进展顺利。公司将持续加大对储能业务的重视和投入，以优质的产品和服务获取更大的储能业务市场。感谢您的关注。</w:t>
            </w:r>
          </w:p>
          <w:p w14:paraId="67206C0C">
            <w:pPr>
              <w:spacing w:line="520" w:lineRule="exact"/>
              <w:rPr>
                <w:rFonts w:ascii="仿宋_GB2312" w:hAnsi="仿宋" w:eastAsia="仿宋_GB2312" w:cs="仿宋_GB2312"/>
                <w:b/>
                <w:bCs/>
                <w:iCs/>
                <w:color w:val="000000" w:themeColor="text1"/>
                <w:kern w:val="0"/>
                <w:sz w:val="28"/>
                <w:szCs w:val="28"/>
                <w14:textFill>
                  <w14:solidFill>
                    <w14:schemeClr w14:val="tx1"/>
                  </w14:solidFill>
                </w14:textFill>
              </w:rPr>
            </w:pPr>
            <w:r>
              <w:rPr>
                <w:rFonts w:ascii="仿宋_GB2312" w:hAnsi="仿宋" w:eastAsia="仿宋_GB2312" w:cs="仿宋_GB2312"/>
                <w:b/>
                <w:bCs/>
                <w:iCs/>
                <w:color w:val="000000" w:themeColor="text1"/>
                <w:kern w:val="0"/>
                <w:sz w:val="28"/>
                <w:szCs w:val="28"/>
                <w14:textFill>
                  <w14:solidFill>
                    <w14:schemeClr w14:val="tx1"/>
                  </w14:solidFill>
                </w14:textFill>
              </w:rPr>
              <w:t>6</w:t>
            </w:r>
            <w:r>
              <w:rPr>
                <w:rFonts w:hint="eastAsia" w:ascii="仿宋_GB2312" w:hAnsi="仿宋" w:eastAsia="仿宋_GB2312" w:cs="仿宋_GB2312"/>
                <w:b/>
                <w:bCs/>
                <w:iCs/>
                <w:color w:val="000000" w:themeColor="text1"/>
                <w:kern w:val="0"/>
                <w:sz w:val="28"/>
                <w:szCs w:val="28"/>
                <w14:textFill>
                  <w14:solidFill>
                    <w14:schemeClr w14:val="tx1"/>
                  </w14:solidFill>
                </w14:textFill>
              </w:rPr>
              <w:t>、数字化是电网发展的重要趋势，请问目前南方电网相关投资是否有明显加速趋势，以及公司将如何受益？</w:t>
            </w:r>
          </w:p>
          <w:p w14:paraId="6576F44F">
            <w:pPr>
              <w:spacing w:line="520" w:lineRule="exact"/>
              <w:ind w:firstLine="560"/>
              <w:rPr>
                <w:rFonts w:ascii="仿宋_GB2312" w:eastAsia="仿宋_GB2312"/>
                <w:sz w:val="28"/>
                <w:szCs w:val="28"/>
              </w:rPr>
            </w:pPr>
            <w:r>
              <w:rPr>
                <w:rFonts w:hint="eastAsia" w:ascii="仿宋_GB2312" w:eastAsia="仿宋_GB2312"/>
                <w:sz w:val="28"/>
                <w:szCs w:val="28"/>
              </w:rPr>
              <w:t>答：尊敬的投资者，您好。加快数字强企建设，推动电网数字化转型是南方电网公司的重大发展举措。公司致力于应用清洁能源技术和新一代信息技术，围绕“源、网、荷、储”全产业链条，提供基于人工智能的高技术服务和高端智能设备综合解决方案。相关业务中，“丝路InOS”系统、“慧眼”无人系统、“源网荷储智慧联动平台”等系统均具备向相关模型提供专业数据的能力，主动支撑公司业务应用场景，为电网发展提供数字化底座，促进公司发展。感谢您的关注。</w:t>
            </w:r>
          </w:p>
          <w:p w14:paraId="1C365ABD">
            <w:pPr>
              <w:spacing w:line="520" w:lineRule="exact"/>
              <w:rPr>
                <w:rFonts w:ascii="仿宋_GB2312" w:hAnsi="仿宋" w:eastAsia="仿宋_GB2312" w:cs="仿宋_GB2312"/>
                <w:b/>
                <w:bCs/>
                <w:iCs/>
                <w:color w:val="000000" w:themeColor="text1"/>
                <w:kern w:val="0"/>
                <w:sz w:val="28"/>
                <w:szCs w:val="28"/>
                <w14:textFill>
                  <w14:solidFill>
                    <w14:schemeClr w14:val="tx1"/>
                  </w14:solidFill>
                </w14:textFill>
              </w:rPr>
            </w:pPr>
            <w:r>
              <w:rPr>
                <w:rFonts w:ascii="仿宋_GB2312" w:hAnsi="仿宋" w:eastAsia="仿宋_GB2312" w:cs="仿宋_GB2312"/>
                <w:b/>
                <w:bCs/>
                <w:iCs/>
                <w:color w:val="000000" w:themeColor="text1"/>
                <w:kern w:val="0"/>
                <w:sz w:val="28"/>
                <w:szCs w:val="28"/>
                <w14:textFill>
                  <w14:solidFill>
                    <w14:schemeClr w14:val="tx1"/>
                  </w14:solidFill>
                </w14:textFill>
              </w:rPr>
              <w:t>7</w:t>
            </w:r>
            <w:r>
              <w:rPr>
                <w:rFonts w:hint="eastAsia" w:ascii="仿宋_GB2312" w:hAnsi="仿宋" w:eastAsia="仿宋_GB2312" w:cs="仿宋_GB2312"/>
                <w:b/>
                <w:bCs/>
                <w:iCs/>
                <w:color w:val="000000" w:themeColor="text1"/>
                <w:kern w:val="0"/>
                <w:sz w:val="28"/>
                <w:szCs w:val="28"/>
                <w14:textFill>
                  <w14:solidFill>
                    <w14:schemeClr w14:val="tx1"/>
                  </w14:solidFill>
                </w14:textFill>
              </w:rPr>
              <w:t>、请问Q1-Q3公司智能配用电设备5.44亿营收如何拆分，InOS占比大概多少？</w:t>
            </w:r>
          </w:p>
          <w:p w14:paraId="4717293C">
            <w:pPr>
              <w:pStyle w:val="2"/>
              <w:spacing w:line="520" w:lineRule="exact"/>
              <w:ind w:firstLine="560"/>
              <w:rPr>
                <w:rFonts w:ascii="仿宋_GB2312" w:eastAsia="仿宋_GB2312"/>
                <w:sz w:val="28"/>
                <w:szCs w:val="28"/>
              </w:rPr>
            </w:pPr>
            <w:r>
              <w:rPr>
                <w:rFonts w:hint="eastAsia" w:ascii="仿宋_GB2312" w:eastAsia="仿宋_GB2312"/>
                <w:sz w:val="28"/>
                <w:szCs w:val="28"/>
              </w:rPr>
              <w:t>答：尊敬的投资者，您好。Q1-Q3智能配用电设备收入中InOS系统及核心模组设备实现营收4.4亿元，占比超80%，其他营收来源于带计量功能的智能终端和配电智能控制设备等。感谢您的关注。</w:t>
            </w:r>
          </w:p>
          <w:p w14:paraId="69B6E015">
            <w:pPr>
              <w:spacing w:line="520" w:lineRule="exact"/>
              <w:rPr>
                <w:rFonts w:ascii="仿宋_GB2312" w:hAnsi="仿宋" w:eastAsia="仿宋_GB2312" w:cs="仿宋_GB2312"/>
                <w:b/>
                <w:bCs/>
                <w:iCs/>
                <w:color w:val="000000" w:themeColor="text1"/>
                <w:kern w:val="0"/>
                <w:sz w:val="28"/>
                <w:szCs w:val="28"/>
                <w14:textFill>
                  <w14:solidFill>
                    <w14:schemeClr w14:val="tx1"/>
                  </w14:solidFill>
                </w14:textFill>
              </w:rPr>
            </w:pPr>
            <w:r>
              <w:rPr>
                <w:rFonts w:ascii="仿宋_GB2312" w:hAnsi="仿宋" w:eastAsia="仿宋_GB2312" w:cs="仿宋_GB2312"/>
                <w:b/>
                <w:bCs/>
                <w:iCs/>
                <w:color w:val="000000" w:themeColor="text1"/>
                <w:kern w:val="0"/>
                <w:sz w:val="28"/>
                <w:szCs w:val="28"/>
                <w14:textFill>
                  <w14:solidFill>
                    <w14:schemeClr w14:val="tx1"/>
                  </w14:solidFill>
                </w14:textFill>
              </w:rPr>
              <w:t>8</w:t>
            </w:r>
            <w:r>
              <w:rPr>
                <w:rFonts w:hint="eastAsia" w:ascii="仿宋_GB2312" w:hAnsi="仿宋" w:eastAsia="仿宋_GB2312" w:cs="仿宋_GB2312"/>
                <w:b/>
                <w:bCs/>
                <w:iCs/>
                <w:color w:val="000000" w:themeColor="text1"/>
                <w:kern w:val="0"/>
                <w:sz w:val="28"/>
                <w:szCs w:val="28"/>
                <w14:textFill>
                  <w14:solidFill>
                    <w14:schemeClr w14:val="tx1"/>
                  </w14:solidFill>
                </w14:textFill>
              </w:rPr>
              <w:t>、请问公司试验检测业务未来是否有进一步收并购的考虑？创星和桂能收入的大幅增长原因是什么？</w:t>
            </w:r>
          </w:p>
          <w:p w14:paraId="3A4A5755">
            <w:pPr>
              <w:spacing w:line="520" w:lineRule="exact"/>
              <w:ind w:firstLine="560"/>
              <w:rPr>
                <w:rFonts w:ascii="仿宋_GB2312" w:eastAsia="仿宋_GB2312"/>
                <w:sz w:val="28"/>
                <w:szCs w:val="28"/>
              </w:rPr>
            </w:pPr>
            <w:r>
              <w:rPr>
                <w:rFonts w:hint="eastAsia" w:ascii="仿宋_GB2312" w:eastAsia="仿宋_GB2312"/>
                <w:sz w:val="28"/>
                <w:szCs w:val="28"/>
              </w:rPr>
              <w:t>答：尊敬的投资者，您好。试验检测业务是公司的传统优势项目，收购行业头部企业有利于公司进一步实现专业化整合，做强做优做大优势，符合公司发展战略。公司将根据经营发展需要，策划推进具体项目，并根据信息披露要求对外披露收购进展情况。公司于2023年6月30日收购了贵州创星和广西桂能两家子公司，两家公司属于当地省级区域内头部电力技术服务企业。2024 年以来，经过整合协调，母子公司之间显现出明显的协同效应，两家子公司在公司的全方位赋能之下，持续不断地提升自身经营能力，大力拓展新业务、在手订单数量提升、履约能力不断增强。感谢您的关注。</w:t>
            </w:r>
          </w:p>
          <w:p w14:paraId="31E69912">
            <w:pPr>
              <w:spacing w:line="520" w:lineRule="exact"/>
              <w:rPr>
                <w:rFonts w:ascii="仿宋_GB2312" w:hAnsi="仿宋" w:eastAsia="仿宋_GB2312" w:cs="仿宋_GB2312"/>
                <w:b/>
                <w:bCs/>
                <w:iCs/>
                <w:color w:val="000000" w:themeColor="text1"/>
                <w:kern w:val="0"/>
                <w:sz w:val="28"/>
                <w:szCs w:val="28"/>
                <w14:textFill>
                  <w14:solidFill>
                    <w14:schemeClr w14:val="tx1"/>
                  </w14:solidFill>
                </w14:textFill>
              </w:rPr>
            </w:pPr>
            <w:r>
              <w:rPr>
                <w:rFonts w:ascii="仿宋_GB2312" w:hAnsi="仿宋" w:eastAsia="仿宋_GB2312" w:cs="仿宋_GB2312"/>
                <w:b/>
                <w:bCs/>
                <w:iCs/>
                <w:color w:val="000000" w:themeColor="text1"/>
                <w:kern w:val="0"/>
                <w:sz w:val="28"/>
                <w:szCs w:val="28"/>
                <w14:textFill>
                  <w14:solidFill>
                    <w14:schemeClr w14:val="tx1"/>
                  </w14:solidFill>
                </w14:textFill>
              </w:rPr>
              <w:t>9</w:t>
            </w:r>
            <w:r>
              <w:rPr>
                <w:rFonts w:hint="eastAsia" w:ascii="仿宋_GB2312" w:hAnsi="仿宋" w:eastAsia="仿宋_GB2312" w:cs="仿宋_GB2312"/>
                <w:b/>
                <w:bCs/>
                <w:iCs/>
                <w:color w:val="000000" w:themeColor="text1"/>
                <w:kern w:val="0"/>
                <w:sz w:val="28"/>
                <w:szCs w:val="28"/>
                <w14:textFill>
                  <w14:solidFill>
                    <w14:schemeClr w14:val="tx1"/>
                  </w14:solidFill>
                </w14:textFill>
              </w:rPr>
              <w:t>、请问目前南网区域线路监测覆盖率什么水平？未来发展节奏？</w:t>
            </w:r>
          </w:p>
          <w:p w14:paraId="197E15D9">
            <w:pPr>
              <w:pStyle w:val="2"/>
              <w:spacing w:line="520" w:lineRule="exact"/>
              <w:ind w:firstLine="560" w:firstLineChars="200"/>
              <w:rPr>
                <w:rFonts w:ascii="仿宋_GB2312" w:eastAsia="仿宋_GB2312"/>
                <w:sz w:val="28"/>
                <w:szCs w:val="28"/>
              </w:rPr>
            </w:pPr>
            <w:r>
              <w:rPr>
                <w:rFonts w:hint="eastAsia" w:ascii="仿宋_GB2312" w:eastAsia="仿宋_GB2312"/>
                <w:sz w:val="28"/>
                <w:szCs w:val="28"/>
              </w:rPr>
              <w:t>答：尊敬的投资者，您好。公司智能监测设备板块前三季度营收1.65亿元，其中，线路运行环境监测及故障定位装置营收占比超过95%，该类产品技术成熟度较高，处于全面应用推广阶段，整体市场空间较大。感谢您的关注。</w:t>
            </w:r>
          </w:p>
          <w:p w14:paraId="1293D820">
            <w:pPr>
              <w:spacing w:line="520" w:lineRule="exact"/>
              <w:rPr>
                <w:rFonts w:ascii="仿宋_GB2312" w:hAnsi="仿宋" w:eastAsia="仿宋_GB2312" w:cs="仿宋_GB2312"/>
                <w:b/>
                <w:bCs/>
                <w:iCs/>
                <w:color w:val="000000" w:themeColor="text1"/>
                <w:kern w:val="0"/>
                <w:sz w:val="28"/>
                <w:szCs w:val="28"/>
                <w14:textFill>
                  <w14:solidFill>
                    <w14:schemeClr w14:val="tx1"/>
                  </w14:solidFill>
                </w14:textFill>
              </w:rPr>
            </w:pPr>
            <w:r>
              <w:rPr>
                <w:rFonts w:ascii="仿宋_GB2312" w:hAnsi="仿宋" w:eastAsia="仿宋_GB2312" w:cs="仿宋_GB2312"/>
                <w:b/>
                <w:bCs/>
                <w:iCs/>
                <w:color w:val="000000" w:themeColor="text1"/>
                <w:kern w:val="0"/>
                <w:sz w:val="28"/>
                <w:szCs w:val="28"/>
                <w14:textFill>
                  <w14:solidFill>
                    <w14:schemeClr w14:val="tx1"/>
                  </w14:solidFill>
                </w14:textFill>
              </w:rPr>
              <w:t>10</w:t>
            </w:r>
            <w:r>
              <w:rPr>
                <w:rFonts w:hint="eastAsia" w:ascii="仿宋_GB2312" w:hAnsi="仿宋" w:eastAsia="仿宋_GB2312" w:cs="仿宋_GB2312"/>
                <w:b/>
                <w:bCs/>
                <w:iCs/>
                <w:color w:val="000000" w:themeColor="text1"/>
                <w:kern w:val="0"/>
                <w:sz w:val="28"/>
                <w:szCs w:val="28"/>
                <w14:textFill>
                  <w14:solidFill>
                    <w14:schemeClr w14:val="tx1"/>
                  </w14:solidFill>
                </w14:textFill>
              </w:rPr>
              <w:t>、前三季度配用电收入大幅增长，请问公司InOS系统及模组与电鸿是什么关系？未来两者如何协同发展？主要作用是什么？</w:t>
            </w:r>
          </w:p>
          <w:p w14:paraId="22271E73">
            <w:pPr>
              <w:spacing w:line="520" w:lineRule="exact"/>
              <w:ind w:firstLine="560" w:firstLineChars="200"/>
              <w:rPr>
                <w:rFonts w:ascii="仿宋_GB2312" w:eastAsia="仿宋_GB2312"/>
                <w:sz w:val="28"/>
                <w:szCs w:val="28"/>
              </w:rPr>
            </w:pPr>
            <w:r>
              <w:rPr>
                <w:rFonts w:hint="eastAsia" w:ascii="仿宋_GB2312" w:eastAsia="仿宋_GB2312"/>
                <w:sz w:val="28"/>
                <w:szCs w:val="28"/>
              </w:rPr>
              <w:t>答：尊敬的投资者，您好。公司长期深耕配用电生态技术研发，研发了新一代带计量功能的智能终端，推出行业内首个统一开放的智能配用电“丝路InOS”生态，与华为共建了“丝路-鸿蒙”生态实验室，推动智能配用电终端国产化替代。公司积极推动基于“丝路InOS”的智能设备开展电鸿（电鸿物联操作系统）化迭代升级，承担南方电网在珠海横琴、广州南沙、深圳前海三个电鸿示范区建设任务，并支撑建设珠海横琴数字零碳岛共享实验室。感谢您的关注。</w:t>
            </w:r>
          </w:p>
          <w:p w14:paraId="5B9BB13C">
            <w:pPr>
              <w:spacing w:line="520" w:lineRule="exact"/>
              <w:rPr>
                <w:rFonts w:ascii="仿宋_GB2312" w:hAnsi="仿宋" w:eastAsia="仿宋_GB2312" w:cs="仿宋_GB2312"/>
                <w:b/>
                <w:bCs/>
                <w:iCs/>
                <w:color w:val="000000" w:themeColor="text1"/>
                <w:kern w:val="0"/>
                <w:sz w:val="28"/>
                <w:szCs w:val="28"/>
                <w14:textFill>
                  <w14:solidFill>
                    <w14:schemeClr w14:val="tx1"/>
                  </w14:solidFill>
                </w14:textFill>
              </w:rPr>
            </w:pPr>
            <w:r>
              <w:rPr>
                <w:rFonts w:ascii="仿宋_GB2312" w:hAnsi="仿宋" w:eastAsia="仿宋_GB2312" w:cs="仿宋_GB2312"/>
                <w:b/>
                <w:bCs/>
                <w:iCs/>
                <w:color w:val="000000" w:themeColor="text1"/>
                <w:kern w:val="0"/>
                <w:sz w:val="28"/>
                <w:szCs w:val="28"/>
                <w14:textFill>
                  <w14:solidFill>
                    <w14:schemeClr w14:val="tx1"/>
                  </w14:solidFill>
                </w14:textFill>
              </w:rPr>
              <w:t>11</w:t>
            </w:r>
            <w:r>
              <w:rPr>
                <w:rFonts w:hint="eastAsia" w:ascii="仿宋_GB2312" w:hAnsi="仿宋" w:eastAsia="仿宋_GB2312" w:cs="仿宋_GB2312"/>
                <w:b/>
                <w:bCs/>
                <w:iCs/>
                <w:color w:val="000000" w:themeColor="text1"/>
                <w:kern w:val="0"/>
                <w:sz w:val="28"/>
                <w:szCs w:val="28"/>
                <w14:textFill>
                  <w14:solidFill>
                    <w14:schemeClr w14:val="tx1"/>
                  </w14:solidFill>
                </w14:textFill>
              </w:rPr>
              <w:t>、请问公司储能业务发展规划是怎样的，对公司重点市场区域需求怎么看？</w:t>
            </w:r>
          </w:p>
          <w:p w14:paraId="6A2CF925">
            <w:pPr>
              <w:pStyle w:val="2"/>
              <w:spacing w:line="520" w:lineRule="exact"/>
              <w:ind w:firstLine="560" w:firstLineChars="200"/>
              <w:rPr>
                <w:rFonts w:ascii="仿宋_GB2312" w:eastAsia="仿宋_GB2312"/>
                <w:sz w:val="28"/>
                <w:szCs w:val="28"/>
              </w:rPr>
            </w:pPr>
            <w:r>
              <w:rPr>
                <w:rFonts w:hint="eastAsia" w:ascii="仿宋_GB2312" w:eastAsia="仿宋_GB2312"/>
                <w:sz w:val="28"/>
                <w:szCs w:val="28"/>
              </w:rPr>
              <w:t>答：尊敬的投资者，您好。公司的储能系统技术服务主要应用于电源侧、电网侧和用户侧，重点布局电网侧储能、海上风电配套储能、火电厂储能调频、独立储能电站等业务，加大储能新技术的研发投入，继续发挥电网侧、电源侧技术和业务优势，研究集成更加高安全、长寿命、高效率的储能系统，逐步提升方案设计、系统集成、运营维护及“源网荷储”一体化的全面技术能力，助力新型电力系统和双碳目标的实现。公司密切关注国家储能和新能源的相关政策，也积极参与政府和南方电网公司储能及新能源发展规划、相关政策的制订。据了解，到2035年，服务支撑南方五省区新型储能装机将超过5000万千瓦，公司将全面深耕南网区域储能业务市场，努力向全国范围和海外市场拓展。感谢您的关注。</w:t>
            </w:r>
          </w:p>
          <w:p w14:paraId="5A5EF28E">
            <w:pPr>
              <w:spacing w:line="520" w:lineRule="exact"/>
              <w:rPr>
                <w:rFonts w:ascii="仿宋_GB2312" w:hAnsi="仿宋" w:eastAsia="仿宋_GB2312" w:cs="仿宋_GB2312"/>
                <w:b/>
                <w:bCs/>
                <w:iCs/>
                <w:color w:val="000000" w:themeColor="text1"/>
                <w:kern w:val="0"/>
                <w:sz w:val="28"/>
                <w:szCs w:val="28"/>
                <w14:textFill>
                  <w14:solidFill>
                    <w14:schemeClr w14:val="tx1"/>
                  </w14:solidFill>
                </w14:textFill>
              </w:rPr>
            </w:pPr>
            <w:r>
              <w:rPr>
                <w:rFonts w:ascii="仿宋_GB2312" w:hAnsi="仿宋" w:eastAsia="仿宋_GB2312" w:cs="仿宋_GB2312"/>
                <w:b/>
                <w:bCs/>
                <w:iCs/>
                <w:color w:val="000000" w:themeColor="text1"/>
                <w:kern w:val="0"/>
                <w:sz w:val="28"/>
                <w:szCs w:val="28"/>
                <w14:textFill>
                  <w14:solidFill>
                    <w14:schemeClr w14:val="tx1"/>
                  </w14:solidFill>
                </w14:textFill>
              </w:rPr>
              <w:t>12</w:t>
            </w:r>
            <w:r>
              <w:rPr>
                <w:rFonts w:hint="eastAsia" w:ascii="仿宋_GB2312" w:hAnsi="仿宋" w:eastAsia="仿宋_GB2312" w:cs="仿宋_GB2312"/>
                <w:b/>
                <w:bCs/>
                <w:iCs/>
                <w:color w:val="000000" w:themeColor="text1"/>
                <w:kern w:val="0"/>
                <w:sz w:val="28"/>
                <w:szCs w:val="28"/>
                <w14:textFill>
                  <w14:solidFill>
                    <w14:schemeClr w14:val="tx1"/>
                  </w14:solidFill>
                </w14:textFill>
              </w:rPr>
              <w:t>、请问国网的无人机项目推进如何？</w:t>
            </w:r>
          </w:p>
          <w:p w14:paraId="078C23EE">
            <w:pPr>
              <w:spacing w:line="520" w:lineRule="exact"/>
              <w:ind w:firstLine="560" w:firstLineChars="200"/>
              <w:rPr>
                <w:rFonts w:ascii="仿宋_GB2312" w:eastAsia="仿宋_GB2312"/>
                <w:sz w:val="28"/>
                <w:szCs w:val="28"/>
              </w:rPr>
            </w:pPr>
            <w:r>
              <w:rPr>
                <w:rFonts w:hint="eastAsia" w:ascii="仿宋_GB2312" w:eastAsia="仿宋_GB2312"/>
                <w:sz w:val="28"/>
                <w:szCs w:val="28"/>
              </w:rPr>
              <w:t>答：尊敬的投资者，您好。公司无人机业务中，经过多年的研发应用和迭代升级，公司“慧眼”无人化巡检技术已实现行业领跑，相关产品已建成国内电力能源领域最大规模的低空巡检系统，覆盖站点超过3000座，全面支撑南方电网输变配联合巡检示范项目。2023年，公司的无人机业务成功在湖北和江苏两个省开展了试点应用，完成了国家电网首例变电站内无人机精细巡检项目；公司正在积极推进该业务在国网区域的规模化应用。感谢您的关注。</w:t>
            </w:r>
          </w:p>
          <w:p w14:paraId="2F74D9A7">
            <w:pPr>
              <w:spacing w:line="520" w:lineRule="exact"/>
              <w:rPr>
                <w:rFonts w:ascii="仿宋_GB2312" w:hAnsi="仿宋" w:eastAsia="仿宋_GB2312" w:cs="仿宋_GB2312"/>
                <w:b/>
                <w:bCs/>
                <w:iCs/>
                <w:color w:val="000000" w:themeColor="text1"/>
                <w:kern w:val="0"/>
                <w:sz w:val="28"/>
                <w:szCs w:val="28"/>
                <w14:textFill>
                  <w14:solidFill>
                    <w14:schemeClr w14:val="tx1"/>
                  </w14:solidFill>
                </w14:textFill>
              </w:rPr>
            </w:pPr>
            <w:r>
              <w:rPr>
                <w:rFonts w:ascii="仿宋_GB2312" w:hAnsi="仿宋" w:eastAsia="仿宋_GB2312" w:cs="仿宋_GB2312"/>
                <w:b/>
                <w:bCs/>
                <w:iCs/>
                <w:color w:val="000000" w:themeColor="text1"/>
                <w:kern w:val="0"/>
                <w:sz w:val="28"/>
                <w:szCs w:val="28"/>
                <w14:textFill>
                  <w14:solidFill>
                    <w14:schemeClr w14:val="tx1"/>
                  </w14:solidFill>
                </w14:textFill>
              </w:rPr>
              <w:t>13</w:t>
            </w:r>
            <w:r>
              <w:rPr>
                <w:rFonts w:hint="eastAsia" w:ascii="仿宋_GB2312" w:hAnsi="仿宋" w:eastAsia="仿宋_GB2312" w:cs="仿宋_GB2312"/>
                <w:b/>
                <w:bCs/>
                <w:iCs/>
                <w:color w:val="000000" w:themeColor="text1"/>
                <w:kern w:val="0"/>
                <w:sz w:val="28"/>
                <w:szCs w:val="28"/>
                <w14:textFill>
                  <w14:solidFill>
                    <w14:schemeClr w14:val="tx1"/>
                  </w14:solidFill>
                </w14:textFill>
              </w:rPr>
              <w:t>、请问公司对今后配用电设备有什么展望？</w:t>
            </w:r>
          </w:p>
          <w:p w14:paraId="5023DC9C">
            <w:pPr>
              <w:spacing w:line="520" w:lineRule="exact"/>
              <w:ind w:firstLine="560" w:firstLineChars="200"/>
              <w:rPr>
                <w:rFonts w:ascii="仿宋_GB2312" w:eastAsia="仿宋_GB2312"/>
                <w:sz w:val="28"/>
                <w:szCs w:val="28"/>
              </w:rPr>
            </w:pPr>
            <w:r>
              <w:rPr>
                <w:rFonts w:hint="eastAsia" w:ascii="仿宋_GB2312" w:eastAsia="仿宋_GB2312"/>
                <w:sz w:val="28"/>
                <w:szCs w:val="28"/>
              </w:rPr>
              <w:t>答：尊敬的投资者，您好。公司开展智能配用电设备研发，打造新型“营配融合”解决方案，建设“智能量测+数字生产”融合示范区。通过融合示范建设，总结形成可复制、易推广的经验做法，推动实现营销和配网数据融合互通，配电自动化站所终端、馈线终端、自动化成套设备广泛用于南网五省区配电网建设，建立智能配用电设备丝路InOS生态。公司的智能配用电设备业务尚处于规模化试点应用阶段，尚未开展全面推广应用，未来整体市场规模将有较大增长空间。感谢您的关注。</w:t>
            </w:r>
          </w:p>
          <w:p w14:paraId="4A548956">
            <w:pPr>
              <w:spacing w:line="520" w:lineRule="exact"/>
              <w:rPr>
                <w:rFonts w:ascii="仿宋_GB2312" w:hAnsi="仿宋" w:eastAsia="仿宋_GB2312" w:cs="仿宋_GB2312"/>
                <w:b/>
                <w:bCs/>
                <w:iCs/>
                <w:color w:val="000000" w:themeColor="text1"/>
                <w:kern w:val="0"/>
                <w:sz w:val="28"/>
                <w:szCs w:val="28"/>
                <w14:textFill>
                  <w14:solidFill>
                    <w14:schemeClr w14:val="tx1"/>
                  </w14:solidFill>
                </w14:textFill>
              </w:rPr>
            </w:pPr>
            <w:r>
              <w:rPr>
                <w:rFonts w:ascii="仿宋_GB2312" w:hAnsi="仿宋" w:eastAsia="仿宋_GB2312" w:cs="仿宋_GB2312"/>
                <w:b/>
                <w:bCs/>
                <w:iCs/>
                <w:color w:val="000000" w:themeColor="text1"/>
                <w:kern w:val="0"/>
                <w:sz w:val="28"/>
                <w:szCs w:val="28"/>
                <w14:textFill>
                  <w14:solidFill>
                    <w14:schemeClr w14:val="tx1"/>
                  </w14:solidFill>
                </w14:textFill>
              </w:rPr>
              <w:t>14</w:t>
            </w:r>
            <w:r>
              <w:rPr>
                <w:rFonts w:hint="eastAsia" w:ascii="仿宋_GB2312" w:hAnsi="仿宋" w:eastAsia="仿宋_GB2312" w:cs="仿宋_GB2312"/>
                <w:b/>
                <w:bCs/>
                <w:iCs/>
                <w:color w:val="000000" w:themeColor="text1"/>
                <w:kern w:val="0"/>
                <w:sz w:val="28"/>
                <w:szCs w:val="28"/>
                <w14:textFill>
                  <w14:solidFill>
                    <w14:schemeClr w14:val="tx1"/>
                  </w14:solidFill>
                </w14:textFill>
              </w:rPr>
              <w:t>、公司的试验检测及调试服务业务取得非常亮眼的成绩，尤其是新收购的两家子公司。请问各位领导后续这块业务的市场空间如何展望，以及是否考虑在省内外收购其他公司？</w:t>
            </w:r>
          </w:p>
          <w:p w14:paraId="609EE217">
            <w:pPr>
              <w:spacing w:line="520" w:lineRule="exact"/>
              <w:ind w:firstLine="560" w:firstLineChars="200"/>
              <w:rPr>
                <w:rFonts w:ascii="仿宋_GB2312" w:eastAsia="仿宋_GB2312"/>
                <w:sz w:val="28"/>
                <w:szCs w:val="28"/>
              </w:rPr>
            </w:pPr>
            <w:r>
              <w:rPr>
                <w:rFonts w:hint="eastAsia" w:ascii="仿宋_GB2312" w:eastAsia="仿宋_GB2312"/>
                <w:sz w:val="28"/>
                <w:szCs w:val="28"/>
              </w:rPr>
              <w:t>答：尊敬的投资者，您好。试验检测业务是公司的传统优势项目，收购行业头部企业有利于公司进一步实现专业化整合，做强做优做大优势，符合公司发展战略。公司将根据经营发展需要，策划推进具体项目，并根据信息披露要求对外披露收购进展情况。 就市场空间方面，公司认为，电源侧试验检测和调试业务方面，未来将会受益于以下三个方向：一是火电机组的灵活性改造，国家发改委、能源局发文提到：到2027年存量煤电机组实现“应改尽改”，据了解，广东省仍有超过100台煤电机组未实施灵活性改造，容量超过5000万千瓦；二是新建机组调试，2022年底核准调试项目将在24-25年逐步进入工程调试阶段，初步统计仅广东省在建火电机组数量超过200台；三是煤电低碳改造，今年国家发改委、能源局印发《煤电低碳化改造建设行动方案(2024-2027年)》，对火电机组碳排放水平、煤耗等指标提出了新的要求，低碳改造业务有望起量。电网试验检测业务方面，随着公司CMA、CNAS资质的不断扩充和完善，公司的试验检测业务范围和服务区域也在逐步扩大，业务规模将保持平稳增长的良好趋势。公司会把握市场机遇，积极拓展业务，力争有更好的表现。感谢您的关注。</w:t>
            </w:r>
          </w:p>
          <w:p w14:paraId="264B1BFB">
            <w:pPr>
              <w:spacing w:line="520" w:lineRule="exact"/>
              <w:rPr>
                <w:rFonts w:ascii="仿宋_GB2312" w:hAnsi="仿宋" w:eastAsia="仿宋_GB2312" w:cs="仿宋_GB2312"/>
                <w:b/>
                <w:bCs/>
                <w:iCs/>
                <w:color w:val="000000" w:themeColor="text1"/>
                <w:kern w:val="0"/>
                <w:sz w:val="28"/>
                <w:szCs w:val="28"/>
                <w14:textFill>
                  <w14:solidFill>
                    <w14:schemeClr w14:val="tx1"/>
                  </w14:solidFill>
                </w14:textFill>
              </w:rPr>
            </w:pPr>
            <w:r>
              <w:rPr>
                <w:rFonts w:ascii="仿宋_GB2312" w:hAnsi="仿宋" w:eastAsia="仿宋_GB2312" w:cs="仿宋_GB2312"/>
                <w:b/>
                <w:bCs/>
                <w:iCs/>
                <w:color w:val="000000" w:themeColor="text1"/>
                <w:kern w:val="0"/>
                <w:sz w:val="28"/>
                <w:szCs w:val="28"/>
                <w14:textFill>
                  <w14:solidFill>
                    <w14:schemeClr w14:val="tx1"/>
                  </w14:solidFill>
                </w14:textFill>
              </w:rPr>
              <w:t>15</w:t>
            </w:r>
            <w:r>
              <w:rPr>
                <w:rFonts w:hint="eastAsia" w:ascii="仿宋_GB2312" w:hAnsi="仿宋" w:eastAsia="仿宋_GB2312" w:cs="仿宋_GB2312"/>
                <w:b/>
                <w:bCs/>
                <w:iCs/>
                <w:color w:val="000000" w:themeColor="text1"/>
                <w:kern w:val="0"/>
                <w:sz w:val="28"/>
                <w:szCs w:val="28"/>
                <w14:textFill>
                  <w14:solidFill>
                    <w14:schemeClr w14:val="tx1"/>
                  </w14:solidFill>
                </w14:textFill>
              </w:rPr>
              <w:t>、请问储能业务方面，几个国家级示范项目目前是否已经并网投运？目前储能业务的在手订单情况？</w:t>
            </w:r>
          </w:p>
          <w:p w14:paraId="303304E0">
            <w:pPr>
              <w:spacing w:line="520" w:lineRule="exact"/>
              <w:ind w:firstLine="560" w:firstLineChars="200"/>
              <w:rPr>
                <w:rFonts w:ascii="仿宋_GB2312" w:eastAsia="仿宋_GB2312"/>
                <w:sz w:val="28"/>
                <w:szCs w:val="28"/>
              </w:rPr>
            </w:pPr>
            <w:r>
              <w:rPr>
                <w:rFonts w:hint="eastAsia" w:ascii="仿宋_GB2312" w:eastAsia="仿宋_GB2312"/>
                <w:sz w:val="28"/>
                <w:szCs w:val="28"/>
              </w:rPr>
              <w:t>答：尊敬的投资者，您好。广东新型储能国家研究院有限公司纳入国家能源局新型储能试点示范项目共5个，据了解，目前项目正处于实施阶段，尚未并网投运。截止目前，公司储能业务的在手订单超5亿元。感谢您的关注。</w:t>
            </w:r>
          </w:p>
          <w:p w14:paraId="304ECD28">
            <w:pPr>
              <w:spacing w:line="520" w:lineRule="exact"/>
              <w:rPr>
                <w:rFonts w:ascii="仿宋_GB2312" w:hAnsi="仿宋" w:eastAsia="仿宋_GB2312" w:cs="仿宋_GB2312"/>
                <w:b/>
                <w:bCs/>
                <w:iCs/>
                <w:color w:val="000000" w:themeColor="text1"/>
                <w:kern w:val="0"/>
                <w:sz w:val="28"/>
                <w:szCs w:val="28"/>
                <w14:textFill>
                  <w14:solidFill>
                    <w14:schemeClr w14:val="tx1"/>
                  </w14:solidFill>
                </w14:textFill>
              </w:rPr>
            </w:pPr>
            <w:r>
              <w:rPr>
                <w:rFonts w:ascii="仿宋_GB2312" w:hAnsi="仿宋" w:eastAsia="仿宋_GB2312" w:cs="仿宋_GB2312"/>
                <w:b/>
                <w:bCs/>
                <w:iCs/>
                <w:color w:val="000000" w:themeColor="text1"/>
                <w:kern w:val="0"/>
                <w:sz w:val="28"/>
                <w:szCs w:val="28"/>
                <w14:textFill>
                  <w14:solidFill>
                    <w14:schemeClr w14:val="tx1"/>
                  </w14:solidFill>
                </w14:textFill>
              </w:rPr>
              <w:t>16</w:t>
            </w:r>
            <w:r>
              <w:rPr>
                <w:rFonts w:hint="eastAsia" w:ascii="仿宋_GB2312" w:hAnsi="仿宋" w:eastAsia="仿宋_GB2312" w:cs="仿宋_GB2312"/>
                <w:b/>
                <w:bCs/>
                <w:iCs/>
                <w:color w:val="000000" w:themeColor="text1"/>
                <w:kern w:val="0"/>
                <w:sz w:val="28"/>
                <w:szCs w:val="28"/>
                <w14:textFill>
                  <w14:solidFill>
                    <w14:schemeClr w14:val="tx1"/>
                  </w14:solidFill>
                </w14:textFill>
              </w:rPr>
              <w:t>、智能配用电设备前三季度收入高增，毛利率也持续提升。请问公司该业务相关产品在广东省内的应用比例情况怎么样？</w:t>
            </w:r>
          </w:p>
          <w:p w14:paraId="7923246D">
            <w:pPr>
              <w:pStyle w:val="2"/>
              <w:spacing w:line="520" w:lineRule="exact"/>
              <w:ind w:firstLine="560" w:firstLineChars="200"/>
              <w:rPr>
                <w:rFonts w:ascii="仿宋_GB2312" w:eastAsia="仿宋_GB2312"/>
                <w:sz w:val="28"/>
                <w:szCs w:val="28"/>
              </w:rPr>
            </w:pPr>
            <w:r>
              <w:rPr>
                <w:rFonts w:hint="eastAsia" w:ascii="仿宋_GB2312" w:eastAsia="仿宋_GB2312"/>
                <w:sz w:val="28"/>
                <w:szCs w:val="28"/>
              </w:rPr>
              <w:t>答：尊敬的投资者，您好。在公司智能配用电设备业务产品整体营收份额中，广东省占比约为75%。感谢您的关注。</w:t>
            </w:r>
          </w:p>
        </w:tc>
      </w:tr>
      <w:tr w14:paraId="2671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27" w:type="dxa"/>
            <w:tcBorders>
              <w:top w:val="single" w:color="auto" w:sz="4" w:space="0"/>
              <w:left w:val="single" w:color="auto" w:sz="4" w:space="0"/>
              <w:bottom w:val="single" w:color="auto" w:sz="4" w:space="0"/>
              <w:right w:val="single" w:color="auto" w:sz="4" w:space="0"/>
            </w:tcBorders>
            <w:vAlign w:val="center"/>
          </w:tcPr>
          <w:p w14:paraId="7B8A6753">
            <w:pPr>
              <w:spacing w:line="500" w:lineRule="exac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日期</w:t>
            </w:r>
          </w:p>
        </w:tc>
        <w:tc>
          <w:tcPr>
            <w:tcW w:w="7717" w:type="dxa"/>
            <w:tcBorders>
              <w:top w:val="single" w:color="auto" w:sz="4" w:space="0"/>
              <w:left w:val="single" w:color="auto" w:sz="4" w:space="0"/>
              <w:bottom w:val="single" w:color="auto" w:sz="4" w:space="0"/>
              <w:right w:val="single" w:color="auto" w:sz="4" w:space="0"/>
            </w:tcBorders>
            <w:vAlign w:val="center"/>
          </w:tcPr>
          <w:p w14:paraId="2D5EACE4">
            <w:pPr>
              <w:spacing w:line="500" w:lineRule="exact"/>
              <w:rPr>
                <w:rFonts w:ascii="仿宋_GB2312" w:hAnsi="仿宋_GB2312" w:eastAsia="仿宋_GB2312" w:cs="仿宋_GB2312"/>
                <w:bCs/>
                <w:iCs/>
                <w:color w:val="000000" w:themeColor="text1"/>
                <w:kern w:val="0"/>
                <w:sz w:val="28"/>
                <w:szCs w:val="28"/>
                <w14:textFill>
                  <w14:solidFill>
                    <w14:schemeClr w14:val="tx1"/>
                  </w14:solidFill>
                </w14:textFill>
              </w:rPr>
            </w:pPr>
            <w:r>
              <w:rPr>
                <w:rFonts w:hint="eastAsia" w:ascii="仿宋_GB2312" w:hAnsi="仿宋_GB2312" w:eastAsia="仿宋_GB2312" w:cs="仿宋_GB2312"/>
                <w:bCs/>
                <w:iCs/>
                <w:color w:val="000000" w:themeColor="text1"/>
                <w:kern w:val="0"/>
                <w:sz w:val="28"/>
                <w:szCs w:val="28"/>
                <w14:textFill>
                  <w14:solidFill>
                    <w14:schemeClr w14:val="tx1"/>
                  </w14:solidFill>
                </w14:textFill>
              </w:rPr>
              <w:t>2024年11月1日</w:t>
            </w:r>
          </w:p>
        </w:tc>
      </w:tr>
    </w:tbl>
    <w:p w14:paraId="66175208">
      <w:pPr>
        <w:spacing w:line="500" w:lineRule="exact"/>
        <w:rPr>
          <w:rFonts w:ascii="仿宋_GB2312" w:hAnsi="仿宋" w:eastAsia="仿宋_GB2312"/>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20C57A"/>
    <w:multiLevelType w:val="singleLevel"/>
    <w:tmpl w:val="6C20C57A"/>
    <w:lvl w:ilvl="0" w:tentative="0">
      <w:start w:val="4"/>
      <w:numFmt w:val="decimal"/>
      <w:suff w:val="space"/>
      <w:lvlText w:val="%1."/>
      <w:lvlJc w:val="left"/>
    </w:lvl>
  </w:abstractNum>
  <w:abstractNum w:abstractNumId="1">
    <w:nsid w:val="7DC380C0"/>
    <w:multiLevelType w:val="singleLevel"/>
    <w:tmpl w:val="7DC380C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yYjI1N2U4MDEzNDUyYTc5YzIxYWIzZjQ5Y2MxNzIifQ=="/>
    <w:docVar w:name="KSO_WPS_MARK_KEY" w:val="478a532b-264c-4415-b655-d78771faad33"/>
  </w:docVars>
  <w:rsids>
    <w:rsidRoot w:val="00433B8A"/>
    <w:rsid w:val="000157B9"/>
    <w:rsid w:val="000210EA"/>
    <w:rsid w:val="00024D9A"/>
    <w:rsid w:val="00032471"/>
    <w:rsid w:val="00032CD5"/>
    <w:rsid w:val="00057A3A"/>
    <w:rsid w:val="00057AEC"/>
    <w:rsid w:val="00071026"/>
    <w:rsid w:val="00072F2A"/>
    <w:rsid w:val="0007708A"/>
    <w:rsid w:val="000771F0"/>
    <w:rsid w:val="00087F56"/>
    <w:rsid w:val="00090234"/>
    <w:rsid w:val="00090DF0"/>
    <w:rsid w:val="000A0404"/>
    <w:rsid w:val="000A37FB"/>
    <w:rsid w:val="000A554C"/>
    <w:rsid w:val="000C557A"/>
    <w:rsid w:val="000D1C9A"/>
    <w:rsid w:val="000D1D84"/>
    <w:rsid w:val="000F6215"/>
    <w:rsid w:val="00105935"/>
    <w:rsid w:val="00105F89"/>
    <w:rsid w:val="00107673"/>
    <w:rsid w:val="001108D0"/>
    <w:rsid w:val="00110C5C"/>
    <w:rsid w:val="001128EB"/>
    <w:rsid w:val="00114924"/>
    <w:rsid w:val="00120C61"/>
    <w:rsid w:val="0012778E"/>
    <w:rsid w:val="00155C3D"/>
    <w:rsid w:val="0016029F"/>
    <w:rsid w:val="00177C61"/>
    <w:rsid w:val="0018075D"/>
    <w:rsid w:val="00181195"/>
    <w:rsid w:val="00190687"/>
    <w:rsid w:val="00194553"/>
    <w:rsid w:val="00197D0D"/>
    <w:rsid w:val="001A0230"/>
    <w:rsid w:val="001B3CCD"/>
    <w:rsid w:val="001D14D4"/>
    <w:rsid w:val="001D5DBA"/>
    <w:rsid w:val="001D7ECE"/>
    <w:rsid w:val="001E4FB5"/>
    <w:rsid w:val="001E58BB"/>
    <w:rsid w:val="001F0134"/>
    <w:rsid w:val="0020788C"/>
    <w:rsid w:val="00210F8E"/>
    <w:rsid w:val="002134C3"/>
    <w:rsid w:val="00214482"/>
    <w:rsid w:val="0022161F"/>
    <w:rsid w:val="00227412"/>
    <w:rsid w:val="00227AB8"/>
    <w:rsid w:val="002332E3"/>
    <w:rsid w:val="00234028"/>
    <w:rsid w:val="0023479D"/>
    <w:rsid w:val="002375C6"/>
    <w:rsid w:val="00240FF5"/>
    <w:rsid w:val="00243A7D"/>
    <w:rsid w:val="00245E9E"/>
    <w:rsid w:val="00250A97"/>
    <w:rsid w:val="0025385E"/>
    <w:rsid w:val="00267FA0"/>
    <w:rsid w:val="00274B8F"/>
    <w:rsid w:val="00275BE1"/>
    <w:rsid w:val="002836D9"/>
    <w:rsid w:val="002854AA"/>
    <w:rsid w:val="00286D84"/>
    <w:rsid w:val="002A1E06"/>
    <w:rsid w:val="002B3F6E"/>
    <w:rsid w:val="002C0208"/>
    <w:rsid w:val="002C6E8D"/>
    <w:rsid w:val="002D18EA"/>
    <w:rsid w:val="002D4B87"/>
    <w:rsid w:val="002F0F9B"/>
    <w:rsid w:val="002F28B5"/>
    <w:rsid w:val="002F4516"/>
    <w:rsid w:val="002F6F18"/>
    <w:rsid w:val="002F6F52"/>
    <w:rsid w:val="003320C6"/>
    <w:rsid w:val="003526EF"/>
    <w:rsid w:val="00355AF2"/>
    <w:rsid w:val="003617C0"/>
    <w:rsid w:val="003619DE"/>
    <w:rsid w:val="00367B7E"/>
    <w:rsid w:val="003707B2"/>
    <w:rsid w:val="003843A0"/>
    <w:rsid w:val="00384766"/>
    <w:rsid w:val="0039022F"/>
    <w:rsid w:val="00391D18"/>
    <w:rsid w:val="003A7A09"/>
    <w:rsid w:val="003B361D"/>
    <w:rsid w:val="003C3813"/>
    <w:rsid w:val="003C4948"/>
    <w:rsid w:val="003D6799"/>
    <w:rsid w:val="003D73FF"/>
    <w:rsid w:val="003E2EDE"/>
    <w:rsid w:val="003F1EFA"/>
    <w:rsid w:val="003F219C"/>
    <w:rsid w:val="00403DF5"/>
    <w:rsid w:val="00433B8A"/>
    <w:rsid w:val="00440077"/>
    <w:rsid w:val="004409AA"/>
    <w:rsid w:val="00446D80"/>
    <w:rsid w:val="00452B88"/>
    <w:rsid w:val="00472655"/>
    <w:rsid w:val="00477537"/>
    <w:rsid w:val="00481E7A"/>
    <w:rsid w:val="00482E79"/>
    <w:rsid w:val="00490F0C"/>
    <w:rsid w:val="00492309"/>
    <w:rsid w:val="00493D89"/>
    <w:rsid w:val="0049726A"/>
    <w:rsid w:val="004A110E"/>
    <w:rsid w:val="004A1835"/>
    <w:rsid w:val="004A335D"/>
    <w:rsid w:val="004B49B5"/>
    <w:rsid w:val="004C2BE1"/>
    <w:rsid w:val="004C68EA"/>
    <w:rsid w:val="004D1262"/>
    <w:rsid w:val="004E56C3"/>
    <w:rsid w:val="004E6240"/>
    <w:rsid w:val="004E7605"/>
    <w:rsid w:val="004F269C"/>
    <w:rsid w:val="004F3C24"/>
    <w:rsid w:val="005052FB"/>
    <w:rsid w:val="00515B01"/>
    <w:rsid w:val="00527E81"/>
    <w:rsid w:val="00531150"/>
    <w:rsid w:val="00547557"/>
    <w:rsid w:val="005478AF"/>
    <w:rsid w:val="00567ADA"/>
    <w:rsid w:val="0057187B"/>
    <w:rsid w:val="0058421D"/>
    <w:rsid w:val="005A6F0F"/>
    <w:rsid w:val="005B5644"/>
    <w:rsid w:val="005C57EE"/>
    <w:rsid w:val="005D5070"/>
    <w:rsid w:val="005D76EE"/>
    <w:rsid w:val="005E0101"/>
    <w:rsid w:val="005E7A0E"/>
    <w:rsid w:val="005F4071"/>
    <w:rsid w:val="006061FE"/>
    <w:rsid w:val="00611F92"/>
    <w:rsid w:val="00622D73"/>
    <w:rsid w:val="00636546"/>
    <w:rsid w:val="00640EF6"/>
    <w:rsid w:val="00646929"/>
    <w:rsid w:val="00651CF0"/>
    <w:rsid w:val="00661C79"/>
    <w:rsid w:val="00661C99"/>
    <w:rsid w:val="00661FED"/>
    <w:rsid w:val="006635E5"/>
    <w:rsid w:val="00664697"/>
    <w:rsid w:val="00673BDC"/>
    <w:rsid w:val="0067584F"/>
    <w:rsid w:val="00686434"/>
    <w:rsid w:val="006A03A2"/>
    <w:rsid w:val="006C460F"/>
    <w:rsid w:val="006C64DD"/>
    <w:rsid w:val="006D4B61"/>
    <w:rsid w:val="006D5AC0"/>
    <w:rsid w:val="006E3B43"/>
    <w:rsid w:val="006E5A33"/>
    <w:rsid w:val="006E69C0"/>
    <w:rsid w:val="006F4FD1"/>
    <w:rsid w:val="00705B01"/>
    <w:rsid w:val="00730AFF"/>
    <w:rsid w:val="00735552"/>
    <w:rsid w:val="0075479A"/>
    <w:rsid w:val="00761D8C"/>
    <w:rsid w:val="00773ED8"/>
    <w:rsid w:val="00774865"/>
    <w:rsid w:val="00781B44"/>
    <w:rsid w:val="0078356B"/>
    <w:rsid w:val="007835D2"/>
    <w:rsid w:val="007915D0"/>
    <w:rsid w:val="0079224B"/>
    <w:rsid w:val="00792CE2"/>
    <w:rsid w:val="00793E18"/>
    <w:rsid w:val="007B1163"/>
    <w:rsid w:val="007C47A7"/>
    <w:rsid w:val="007E05DD"/>
    <w:rsid w:val="007E2790"/>
    <w:rsid w:val="007F096B"/>
    <w:rsid w:val="007F4175"/>
    <w:rsid w:val="007F5EC5"/>
    <w:rsid w:val="008062F3"/>
    <w:rsid w:val="008208F7"/>
    <w:rsid w:val="00821221"/>
    <w:rsid w:val="00831078"/>
    <w:rsid w:val="00831F2C"/>
    <w:rsid w:val="008419D1"/>
    <w:rsid w:val="00846E66"/>
    <w:rsid w:val="00863009"/>
    <w:rsid w:val="00864C86"/>
    <w:rsid w:val="0086543C"/>
    <w:rsid w:val="00866C08"/>
    <w:rsid w:val="0088186D"/>
    <w:rsid w:val="008872C7"/>
    <w:rsid w:val="00895E0B"/>
    <w:rsid w:val="008B09B7"/>
    <w:rsid w:val="008B411C"/>
    <w:rsid w:val="008C0793"/>
    <w:rsid w:val="008C52F7"/>
    <w:rsid w:val="008C7232"/>
    <w:rsid w:val="0090039D"/>
    <w:rsid w:val="009033BF"/>
    <w:rsid w:val="00906B78"/>
    <w:rsid w:val="00911463"/>
    <w:rsid w:val="00917A5F"/>
    <w:rsid w:val="00924BE6"/>
    <w:rsid w:val="00933E85"/>
    <w:rsid w:val="00936241"/>
    <w:rsid w:val="00951ECC"/>
    <w:rsid w:val="00967EDA"/>
    <w:rsid w:val="0097321A"/>
    <w:rsid w:val="00984919"/>
    <w:rsid w:val="00997220"/>
    <w:rsid w:val="009A64E0"/>
    <w:rsid w:val="009B53B3"/>
    <w:rsid w:val="009D2DBF"/>
    <w:rsid w:val="009D6549"/>
    <w:rsid w:val="009E1BA3"/>
    <w:rsid w:val="009E6EE3"/>
    <w:rsid w:val="009F19F0"/>
    <w:rsid w:val="00A011A8"/>
    <w:rsid w:val="00A03098"/>
    <w:rsid w:val="00A12231"/>
    <w:rsid w:val="00A14B71"/>
    <w:rsid w:val="00A23870"/>
    <w:rsid w:val="00A23B19"/>
    <w:rsid w:val="00A25CB7"/>
    <w:rsid w:val="00A35941"/>
    <w:rsid w:val="00A44E09"/>
    <w:rsid w:val="00A60F7E"/>
    <w:rsid w:val="00A63CF6"/>
    <w:rsid w:val="00A63D3F"/>
    <w:rsid w:val="00A93930"/>
    <w:rsid w:val="00A95A13"/>
    <w:rsid w:val="00A9640E"/>
    <w:rsid w:val="00AA08AC"/>
    <w:rsid w:val="00AA2B50"/>
    <w:rsid w:val="00AB491C"/>
    <w:rsid w:val="00AC6690"/>
    <w:rsid w:val="00AE1878"/>
    <w:rsid w:val="00AF3CAB"/>
    <w:rsid w:val="00AF5215"/>
    <w:rsid w:val="00AF626F"/>
    <w:rsid w:val="00B01DDE"/>
    <w:rsid w:val="00B03762"/>
    <w:rsid w:val="00B03C77"/>
    <w:rsid w:val="00B043A8"/>
    <w:rsid w:val="00B0703B"/>
    <w:rsid w:val="00B1131E"/>
    <w:rsid w:val="00B16D1D"/>
    <w:rsid w:val="00B2643C"/>
    <w:rsid w:val="00B34B38"/>
    <w:rsid w:val="00B52A92"/>
    <w:rsid w:val="00B52FCE"/>
    <w:rsid w:val="00B62497"/>
    <w:rsid w:val="00B675C3"/>
    <w:rsid w:val="00B8282F"/>
    <w:rsid w:val="00B90A0E"/>
    <w:rsid w:val="00BA339B"/>
    <w:rsid w:val="00BA3AAF"/>
    <w:rsid w:val="00BB2A46"/>
    <w:rsid w:val="00BB4AA4"/>
    <w:rsid w:val="00BD3E5F"/>
    <w:rsid w:val="00BD5573"/>
    <w:rsid w:val="00BE7582"/>
    <w:rsid w:val="00BF4DDB"/>
    <w:rsid w:val="00C02E3C"/>
    <w:rsid w:val="00C04C4F"/>
    <w:rsid w:val="00C10834"/>
    <w:rsid w:val="00C12022"/>
    <w:rsid w:val="00C156DD"/>
    <w:rsid w:val="00C16675"/>
    <w:rsid w:val="00C30456"/>
    <w:rsid w:val="00C37FC2"/>
    <w:rsid w:val="00C50078"/>
    <w:rsid w:val="00C51BE4"/>
    <w:rsid w:val="00C62B7C"/>
    <w:rsid w:val="00C6681E"/>
    <w:rsid w:val="00C72A60"/>
    <w:rsid w:val="00C77990"/>
    <w:rsid w:val="00C77DA3"/>
    <w:rsid w:val="00C86B63"/>
    <w:rsid w:val="00C9360F"/>
    <w:rsid w:val="00C969B0"/>
    <w:rsid w:val="00CA0009"/>
    <w:rsid w:val="00CA3B79"/>
    <w:rsid w:val="00CA7BC9"/>
    <w:rsid w:val="00CB5509"/>
    <w:rsid w:val="00CB57CC"/>
    <w:rsid w:val="00CC2947"/>
    <w:rsid w:val="00CC7A2E"/>
    <w:rsid w:val="00D03F69"/>
    <w:rsid w:val="00D23EC9"/>
    <w:rsid w:val="00D26B9C"/>
    <w:rsid w:val="00D32284"/>
    <w:rsid w:val="00D3498A"/>
    <w:rsid w:val="00D506E7"/>
    <w:rsid w:val="00D65E26"/>
    <w:rsid w:val="00D745A5"/>
    <w:rsid w:val="00D75C1F"/>
    <w:rsid w:val="00D81A86"/>
    <w:rsid w:val="00D878DC"/>
    <w:rsid w:val="00D9226E"/>
    <w:rsid w:val="00DA7542"/>
    <w:rsid w:val="00DB5251"/>
    <w:rsid w:val="00DC0567"/>
    <w:rsid w:val="00DC4773"/>
    <w:rsid w:val="00DC7099"/>
    <w:rsid w:val="00DC7D7A"/>
    <w:rsid w:val="00DD1E46"/>
    <w:rsid w:val="00DD458E"/>
    <w:rsid w:val="00DD62DF"/>
    <w:rsid w:val="00DE1B1D"/>
    <w:rsid w:val="00DE3192"/>
    <w:rsid w:val="00DE7027"/>
    <w:rsid w:val="00DE73A1"/>
    <w:rsid w:val="00DF42CC"/>
    <w:rsid w:val="00DF51B7"/>
    <w:rsid w:val="00DF7202"/>
    <w:rsid w:val="00E02E9F"/>
    <w:rsid w:val="00E11E2A"/>
    <w:rsid w:val="00E360F4"/>
    <w:rsid w:val="00E420AD"/>
    <w:rsid w:val="00E432BE"/>
    <w:rsid w:val="00E43FEE"/>
    <w:rsid w:val="00E744AF"/>
    <w:rsid w:val="00E74D00"/>
    <w:rsid w:val="00E84779"/>
    <w:rsid w:val="00E85A9F"/>
    <w:rsid w:val="00E931B7"/>
    <w:rsid w:val="00E971CE"/>
    <w:rsid w:val="00E97813"/>
    <w:rsid w:val="00E97D43"/>
    <w:rsid w:val="00EA243F"/>
    <w:rsid w:val="00EA59B1"/>
    <w:rsid w:val="00EB591C"/>
    <w:rsid w:val="00EB6C83"/>
    <w:rsid w:val="00EC0186"/>
    <w:rsid w:val="00ED38EF"/>
    <w:rsid w:val="00EE00D6"/>
    <w:rsid w:val="00EF5DD1"/>
    <w:rsid w:val="00EF7F4F"/>
    <w:rsid w:val="00F06803"/>
    <w:rsid w:val="00F141F7"/>
    <w:rsid w:val="00F259E4"/>
    <w:rsid w:val="00F32E31"/>
    <w:rsid w:val="00F34E01"/>
    <w:rsid w:val="00F36904"/>
    <w:rsid w:val="00F369D3"/>
    <w:rsid w:val="00F4234C"/>
    <w:rsid w:val="00F523CA"/>
    <w:rsid w:val="00F53AE3"/>
    <w:rsid w:val="00F565CF"/>
    <w:rsid w:val="00F62869"/>
    <w:rsid w:val="00F67977"/>
    <w:rsid w:val="00F710A8"/>
    <w:rsid w:val="00F74825"/>
    <w:rsid w:val="00FA0596"/>
    <w:rsid w:val="00FB1FAA"/>
    <w:rsid w:val="00FB4D96"/>
    <w:rsid w:val="00FC65A3"/>
    <w:rsid w:val="00FD0AC0"/>
    <w:rsid w:val="00FD142E"/>
    <w:rsid w:val="00FE1488"/>
    <w:rsid w:val="00FE1DA9"/>
    <w:rsid w:val="00FE262B"/>
    <w:rsid w:val="00FE2E27"/>
    <w:rsid w:val="00FE5189"/>
    <w:rsid w:val="00FE6A0F"/>
    <w:rsid w:val="00FF1864"/>
    <w:rsid w:val="01CC1C58"/>
    <w:rsid w:val="025D6791"/>
    <w:rsid w:val="03565C23"/>
    <w:rsid w:val="07ED2455"/>
    <w:rsid w:val="08FA2D60"/>
    <w:rsid w:val="096235B7"/>
    <w:rsid w:val="098F4442"/>
    <w:rsid w:val="0D1236B7"/>
    <w:rsid w:val="0D4B3976"/>
    <w:rsid w:val="0E83485B"/>
    <w:rsid w:val="0EEC3AD2"/>
    <w:rsid w:val="11164479"/>
    <w:rsid w:val="11B1715E"/>
    <w:rsid w:val="1410774B"/>
    <w:rsid w:val="16595999"/>
    <w:rsid w:val="171A1199"/>
    <w:rsid w:val="17B17B1A"/>
    <w:rsid w:val="17DC2AAB"/>
    <w:rsid w:val="18330097"/>
    <w:rsid w:val="18443E0A"/>
    <w:rsid w:val="196C4656"/>
    <w:rsid w:val="19754BE0"/>
    <w:rsid w:val="1A4400B0"/>
    <w:rsid w:val="1AD466BE"/>
    <w:rsid w:val="1BB84490"/>
    <w:rsid w:val="1BE37821"/>
    <w:rsid w:val="1C3F545B"/>
    <w:rsid w:val="1D2773D1"/>
    <w:rsid w:val="1D791AA8"/>
    <w:rsid w:val="1F2C41CD"/>
    <w:rsid w:val="21C26A72"/>
    <w:rsid w:val="2319577A"/>
    <w:rsid w:val="266F60D7"/>
    <w:rsid w:val="26AE541C"/>
    <w:rsid w:val="27AD2E87"/>
    <w:rsid w:val="27D058EB"/>
    <w:rsid w:val="27DE6C9F"/>
    <w:rsid w:val="284D0C41"/>
    <w:rsid w:val="2865195B"/>
    <w:rsid w:val="2C55673C"/>
    <w:rsid w:val="2F1B5E7F"/>
    <w:rsid w:val="2FF92563"/>
    <w:rsid w:val="30A70048"/>
    <w:rsid w:val="30F05B71"/>
    <w:rsid w:val="31562520"/>
    <w:rsid w:val="32845C84"/>
    <w:rsid w:val="33B64B24"/>
    <w:rsid w:val="345F777F"/>
    <w:rsid w:val="369516E7"/>
    <w:rsid w:val="36C7632A"/>
    <w:rsid w:val="36F81116"/>
    <w:rsid w:val="37021484"/>
    <w:rsid w:val="3732101F"/>
    <w:rsid w:val="38027000"/>
    <w:rsid w:val="38602C35"/>
    <w:rsid w:val="3C1E7B20"/>
    <w:rsid w:val="3CFD45D1"/>
    <w:rsid w:val="3D2509DF"/>
    <w:rsid w:val="3E7E4406"/>
    <w:rsid w:val="3EA62FF0"/>
    <w:rsid w:val="3EAE34A5"/>
    <w:rsid w:val="4010669D"/>
    <w:rsid w:val="420547CA"/>
    <w:rsid w:val="430E7BED"/>
    <w:rsid w:val="431A1DCD"/>
    <w:rsid w:val="436B299A"/>
    <w:rsid w:val="44B71B5A"/>
    <w:rsid w:val="44D42631"/>
    <w:rsid w:val="45BC048A"/>
    <w:rsid w:val="46C97F66"/>
    <w:rsid w:val="472F4F9A"/>
    <w:rsid w:val="476B7293"/>
    <w:rsid w:val="47F95F8C"/>
    <w:rsid w:val="49647825"/>
    <w:rsid w:val="49A1438A"/>
    <w:rsid w:val="4A5C1CA3"/>
    <w:rsid w:val="4B1C339E"/>
    <w:rsid w:val="4B795C58"/>
    <w:rsid w:val="4BE555C1"/>
    <w:rsid w:val="4DA53FDF"/>
    <w:rsid w:val="4E5776CC"/>
    <w:rsid w:val="4ED86CDD"/>
    <w:rsid w:val="4FF31E99"/>
    <w:rsid w:val="50573E54"/>
    <w:rsid w:val="514F605D"/>
    <w:rsid w:val="52061342"/>
    <w:rsid w:val="53407E13"/>
    <w:rsid w:val="538D6B1D"/>
    <w:rsid w:val="53992A08"/>
    <w:rsid w:val="542B3EB2"/>
    <w:rsid w:val="54340F90"/>
    <w:rsid w:val="54F679A6"/>
    <w:rsid w:val="55C36311"/>
    <w:rsid w:val="59B0586A"/>
    <w:rsid w:val="5ABD3663"/>
    <w:rsid w:val="5AF22733"/>
    <w:rsid w:val="5B665683"/>
    <w:rsid w:val="5C791889"/>
    <w:rsid w:val="5CD22AC5"/>
    <w:rsid w:val="5D06706E"/>
    <w:rsid w:val="5E0E0A0B"/>
    <w:rsid w:val="5E456B54"/>
    <w:rsid w:val="604774FD"/>
    <w:rsid w:val="60BE0AAF"/>
    <w:rsid w:val="61C70117"/>
    <w:rsid w:val="62792FC2"/>
    <w:rsid w:val="62F71DCA"/>
    <w:rsid w:val="64616F3B"/>
    <w:rsid w:val="65821C66"/>
    <w:rsid w:val="66216982"/>
    <w:rsid w:val="66A316B9"/>
    <w:rsid w:val="679C050A"/>
    <w:rsid w:val="68067893"/>
    <w:rsid w:val="681D3829"/>
    <w:rsid w:val="6C3C7C37"/>
    <w:rsid w:val="6E182C8A"/>
    <w:rsid w:val="72BD7A32"/>
    <w:rsid w:val="72FF1739"/>
    <w:rsid w:val="731A4E85"/>
    <w:rsid w:val="738A0C50"/>
    <w:rsid w:val="76D2189B"/>
    <w:rsid w:val="76FE35A7"/>
    <w:rsid w:val="778557D9"/>
    <w:rsid w:val="77935B05"/>
    <w:rsid w:val="7C1B2CAB"/>
    <w:rsid w:val="7C855A65"/>
    <w:rsid w:val="7CEC1640"/>
    <w:rsid w:val="7D3557F1"/>
    <w:rsid w:val="7F367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unhideWhenUsed/>
    <w:qFormat/>
    <w:uiPriority w:val="99"/>
    <w:pPr>
      <w:spacing w:after="120"/>
    </w:pPr>
    <w:rPr>
      <w:szCs w:val="21"/>
    </w:rPr>
  </w:style>
  <w:style w:type="paragraph" w:styleId="4">
    <w:name w:val="annotation text"/>
    <w:basedOn w:val="1"/>
    <w:semiHidden/>
    <w:unhideWhenUsed/>
    <w:qFormat/>
    <w:uiPriority w:val="99"/>
    <w:pPr>
      <w:jc w:val="left"/>
    </w:pPr>
  </w:style>
  <w:style w:type="paragraph" w:styleId="5">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8">
    <w:name w:val="Title"/>
    <w:basedOn w:val="1"/>
    <w:next w:val="1"/>
    <w:link w:val="23"/>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color w:val="F73131"/>
    </w:rPr>
  </w:style>
  <w:style w:type="character" w:styleId="13">
    <w:name w:val="Hyperlink"/>
    <w:basedOn w:val="11"/>
    <w:semiHidden/>
    <w:unhideWhenUsed/>
    <w:qFormat/>
    <w:uiPriority w:val="99"/>
    <w:rPr>
      <w:color w:val="0000FF"/>
      <w:u w:val="single"/>
    </w:rPr>
  </w:style>
  <w:style w:type="character" w:styleId="14">
    <w:name w:val="annotation reference"/>
    <w:qFormat/>
    <w:uiPriority w:val="0"/>
    <w:rPr>
      <w:sz w:val="21"/>
      <w:szCs w:val="21"/>
    </w:rPr>
  </w:style>
  <w:style w:type="character" w:customStyle="1" w:styleId="15">
    <w:name w:val="页眉 字符"/>
    <w:basedOn w:val="11"/>
    <w:link w:val="6"/>
    <w:qFormat/>
    <w:uiPriority w:val="99"/>
    <w:rPr>
      <w:sz w:val="18"/>
      <w:szCs w:val="18"/>
    </w:rPr>
  </w:style>
  <w:style w:type="character" w:customStyle="1" w:styleId="16">
    <w:name w:val="页脚 字符"/>
    <w:basedOn w:val="11"/>
    <w:link w:val="5"/>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005正文"/>
    <w:basedOn w:val="1"/>
    <w:link w:val="19"/>
    <w:qFormat/>
    <w:uiPriority w:val="0"/>
    <w:pPr>
      <w:spacing w:beforeLines="50" w:line="360" w:lineRule="auto"/>
      <w:ind w:firstLine="200" w:firstLineChars="200"/>
    </w:pPr>
    <w:rPr>
      <w:sz w:val="24"/>
      <w:szCs w:val="22"/>
    </w:rPr>
  </w:style>
  <w:style w:type="character" w:customStyle="1" w:styleId="19">
    <w:name w:val="005正文 Char Char"/>
    <w:link w:val="18"/>
    <w:qFormat/>
    <w:uiPriority w:val="0"/>
    <w:rPr>
      <w:rFonts w:ascii="Times New Roman" w:hAnsi="Times New Roman" w:eastAsia="宋体" w:cs="Times New Roman"/>
      <w:sz w:val="24"/>
    </w:rPr>
  </w:style>
  <w:style w:type="character" w:customStyle="1" w:styleId="20">
    <w:name w:val="005正文 Char"/>
    <w:qFormat/>
    <w:uiPriority w:val="0"/>
    <w:rPr>
      <w:kern w:val="2"/>
      <w:sz w:val="24"/>
      <w:szCs w:val="22"/>
    </w:rPr>
  </w:style>
  <w:style w:type="paragraph" w:styleId="21">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2">
    <w:name w:val="正文文本 字符"/>
    <w:basedOn w:val="11"/>
    <w:link w:val="2"/>
    <w:qFormat/>
    <w:uiPriority w:val="99"/>
    <w:rPr>
      <w:kern w:val="2"/>
      <w:sz w:val="21"/>
      <w:szCs w:val="21"/>
    </w:rPr>
  </w:style>
  <w:style w:type="character" w:customStyle="1" w:styleId="23">
    <w:name w:val="标题 字符"/>
    <w:basedOn w:val="11"/>
    <w:link w:val="8"/>
    <w:qFormat/>
    <w:uiPriority w:val="1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5024</Words>
  <Characters>5354</Characters>
  <Lines>39</Lines>
  <Paragraphs>11</Paragraphs>
  <TotalTime>74</TotalTime>
  <ScaleCrop>false</ScaleCrop>
  <LinksUpToDate>false</LinksUpToDate>
  <CharactersWithSpaces>5476</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2024-11-04T00:22:00Z</dcterms:created>
  <dc:creator>sk</dc:creator>
  <cp:lastModifiedBy>莫廷婷</cp:lastModifiedBy>
  <cp:lastPrinted>2024-11-03T05:11:00Z</cp:lastPrinted>
  <dcterms:modified xsi:type="dcterms:W3CDTF">2024-11-04T02:15:48Z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CA497EE1AE22445D9F7E2526E71CF747_13</vt:lpwstr>
  </property>
</Properties>
</file>