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77874">
      <w:pPr>
        <w:spacing w:before="156" w:beforeLines="50"/>
        <w:jc w:val="center"/>
        <w:rPr>
          <w:rFonts w:hint="eastAsia" w:ascii="宋体" w:hAnsi="宋体"/>
          <w:b/>
          <w:bCs/>
          <w:iCs/>
          <w:color w:val="000000"/>
          <w:sz w:val="36"/>
          <w:szCs w:val="36"/>
        </w:rPr>
      </w:pPr>
      <w:r>
        <w:rPr>
          <w:rFonts w:hint="eastAsia" w:ascii="宋体" w:hAnsi="宋体"/>
          <w:b/>
          <w:bCs/>
          <w:iCs/>
          <w:color w:val="000000"/>
          <w:sz w:val="36"/>
          <w:szCs w:val="36"/>
        </w:rPr>
        <w:t>海南矿业股份有限公司</w:t>
      </w:r>
    </w:p>
    <w:p w14:paraId="32405577">
      <w:pPr>
        <w:jc w:val="center"/>
        <w:rPr>
          <w:rFonts w:hint="eastAsia" w:ascii="宋体" w:hAnsi="宋体"/>
          <w:b/>
          <w:bCs/>
          <w:iCs/>
          <w:color w:val="000000"/>
          <w:sz w:val="36"/>
          <w:szCs w:val="36"/>
        </w:rPr>
      </w:pPr>
      <w:r>
        <w:rPr>
          <w:rFonts w:hint="eastAsia" w:ascii="宋体" w:hAnsi="宋体"/>
          <w:b/>
          <w:bCs/>
          <w:iCs/>
          <w:color w:val="000000"/>
          <w:sz w:val="36"/>
          <w:szCs w:val="36"/>
        </w:rPr>
        <w:t>投资者关系活动记录表</w:t>
      </w:r>
    </w:p>
    <w:p w14:paraId="37DA9B8F">
      <w:pPr>
        <w:spacing w:line="400" w:lineRule="exact"/>
        <w:rPr>
          <w:rFonts w:hint="eastAsia" w:ascii="宋体" w:hAnsi="宋体"/>
          <w:bCs/>
          <w:iCs/>
          <w:color w:val="000000"/>
          <w:sz w:val="24"/>
        </w:rPr>
      </w:pPr>
      <w:r>
        <w:rPr>
          <w:rFonts w:hint="eastAsia" w:ascii="宋体" w:hAnsi="宋体"/>
          <w:bCs/>
          <w:iCs/>
          <w:color w:val="000000"/>
          <w:sz w:val="24"/>
        </w:rPr>
        <w:t xml:space="preserve">                                                        编号：20</w:t>
      </w:r>
      <w:r>
        <w:rPr>
          <w:rFonts w:ascii="宋体" w:hAnsi="宋体"/>
          <w:bCs/>
          <w:iCs/>
          <w:color w:val="000000"/>
          <w:sz w:val="24"/>
        </w:rPr>
        <w:t>2</w:t>
      </w:r>
      <w:r>
        <w:rPr>
          <w:rFonts w:hint="eastAsia" w:ascii="宋体" w:hAnsi="宋体"/>
          <w:bCs/>
          <w:iCs/>
          <w:color w:val="000000"/>
          <w:sz w:val="24"/>
        </w:rPr>
        <w:t>4-0</w:t>
      </w:r>
      <w:r>
        <w:rPr>
          <w:rFonts w:hint="eastAsia" w:ascii="宋体" w:hAnsi="宋体"/>
          <w:bCs/>
          <w:iCs/>
          <w:color w:val="000000"/>
          <w:sz w:val="24"/>
          <w:lang w:val="en-US" w:eastAsia="zh-CN"/>
        </w:rPr>
        <w:t>0</w:t>
      </w:r>
      <w:bookmarkStart w:id="0" w:name="_GoBack"/>
      <w:bookmarkEnd w:id="0"/>
      <w:r>
        <w:rPr>
          <w:rFonts w:hint="eastAsia" w:ascii="宋体" w:hAnsi="宋体"/>
          <w:bCs/>
          <w:iCs/>
          <w:color w:val="000000"/>
          <w:sz w:val="24"/>
        </w:rPr>
        <w:t>5</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7175"/>
      </w:tblGrid>
      <w:tr w14:paraId="41401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pct"/>
            <w:tcBorders>
              <w:top w:val="single" w:color="auto" w:sz="4" w:space="0"/>
              <w:left w:val="single" w:color="auto" w:sz="4" w:space="0"/>
              <w:bottom w:val="single" w:color="auto" w:sz="4" w:space="0"/>
              <w:right w:val="single" w:color="auto" w:sz="4" w:space="0"/>
            </w:tcBorders>
            <w:vAlign w:val="center"/>
          </w:tcPr>
          <w:p w14:paraId="762162F8">
            <w:pPr>
              <w:spacing w:before="93" w:beforeLines="30" w:after="93" w:afterLines="30" w:line="380" w:lineRule="exact"/>
              <w:jc w:val="center"/>
              <w:rPr>
                <w:rFonts w:hint="eastAsia" w:ascii="宋体" w:hAnsi="宋体"/>
                <w:bCs/>
                <w:iCs/>
                <w:color w:val="000000"/>
                <w:sz w:val="24"/>
              </w:rPr>
            </w:pPr>
            <w:r>
              <w:rPr>
                <w:rFonts w:hint="eastAsia" w:ascii="宋体" w:hAnsi="宋体"/>
                <w:bCs/>
                <w:iCs/>
                <w:color w:val="000000"/>
                <w:sz w:val="24"/>
              </w:rPr>
              <w:t>投资者关系活动类别</w:t>
            </w:r>
          </w:p>
        </w:tc>
        <w:tc>
          <w:tcPr>
            <w:tcW w:w="4207" w:type="pct"/>
            <w:tcBorders>
              <w:top w:val="single" w:color="auto" w:sz="4" w:space="0"/>
              <w:left w:val="single" w:color="auto" w:sz="4" w:space="0"/>
              <w:bottom w:val="single" w:color="auto" w:sz="4" w:space="0"/>
              <w:right w:val="single" w:color="auto" w:sz="4" w:space="0"/>
            </w:tcBorders>
            <w:vAlign w:val="center"/>
          </w:tcPr>
          <w:p w14:paraId="3C7E05D0">
            <w:pPr>
              <w:spacing w:before="93" w:beforeLines="30" w:after="93" w:afterLines="30"/>
              <w:rPr>
                <w:rFonts w:hint="eastAsia" w:ascii="宋体" w:hAnsi="宋体"/>
                <w:bCs/>
                <w:iCs/>
                <w:sz w:val="24"/>
              </w:rPr>
            </w:pPr>
            <w:r>
              <w:rPr>
                <w:rFonts w:hint="eastAsia" w:ascii="宋体" w:hAnsi="宋体"/>
                <w:bCs/>
                <w:iCs/>
                <w:color w:val="000000"/>
                <w:sz w:val="24"/>
              </w:rPr>
              <w:t>□</w:t>
            </w:r>
            <w:r>
              <w:rPr>
                <w:rFonts w:hint="eastAsia" w:ascii="宋体" w:hAnsi="宋体"/>
                <w:sz w:val="24"/>
              </w:rPr>
              <w:t xml:space="preserve">特定对象调研        </w:t>
            </w:r>
            <w:r>
              <w:rPr>
                <w:rFonts w:ascii="宋体" w:hAnsi="宋体"/>
                <w:sz w:val="24"/>
              </w:rPr>
              <w:t xml:space="preserve">  </w:t>
            </w:r>
            <w:r>
              <w:rPr>
                <w:rFonts w:hint="eastAsia" w:ascii="宋体" w:hAnsi="宋体"/>
                <w:bCs/>
                <w:iCs/>
                <w:sz w:val="24"/>
              </w:rPr>
              <w:t>□</w:t>
            </w:r>
            <w:r>
              <w:rPr>
                <w:rFonts w:hint="eastAsia" w:ascii="宋体" w:hAnsi="宋体"/>
                <w:sz w:val="24"/>
              </w:rPr>
              <w:t>分析师会议</w:t>
            </w:r>
          </w:p>
          <w:p w14:paraId="6B34A619">
            <w:pPr>
              <w:spacing w:before="93" w:beforeLines="30" w:after="93" w:afterLines="30"/>
              <w:rPr>
                <w:rFonts w:hint="eastAsia" w:ascii="宋体" w:hAnsi="宋体"/>
                <w:bCs/>
                <w:iCs/>
                <w:sz w:val="24"/>
              </w:rPr>
            </w:pPr>
            <w:r>
              <w:rPr>
                <w:rFonts w:hint="eastAsia" w:ascii="宋体" w:hAnsi="宋体"/>
                <w:bCs/>
                <w:iCs/>
                <w:sz w:val="24"/>
              </w:rPr>
              <w:t>□</w:t>
            </w:r>
            <w:r>
              <w:rPr>
                <w:rFonts w:hint="eastAsia" w:ascii="宋体" w:hAnsi="宋体"/>
                <w:sz w:val="24"/>
              </w:rPr>
              <w:t xml:space="preserve">媒体采访             </w:t>
            </w:r>
            <w:r>
              <w:rPr>
                <w:rFonts w:ascii="宋体" w:hAnsi="宋体"/>
                <w:sz w:val="24"/>
              </w:rPr>
              <w:t xml:space="preserve"> </w:t>
            </w:r>
            <w:r>
              <w:rPr>
                <w:rFonts w:hint="eastAsia" w:ascii="宋体" w:hAnsi="宋体"/>
                <w:bCs/>
                <w:iCs/>
                <w:color w:val="000000"/>
                <w:sz w:val="24"/>
              </w:rPr>
              <w:t>√</w:t>
            </w:r>
            <w:r>
              <w:rPr>
                <w:rFonts w:hint="eastAsia" w:ascii="宋体" w:hAnsi="宋体"/>
                <w:sz w:val="24"/>
              </w:rPr>
              <w:t>业绩说明会</w:t>
            </w:r>
          </w:p>
          <w:p w14:paraId="31C069D4">
            <w:pPr>
              <w:spacing w:before="93" w:beforeLines="30" w:after="93" w:afterLines="30"/>
              <w:rPr>
                <w:rFonts w:hint="eastAsia" w:ascii="宋体" w:hAnsi="宋体"/>
                <w:bCs/>
                <w:iCs/>
                <w:sz w:val="24"/>
              </w:rPr>
            </w:pPr>
            <w:r>
              <w:rPr>
                <w:rFonts w:hint="eastAsia" w:ascii="宋体" w:hAnsi="宋体"/>
                <w:bCs/>
                <w:iCs/>
                <w:sz w:val="24"/>
              </w:rPr>
              <w:t>□</w:t>
            </w:r>
            <w:r>
              <w:rPr>
                <w:rFonts w:hint="eastAsia" w:ascii="宋体" w:hAnsi="宋体"/>
                <w:sz w:val="24"/>
              </w:rPr>
              <w:t xml:space="preserve">新闻发布会          </w:t>
            </w:r>
            <w:r>
              <w:rPr>
                <w:rFonts w:ascii="宋体" w:hAnsi="宋体"/>
                <w:sz w:val="24"/>
              </w:rPr>
              <w:t xml:space="preserve"> </w:t>
            </w:r>
            <w:r>
              <w:rPr>
                <w:rFonts w:hint="eastAsia" w:ascii="宋体" w:hAnsi="宋体"/>
                <w:sz w:val="24"/>
              </w:rPr>
              <w:t xml:space="preserve"> </w:t>
            </w:r>
            <w:r>
              <w:rPr>
                <w:rFonts w:hint="eastAsia" w:ascii="宋体" w:hAnsi="宋体"/>
                <w:bCs/>
                <w:iCs/>
                <w:sz w:val="24"/>
              </w:rPr>
              <w:t>□</w:t>
            </w:r>
            <w:r>
              <w:rPr>
                <w:rFonts w:hint="eastAsia" w:ascii="宋体" w:hAnsi="宋体"/>
                <w:sz w:val="24"/>
              </w:rPr>
              <w:t>路演活动</w:t>
            </w:r>
          </w:p>
          <w:p w14:paraId="742C75FF">
            <w:pPr>
              <w:tabs>
                <w:tab w:val="left" w:pos="3045"/>
                <w:tab w:val="center" w:pos="3199"/>
              </w:tabs>
              <w:spacing w:before="93" w:beforeLines="30" w:after="93" w:afterLines="30"/>
              <w:rPr>
                <w:rFonts w:hint="eastAsia" w:ascii="宋体" w:hAnsi="宋体"/>
                <w:bCs/>
                <w:iCs/>
                <w:color w:val="000000"/>
                <w:sz w:val="24"/>
              </w:rPr>
            </w:pPr>
            <w:r>
              <w:rPr>
                <w:rFonts w:hint="eastAsia" w:ascii="宋体" w:hAnsi="宋体"/>
                <w:bCs/>
                <w:iCs/>
                <w:color w:val="000000"/>
                <w:sz w:val="24"/>
              </w:rPr>
              <w:t>□</w:t>
            </w:r>
            <w:r>
              <w:rPr>
                <w:rFonts w:hint="eastAsia" w:ascii="宋体" w:hAnsi="宋体"/>
                <w:sz w:val="24"/>
              </w:rPr>
              <w:t xml:space="preserve">现场参观             </w:t>
            </w:r>
            <w:r>
              <w:rPr>
                <w:rFonts w:ascii="宋体" w:hAnsi="宋体"/>
                <w:sz w:val="24"/>
              </w:rPr>
              <w:t xml:space="preserve"> </w:t>
            </w:r>
            <w:r>
              <w:rPr>
                <w:rFonts w:hint="eastAsia" w:ascii="宋体" w:hAnsi="宋体"/>
                <w:bCs/>
                <w:iCs/>
                <w:sz w:val="24"/>
              </w:rPr>
              <w:t>□</w:t>
            </w:r>
            <w:r>
              <w:rPr>
                <w:rFonts w:hint="eastAsia" w:ascii="宋体" w:hAnsi="宋体"/>
                <w:sz w:val="24"/>
              </w:rPr>
              <w:t>电话会议</w:t>
            </w:r>
            <w:r>
              <w:rPr>
                <w:rFonts w:hint="eastAsia" w:ascii="宋体" w:hAnsi="宋体"/>
                <w:bCs/>
                <w:iCs/>
                <w:color w:val="000000"/>
                <w:sz w:val="24"/>
              </w:rPr>
              <w:tab/>
            </w:r>
          </w:p>
          <w:p w14:paraId="055E66EE">
            <w:pPr>
              <w:tabs>
                <w:tab w:val="center" w:pos="3199"/>
              </w:tabs>
              <w:spacing w:before="93" w:beforeLines="30" w:after="93" w:afterLines="30"/>
              <w:rPr>
                <w:rFonts w:hint="eastAsia" w:ascii="宋体" w:hAnsi="宋体"/>
                <w:bCs/>
                <w:iCs/>
                <w:color w:val="000000"/>
                <w:sz w:val="24"/>
              </w:rPr>
            </w:pPr>
            <w:r>
              <w:rPr>
                <w:rFonts w:hint="eastAsia" w:ascii="宋体" w:hAnsi="宋体"/>
                <w:bCs/>
                <w:iCs/>
                <w:color w:val="000000"/>
                <w:sz w:val="24"/>
              </w:rPr>
              <w:t>□</w:t>
            </w:r>
            <w:r>
              <w:rPr>
                <w:rFonts w:hint="eastAsia" w:ascii="宋体" w:hAnsi="宋体"/>
                <w:sz w:val="24"/>
              </w:rPr>
              <w:t xml:space="preserve">其他 </w:t>
            </w:r>
            <w:r>
              <w:rPr>
                <w:rFonts w:hint="eastAsia" w:ascii="宋体" w:hAnsi="宋体"/>
                <w:sz w:val="24"/>
                <w:u w:val="single"/>
              </w:rPr>
              <w:t xml:space="preserve">         </w:t>
            </w:r>
          </w:p>
        </w:tc>
      </w:tr>
      <w:tr w14:paraId="32BF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792" w:type="pct"/>
            <w:tcBorders>
              <w:top w:val="single" w:color="auto" w:sz="4" w:space="0"/>
              <w:left w:val="single" w:color="auto" w:sz="4" w:space="0"/>
              <w:bottom w:val="single" w:color="auto" w:sz="4" w:space="0"/>
              <w:right w:val="single" w:color="auto" w:sz="4" w:space="0"/>
            </w:tcBorders>
            <w:vAlign w:val="center"/>
          </w:tcPr>
          <w:p w14:paraId="09725D45">
            <w:pPr>
              <w:spacing w:before="93" w:beforeLines="30" w:after="93" w:afterLines="30" w:line="380" w:lineRule="exact"/>
              <w:jc w:val="center"/>
              <w:rPr>
                <w:rFonts w:hint="eastAsia" w:ascii="宋体" w:hAnsi="宋体"/>
                <w:bCs/>
                <w:iCs/>
                <w:color w:val="000000"/>
                <w:sz w:val="24"/>
              </w:rPr>
            </w:pPr>
            <w:r>
              <w:rPr>
                <w:rFonts w:hint="eastAsia" w:ascii="宋体" w:hAnsi="宋体"/>
                <w:bCs/>
                <w:iCs/>
                <w:color w:val="000000"/>
                <w:sz w:val="24"/>
              </w:rPr>
              <w:t>参与单位</w:t>
            </w:r>
          </w:p>
        </w:tc>
        <w:tc>
          <w:tcPr>
            <w:tcW w:w="4207" w:type="pct"/>
            <w:tcBorders>
              <w:top w:val="single" w:color="auto" w:sz="4" w:space="0"/>
              <w:left w:val="single" w:color="auto" w:sz="4" w:space="0"/>
              <w:bottom w:val="single" w:color="auto" w:sz="4" w:space="0"/>
              <w:right w:val="single" w:color="auto" w:sz="4" w:space="0"/>
            </w:tcBorders>
            <w:vAlign w:val="center"/>
          </w:tcPr>
          <w:p w14:paraId="17367857">
            <w:pPr>
              <w:spacing w:before="93" w:beforeLines="30" w:after="93" w:afterLines="30" w:line="360" w:lineRule="exact"/>
              <w:rPr>
                <w:rFonts w:hint="eastAsia" w:ascii="宋体" w:hAnsi="宋体"/>
                <w:bCs/>
                <w:iCs/>
                <w:sz w:val="24"/>
              </w:rPr>
            </w:pPr>
            <w:r>
              <w:rPr>
                <w:rFonts w:hint="eastAsia" w:ascii="宋体" w:hAnsi="宋体"/>
                <w:bCs/>
                <w:iCs/>
                <w:sz w:val="24"/>
              </w:rPr>
              <w:t>耕霁(上海)投资、深圳创富兆业金融管理、首钢基金、上海万丰友方投资、杉树资产、上海贵源投资、青骊投资管理、中天汇富基金、上海天猊投资、华曦资本等机构投资者及个人投资者</w:t>
            </w:r>
          </w:p>
          <w:p w14:paraId="316C838F">
            <w:pPr>
              <w:spacing w:before="93" w:beforeLines="30" w:after="93" w:afterLines="30" w:line="360" w:lineRule="exact"/>
              <w:rPr>
                <w:rFonts w:hint="eastAsia" w:ascii="宋体" w:hAnsi="宋体"/>
                <w:bCs/>
                <w:iCs/>
                <w:sz w:val="24"/>
              </w:rPr>
            </w:pPr>
            <w:r>
              <w:rPr>
                <w:rFonts w:hint="eastAsia" w:ascii="宋体" w:hAnsi="宋体"/>
                <w:bCs/>
                <w:iCs/>
                <w:sz w:val="24"/>
              </w:rPr>
              <w:t>海通证券、国投证券、华福证券、华创证券、申银万国证券、德邦证券、天风证券、东吴证券、中信证券、国盛证券、太平洋证券等分析师（排名不分先后）</w:t>
            </w:r>
          </w:p>
        </w:tc>
      </w:tr>
      <w:tr w14:paraId="0DC6C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92" w:type="pct"/>
            <w:tcBorders>
              <w:top w:val="single" w:color="auto" w:sz="4" w:space="0"/>
              <w:left w:val="single" w:color="auto" w:sz="4" w:space="0"/>
              <w:bottom w:val="single" w:color="auto" w:sz="4" w:space="0"/>
              <w:right w:val="single" w:color="auto" w:sz="4" w:space="0"/>
            </w:tcBorders>
            <w:vAlign w:val="center"/>
          </w:tcPr>
          <w:p w14:paraId="4358FE22">
            <w:pPr>
              <w:spacing w:before="93" w:beforeLines="30" w:after="93" w:afterLines="30" w:line="380" w:lineRule="exact"/>
              <w:jc w:val="center"/>
              <w:rPr>
                <w:rFonts w:hint="eastAsia" w:ascii="宋体" w:hAnsi="宋体"/>
                <w:bCs/>
                <w:iCs/>
                <w:color w:val="000000"/>
                <w:sz w:val="24"/>
              </w:rPr>
            </w:pPr>
            <w:r>
              <w:rPr>
                <w:rFonts w:hint="eastAsia" w:ascii="宋体" w:hAnsi="宋体"/>
                <w:bCs/>
                <w:iCs/>
                <w:color w:val="000000"/>
                <w:sz w:val="24"/>
              </w:rPr>
              <w:t>时    间</w:t>
            </w:r>
          </w:p>
        </w:tc>
        <w:tc>
          <w:tcPr>
            <w:tcW w:w="4207" w:type="pct"/>
            <w:tcBorders>
              <w:top w:val="single" w:color="auto" w:sz="4" w:space="0"/>
              <w:left w:val="single" w:color="auto" w:sz="4" w:space="0"/>
              <w:bottom w:val="single" w:color="auto" w:sz="4" w:space="0"/>
              <w:right w:val="single" w:color="auto" w:sz="4" w:space="0"/>
            </w:tcBorders>
            <w:vAlign w:val="center"/>
          </w:tcPr>
          <w:p w14:paraId="78D2F0B7">
            <w:pPr>
              <w:spacing w:before="93" w:beforeLines="30" w:after="93" w:afterLines="30"/>
              <w:rPr>
                <w:rFonts w:hint="eastAsia" w:ascii="宋体" w:hAnsi="宋体"/>
                <w:bCs/>
                <w:iCs/>
                <w:color w:val="000000"/>
                <w:sz w:val="24"/>
              </w:rPr>
            </w:pPr>
            <w:r>
              <w:rPr>
                <w:rFonts w:hint="eastAsia" w:ascii="宋体" w:hAnsi="宋体"/>
                <w:bCs/>
                <w:iCs/>
                <w:color w:val="000000"/>
                <w:sz w:val="24"/>
              </w:rPr>
              <w:t>2024年10月31日 15:30-16:30  2024年第三季度业绩说明会</w:t>
            </w:r>
          </w:p>
        </w:tc>
      </w:tr>
      <w:tr w14:paraId="20922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92" w:type="pct"/>
            <w:tcBorders>
              <w:top w:val="single" w:color="auto" w:sz="4" w:space="0"/>
              <w:left w:val="single" w:color="auto" w:sz="4" w:space="0"/>
              <w:bottom w:val="single" w:color="auto" w:sz="4" w:space="0"/>
              <w:right w:val="single" w:color="auto" w:sz="4" w:space="0"/>
            </w:tcBorders>
            <w:vAlign w:val="center"/>
          </w:tcPr>
          <w:p w14:paraId="299B72AF">
            <w:pPr>
              <w:spacing w:before="93" w:beforeLines="30" w:after="93" w:afterLines="30" w:line="380" w:lineRule="exact"/>
              <w:jc w:val="center"/>
              <w:rPr>
                <w:rFonts w:hint="eastAsia" w:ascii="宋体" w:hAnsi="宋体"/>
                <w:bCs/>
                <w:iCs/>
                <w:sz w:val="24"/>
              </w:rPr>
            </w:pPr>
            <w:r>
              <w:rPr>
                <w:rFonts w:hint="eastAsia" w:ascii="宋体" w:hAnsi="宋体"/>
                <w:bCs/>
                <w:iCs/>
                <w:sz w:val="24"/>
              </w:rPr>
              <w:t>地    点/沟通方式</w:t>
            </w:r>
          </w:p>
        </w:tc>
        <w:tc>
          <w:tcPr>
            <w:tcW w:w="4207" w:type="pct"/>
            <w:tcBorders>
              <w:top w:val="single" w:color="auto" w:sz="4" w:space="0"/>
              <w:left w:val="single" w:color="auto" w:sz="4" w:space="0"/>
              <w:bottom w:val="single" w:color="auto" w:sz="4" w:space="0"/>
              <w:right w:val="single" w:color="auto" w:sz="4" w:space="0"/>
            </w:tcBorders>
            <w:vAlign w:val="center"/>
          </w:tcPr>
          <w:p w14:paraId="71FAF209">
            <w:pPr>
              <w:spacing w:before="93" w:beforeLines="30" w:after="93" w:afterLines="30"/>
              <w:rPr>
                <w:rFonts w:hint="eastAsia" w:ascii="宋体" w:hAnsi="宋体"/>
                <w:bCs/>
                <w:iCs/>
                <w:sz w:val="24"/>
              </w:rPr>
            </w:pPr>
            <w:r>
              <w:rPr>
                <w:rFonts w:hint="eastAsia" w:ascii="宋体" w:hAnsi="宋体"/>
                <w:bCs/>
                <w:iCs/>
                <w:sz w:val="24"/>
              </w:rPr>
              <w:t>线上会议/进门财经</w:t>
            </w:r>
          </w:p>
        </w:tc>
      </w:tr>
      <w:tr w14:paraId="36C7C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pct"/>
            <w:tcBorders>
              <w:top w:val="single" w:color="auto" w:sz="4" w:space="0"/>
              <w:left w:val="single" w:color="auto" w:sz="4" w:space="0"/>
              <w:bottom w:val="single" w:color="auto" w:sz="4" w:space="0"/>
              <w:right w:val="single" w:color="auto" w:sz="4" w:space="0"/>
            </w:tcBorders>
            <w:vAlign w:val="center"/>
          </w:tcPr>
          <w:p w14:paraId="0F218EEB">
            <w:pPr>
              <w:spacing w:before="93" w:beforeLines="30" w:after="93" w:afterLines="30" w:line="380" w:lineRule="exact"/>
              <w:jc w:val="center"/>
              <w:rPr>
                <w:rFonts w:hint="eastAsia" w:ascii="宋体" w:hAnsi="宋体"/>
                <w:bCs/>
                <w:iCs/>
                <w:color w:val="000000"/>
                <w:sz w:val="24"/>
              </w:rPr>
            </w:pPr>
            <w:r>
              <w:rPr>
                <w:rFonts w:hint="eastAsia" w:ascii="宋体" w:hAnsi="宋体"/>
                <w:bCs/>
                <w:iCs/>
                <w:color w:val="000000"/>
                <w:sz w:val="24"/>
              </w:rPr>
              <w:t>上市公司参与人员</w:t>
            </w:r>
          </w:p>
        </w:tc>
        <w:tc>
          <w:tcPr>
            <w:tcW w:w="4207" w:type="pct"/>
            <w:tcBorders>
              <w:top w:val="single" w:color="auto" w:sz="4" w:space="0"/>
              <w:left w:val="single" w:color="auto" w:sz="4" w:space="0"/>
              <w:bottom w:val="single" w:color="auto" w:sz="4" w:space="0"/>
              <w:right w:val="single" w:color="auto" w:sz="4" w:space="0"/>
            </w:tcBorders>
            <w:shd w:val="clear" w:color="auto" w:fill="auto"/>
            <w:vAlign w:val="center"/>
          </w:tcPr>
          <w:p w14:paraId="20588790">
            <w:pPr>
              <w:spacing w:before="93" w:beforeLines="30" w:after="93" w:afterLines="30" w:line="400" w:lineRule="exact"/>
              <w:rPr>
                <w:rFonts w:hint="eastAsia" w:ascii="宋体" w:hAnsi="宋体"/>
                <w:bCs/>
                <w:iCs/>
                <w:color w:val="000000"/>
                <w:sz w:val="24"/>
              </w:rPr>
            </w:pPr>
            <w:r>
              <w:rPr>
                <w:rFonts w:hint="eastAsia" w:ascii="宋体" w:hAnsi="宋体"/>
                <w:bCs/>
                <w:iCs/>
                <w:color w:val="000000"/>
                <w:sz w:val="24"/>
              </w:rPr>
              <w:t>副总裁、董事会秘书            何  婧</w:t>
            </w:r>
          </w:p>
          <w:p w14:paraId="494DD971">
            <w:pPr>
              <w:spacing w:before="93" w:beforeLines="30" w:after="93" w:afterLines="30" w:line="400" w:lineRule="exact"/>
              <w:rPr>
                <w:rFonts w:hint="eastAsia" w:ascii="宋体" w:hAnsi="宋体"/>
                <w:bCs/>
                <w:iCs/>
                <w:sz w:val="24"/>
              </w:rPr>
            </w:pPr>
            <w:r>
              <w:rPr>
                <w:rFonts w:hint="eastAsia" w:ascii="宋体" w:hAnsi="宋体"/>
                <w:bCs/>
                <w:iCs/>
                <w:color w:val="000000"/>
                <w:sz w:val="24"/>
              </w:rPr>
              <w:t>副总裁、财务总监              朱  彤</w:t>
            </w:r>
          </w:p>
        </w:tc>
      </w:tr>
      <w:tr w14:paraId="029B6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792" w:type="pct"/>
            <w:tcBorders>
              <w:top w:val="single" w:color="auto" w:sz="4" w:space="0"/>
              <w:left w:val="single" w:color="auto" w:sz="4" w:space="0"/>
              <w:bottom w:val="single" w:color="auto" w:sz="4" w:space="0"/>
              <w:right w:val="single" w:color="auto" w:sz="4" w:space="0"/>
            </w:tcBorders>
            <w:vAlign w:val="center"/>
          </w:tcPr>
          <w:p w14:paraId="0106357A">
            <w:pPr>
              <w:spacing w:before="93" w:beforeLines="30" w:after="93" w:afterLines="30" w:line="380" w:lineRule="exact"/>
              <w:jc w:val="center"/>
              <w:rPr>
                <w:rFonts w:hint="eastAsia" w:ascii="宋体" w:hAnsi="宋体"/>
                <w:bCs/>
                <w:iCs/>
                <w:color w:val="000000"/>
                <w:sz w:val="24"/>
              </w:rPr>
            </w:pPr>
            <w:r>
              <w:rPr>
                <w:rFonts w:hint="eastAsia" w:ascii="宋体" w:hAnsi="宋体"/>
                <w:bCs/>
                <w:iCs/>
                <w:color w:val="000000"/>
                <w:sz w:val="24"/>
              </w:rPr>
              <w:t>投资者关系活动主要内容介绍</w:t>
            </w:r>
          </w:p>
        </w:tc>
        <w:tc>
          <w:tcPr>
            <w:tcW w:w="4207" w:type="pct"/>
            <w:tcBorders>
              <w:top w:val="single" w:color="auto" w:sz="4" w:space="0"/>
              <w:left w:val="single" w:color="auto" w:sz="4" w:space="0"/>
              <w:bottom w:val="single" w:color="auto" w:sz="4" w:space="0"/>
              <w:right w:val="single" w:color="auto" w:sz="4" w:space="0"/>
            </w:tcBorders>
            <w:shd w:val="clear" w:color="auto" w:fill="auto"/>
          </w:tcPr>
          <w:p w14:paraId="2DEB52DE">
            <w:pPr>
              <w:spacing w:line="360" w:lineRule="auto"/>
              <w:rPr>
                <w:rFonts w:hint="eastAsia" w:ascii="宋体" w:hAnsi="宋体" w:cs="宋体"/>
                <w:b/>
                <w:bCs/>
              </w:rPr>
            </w:pPr>
            <w:r>
              <w:rPr>
                <w:rFonts w:hint="eastAsia" w:ascii="宋体" w:hAnsi="宋体" w:cs="宋体"/>
                <w:b/>
                <w:bCs/>
              </w:rPr>
              <w:t>交流的主要问题与回复：</w:t>
            </w:r>
          </w:p>
          <w:p w14:paraId="363C395D">
            <w:pPr>
              <w:pStyle w:val="16"/>
              <w:numPr>
                <w:ilvl w:val="0"/>
                <w:numId w:val="1"/>
              </w:numPr>
              <w:spacing w:line="360" w:lineRule="auto"/>
              <w:ind w:firstLineChars="0"/>
              <w:jc w:val="left"/>
              <w:rPr>
                <w:rFonts w:hint="eastAsia"/>
              </w:rPr>
            </w:pPr>
            <w:r>
              <w:rPr>
                <w:rFonts w:hint="eastAsia" w:ascii="宋体" w:hAnsi="宋体" w:cs="宋体"/>
                <w:b/>
                <w:bCs/>
              </w:rPr>
              <w:t>公司对“铁矿石、油气和新能源”三个赛道未来的规划。</w:t>
            </w:r>
          </w:p>
          <w:p w14:paraId="19F468E6">
            <w:pPr>
              <w:spacing w:line="360" w:lineRule="auto"/>
              <w:ind w:firstLine="420" w:firstLineChars="200"/>
              <w:rPr>
                <w:rFonts w:ascii="宋体" w:hAnsi="宋体" w:cs="宋体"/>
              </w:rPr>
            </w:pPr>
            <w:r>
              <w:rPr>
                <w:rFonts w:hint="eastAsia" w:ascii="宋体" w:hAnsi="宋体" w:cs="宋体"/>
              </w:rPr>
              <w:t>公司近年来坚持“产业运营”与“产业投资”的双轮驱动战略，不断深化 “铁矿石+油气+新能源”产业布局，在未来发展方面，充分发挥公司在矿产资源采掘领域及油气勘探开发领域的技术和经验优势，聚焦战略性资源，力争成为具有国际影响力的产业发展集团。</w:t>
            </w:r>
          </w:p>
          <w:p w14:paraId="25930F12">
            <w:pPr>
              <w:spacing w:line="360" w:lineRule="auto"/>
              <w:ind w:firstLine="420" w:firstLineChars="200"/>
              <w:rPr>
                <w:rFonts w:ascii="宋体" w:hAnsi="宋体" w:cs="宋体"/>
              </w:rPr>
            </w:pPr>
            <w:r>
              <w:rPr>
                <w:rFonts w:hint="eastAsia" w:ascii="宋体" w:hAnsi="宋体" w:cs="宋体"/>
              </w:rPr>
              <w:t>在产业运营方面，通过精益管理、数智化水平提升、技改提质不断提高运营效率。在产业投资方面，聚焦战略性资源（既包括矿产资源，也包括能源），具体投资并购项目的选择需要取决于市场机遇和结合国家</w:t>
            </w:r>
            <w:r>
              <w:rPr>
                <w:rFonts w:hint="default" w:ascii="宋体" w:hAnsi="宋体" w:cs="宋体"/>
                <w:woUserID w:val="1"/>
              </w:rPr>
              <w:t>战略方向、</w:t>
            </w:r>
            <w:r>
              <w:rPr>
                <w:rFonts w:hint="eastAsia" w:ascii="宋体" w:hAnsi="宋体" w:cs="宋体"/>
              </w:rPr>
              <w:t>市场需求、行业周期、各个项目本身具体情况以及与公司战略的匹配和协同情况来判断。</w:t>
            </w:r>
          </w:p>
          <w:p w14:paraId="038A10CA">
            <w:pPr>
              <w:spacing w:line="360" w:lineRule="auto"/>
              <w:rPr>
                <w:rFonts w:hint="eastAsia" w:ascii="宋体" w:hAnsi="宋体" w:cs="宋体"/>
              </w:rPr>
            </w:pPr>
          </w:p>
          <w:p w14:paraId="7F4C0FAF">
            <w:pPr>
              <w:pStyle w:val="16"/>
              <w:numPr>
                <w:ilvl w:val="0"/>
                <w:numId w:val="1"/>
              </w:numPr>
              <w:spacing w:line="360" w:lineRule="auto"/>
              <w:ind w:firstLineChars="0"/>
              <w:jc w:val="left"/>
              <w:rPr>
                <w:rFonts w:hint="eastAsia" w:ascii="宋体" w:hAnsi="宋体" w:cs="宋体"/>
                <w:b/>
                <w:bCs/>
              </w:rPr>
            </w:pPr>
            <w:r>
              <w:rPr>
                <w:rFonts w:hint="eastAsia" w:ascii="宋体" w:hAnsi="宋体" w:cs="宋体"/>
                <w:b/>
                <w:bCs/>
              </w:rPr>
              <w:t>阿曼项目</w:t>
            </w:r>
            <w:r>
              <w:rPr>
                <w:rFonts w:ascii="宋体" w:hAnsi="宋体" w:cs="宋体"/>
                <w:b/>
                <w:bCs/>
              </w:rPr>
              <w:t>油田权益</w:t>
            </w:r>
            <w:r>
              <w:rPr>
                <w:rFonts w:hint="eastAsia" w:ascii="宋体" w:hAnsi="宋体" w:cs="宋体"/>
                <w:b/>
                <w:bCs/>
              </w:rPr>
              <w:t>到期后续期情况。</w:t>
            </w:r>
          </w:p>
          <w:p w14:paraId="6A5AE091">
            <w:pPr>
              <w:spacing w:line="360" w:lineRule="auto"/>
              <w:ind w:firstLine="420" w:firstLineChars="200"/>
              <w:rPr>
                <w:rFonts w:hint="eastAsia" w:ascii="宋体" w:hAnsi="宋体" w:cs="宋体"/>
              </w:rPr>
            </w:pPr>
            <w:r>
              <w:rPr>
                <w:rFonts w:hint="eastAsia" w:ascii="宋体" w:hAnsi="宋体" w:cs="宋体"/>
              </w:rPr>
              <w:t>目前在产的3&amp;4区块权益到期日为2040年</w:t>
            </w:r>
            <w:r>
              <w:rPr>
                <w:rFonts w:ascii="宋体" w:hAnsi="宋体" w:cs="宋体"/>
              </w:rPr>
              <w:t>，</w:t>
            </w:r>
            <w:r>
              <w:rPr>
                <w:rFonts w:hint="eastAsia" w:ascii="宋体" w:hAnsi="宋体" w:cs="宋体"/>
              </w:rPr>
              <w:t>到期后</w:t>
            </w:r>
            <w:r>
              <w:rPr>
                <w:rFonts w:ascii="宋体" w:hAnsi="宋体" w:cs="宋体"/>
              </w:rPr>
              <w:t>按约定可选择延期10年</w:t>
            </w:r>
            <w:r>
              <w:rPr>
                <w:rFonts w:hint="eastAsia" w:ascii="宋体" w:hAnsi="宋体" w:cs="宋体"/>
              </w:rPr>
              <w:t>；今年9月特提斯公司已向阿曼政府部门提交56区块的</w:t>
            </w:r>
            <w:r>
              <w:rPr>
                <w:rFonts w:ascii="宋体" w:hAnsi="宋体" w:cs="宋体"/>
              </w:rPr>
              <w:t>油田开发方案，开发方案获批后，油田将从勘探阶段转为开发及生产阶段，期限为 20 年，可选择到期后继续延期5年</w:t>
            </w:r>
            <w:r>
              <w:rPr>
                <w:rFonts w:hint="eastAsia" w:ascii="宋体" w:hAnsi="宋体" w:cs="宋体"/>
              </w:rPr>
              <w:t>；49和58区块目前处于勘探阶段，每年需申请续期，</w:t>
            </w:r>
            <w:r>
              <w:rPr>
                <w:rFonts w:ascii="宋体" w:hAnsi="宋体" w:cs="宋体"/>
              </w:rPr>
              <w:t>后续开发方案提交并获批后，开发及生产期为15年，可选择到期后继续延期5年。</w:t>
            </w:r>
          </w:p>
          <w:p w14:paraId="1ECE4D42">
            <w:pPr>
              <w:spacing w:line="360" w:lineRule="auto"/>
              <w:rPr>
                <w:rFonts w:hint="eastAsia" w:ascii="宋体" w:hAnsi="宋体" w:cs="宋体"/>
              </w:rPr>
            </w:pPr>
          </w:p>
          <w:p w14:paraId="5399A71B">
            <w:pPr>
              <w:pStyle w:val="16"/>
              <w:numPr>
                <w:ilvl w:val="0"/>
                <w:numId w:val="1"/>
              </w:numPr>
              <w:spacing w:line="360" w:lineRule="auto"/>
              <w:ind w:firstLineChars="0"/>
              <w:jc w:val="left"/>
              <w:rPr>
                <w:rFonts w:hint="eastAsia" w:ascii="宋体" w:hAnsi="宋体" w:cs="宋体"/>
                <w:b/>
                <w:bCs/>
              </w:rPr>
            </w:pPr>
            <w:r>
              <w:rPr>
                <w:rFonts w:hint="eastAsia" w:ascii="宋体" w:hAnsi="宋体" w:cs="宋体"/>
                <w:b/>
                <w:bCs/>
              </w:rPr>
              <w:t>公司</w:t>
            </w:r>
            <w:r>
              <w:rPr>
                <w:rFonts w:ascii="宋体" w:hAnsi="宋体" w:cs="宋体"/>
                <w:b/>
                <w:bCs/>
              </w:rPr>
              <w:t>对2025年布伦特原油价格预期</w:t>
            </w:r>
            <w:r>
              <w:rPr>
                <w:rFonts w:hint="eastAsia" w:ascii="宋体" w:hAnsi="宋体" w:cs="宋体"/>
                <w:b/>
                <w:bCs/>
              </w:rPr>
              <w:t>。</w:t>
            </w:r>
          </w:p>
          <w:p w14:paraId="5E5B59D8">
            <w:pPr>
              <w:spacing w:line="360" w:lineRule="auto"/>
              <w:ind w:firstLine="420" w:firstLineChars="200"/>
              <w:rPr>
                <w:rFonts w:ascii="宋体" w:hAnsi="宋体" w:cs="宋体"/>
              </w:rPr>
            </w:pPr>
            <w:r>
              <w:rPr>
                <w:rFonts w:hint="eastAsia" w:ascii="宋体" w:hAnsi="宋体" w:cs="宋体"/>
              </w:rPr>
              <w:t>根据第三方预测及公司自身的判断，公司预计2025年布伦特原油的价格将在75美元左右波动。同时，也需考虑到地缘冲突升温、</w:t>
            </w:r>
            <w:r>
              <w:rPr>
                <w:rFonts w:ascii="宋体" w:hAnsi="宋体" w:cs="宋体"/>
              </w:rPr>
              <w:t>全球供需动态变化等多重不确定因素</w:t>
            </w:r>
            <w:r>
              <w:rPr>
                <w:rFonts w:hint="eastAsia" w:ascii="宋体" w:hAnsi="宋体" w:cs="宋体"/>
              </w:rPr>
              <w:t>可能导致价格出现异常波动。</w:t>
            </w:r>
          </w:p>
          <w:p w14:paraId="41406C28">
            <w:pPr>
              <w:spacing w:line="360" w:lineRule="auto"/>
              <w:rPr>
                <w:rFonts w:ascii="宋体" w:hAnsi="宋体" w:cs="宋体"/>
              </w:rPr>
            </w:pPr>
          </w:p>
          <w:p w14:paraId="4F6AB948">
            <w:pPr>
              <w:pStyle w:val="16"/>
              <w:numPr>
                <w:ilvl w:val="0"/>
                <w:numId w:val="1"/>
              </w:numPr>
              <w:spacing w:line="360" w:lineRule="auto"/>
              <w:ind w:firstLineChars="0"/>
              <w:jc w:val="left"/>
              <w:rPr>
                <w:rFonts w:hint="eastAsia" w:ascii="宋体" w:hAnsi="宋体" w:cs="宋体"/>
                <w:b/>
                <w:bCs/>
              </w:rPr>
            </w:pPr>
            <w:r>
              <w:rPr>
                <w:rFonts w:hint="eastAsia" w:ascii="宋体" w:hAnsi="宋体" w:cs="宋体"/>
                <w:b/>
                <w:bCs/>
              </w:rPr>
              <w:t>八角场气田的产量是否还有增长的空间？</w:t>
            </w:r>
          </w:p>
          <w:p w14:paraId="79C6CDF3">
            <w:pPr>
              <w:spacing w:line="360" w:lineRule="auto"/>
              <w:ind w:firstLine="420" w:firstLineChars="200"/>
              <w:rPr>
                <w:rFonts w:ascii="宋体" w:hAnsi="宋体" w:cs="宋体"/>
              </w:rPr>
            </w:pPr>
            <w:r>
              <w:rPr>
                <w:rFonts w:hint="eastAsia" w:ascii="宋体" w:hAnsi="宋体" w:cs="宋体"/>
              </w:rPr>
              <w:t>目前八角场气田日产量稳定在260万方以上，全年产量超500万桶当量，已是目前气田产量的较高水平。如果要进一步提产，需要新投入资本开支进行新增井组的勘探开发。</w:t>
            </w:r>
            <w:r>
              <w:rPr>
                <w:rFonts w:ascii="宋体" w:hAnsi="宋体" w:cs="宋体"/>
              </w:rPr>
              <w:t>公司在规划后续增产策略时</w:t>
            </w:r>
            <w:r>
              <w:rPr>
                <w:rFonts w:hint="eastAsia" w:ascii="宋体" w:hAnsi="宋体" w:cs="宋体"/>
              </w:rPr>
              <w:t>会结合项目合同周期、资金情况</w:t>
            </w:r>
            <w:r>
              <w:rPr>
                <w:rFonts w:hint="default" w:ascii="宋体" w:hAnsi="宋体" w:cs="宋体"/>
                <w:woUserID w:val="1"/>
              </w:rPr>
              <w:t>、</w:t>
            </w:r>
            <w:r>
              <w:rPr>
                <w:rFonts w:hint="eastAsia" w:ascii="宋体" w:hAnsi="宋体" w:cs="宋体"/>
              </w:rPr>
              <w:t>国油公司等综合因素评估决策后续增产方案。</w:t>
            </w:r>
          </w:p>
          <w:p w14:paraId="087DE5B2">
            <w:pPr>
              <w:spacing w:line="360" w:lineRule="auto"/>
              <w:rPr>
                <w:rFonts w:hint="eastAsia" w:ascii="宋体" w:hAnsi="宋体" w:cs="宋体"/>
              </w:rPr>
            </w:pPr>
          </w:p>
          <w:p w14:paraId="51E1C82A">
            <w:pPr>
              <w:pStyle w:val="16"/>
              <w:numPr>
                <w:ilvl w:val="0"/>
                <w:numId w:val="1"/>
              </w:numPr>
              <w:spacing w:line="360" w:lineRule="auto"/>
              <w:ind w:firstLineChars="0"/>
              <w:jc w:val="left"/>
              <w:rPr>
                <w:rFonts w:hint="eastAsia" w:ascii="宋体" w:hAnsi="宋体" w:cs="宋体"/>
                <w:b/>
                <w:bCs/>
              </w:rPr>
            </w:pPr>
            <w:r>
              <w:rPr>
                <w:rFonts w:hint="eastAsia" w:ascii="宋体" w:hAnsi="宋体" w:cs="宋体"/>
                <w:b/>
                <w:bCs/>
              </w:rPr>
              <w:t>今年四季度和全年铁矿石产量情况。</w:t>
            </w:r>
          </w:p>
          <w:p w14:paraId="1B8D9168">
            <w:pPr>
              <w:spacing w:line="360" w:lineRule="auto"/>
              <w:ind w:firstLine="420" w:firstLineChars="200"/>
              <w:rPr>
                <w:rFonts w:hint="eastAsia" w:ascii="宋体" w:hAnsi="宋体" w:cs="宋体"/>
              </w:rPr>
            </w:pPr>
            <w:r>
              <w:rPr>
                <w:rFonts w:hint="eastAsia" w:ascii="宋体" w:hAnsi="宋体" w:cs="宋体"/>
              </w:rPr>
              <w:t>三季度，海南降雨量偏高和强台风“摩羯”对公司铁矿石采选、加工及销售业务造成一定影响。四季度，公司会积极把握天气条件相对有利的时机，争取提升铁矿石成品矿产量。单从四季度来看，预计铁矿石成品矿产量会环比提升，但全年</w:t>
            </w:r>
            <w:r>
              <w:rPr>
                <w:rFonts w:hint="default" w:ascii="宋体" w:hAnsi="宋体" w:cs="宋体"/>
                <w:woUserID w:val="1"/>
              </w:rPr>
              <w:t>来看</w:t>
            </w:r>
            <w:r>
              <w:rPr>
                <w:rFonts w:hint="eastAsia" w:ascii="宋体" w:hAnsi="宋体" w:cs="宋体"/>
              </w:rPr>
              <w:t>成品矿产量较275万吨产量预算目标相比</w:t>
            </w:r>
            <w:r>
              <w:rPr>
                <w:rFonts w:hint="default" w:ascii="宋体" w:hAnsi="宋体" w:cs="宋体"/>
                <w:woUserID w:val="1"/>
              </w:rPr>
              <w:t>预计</w:t>
            </w:r>
            <w:r>
              <w:rPr>
                <w:rFonts w:hint="eastAsia" w:ascii="宋体" w:hAnsi="宋体" w:cs="宋体"/>
              </w:rPr>
              <w:t>会有一定差距。</w:t>
            </w:r>
          </w:p>
          <w:p w14:paraId="4339327F">
            <w:pPr>
              <w:spacing w:line="360" w:lineRule="auto"/>
              <w:rPr>
                <w:rFonts w:hint="eastAsia" w:ascii="宋体" w:hAnsi="宋体" w:cs="宋体"/>
              </w:rPr>
            </w:pPr>
          </w:p>
          <w:p w14:paraId="57110D9F">
            <w:pPr>
              <w:pStyle w:val="16"/>
              <w:numPr>
                <w:ilvl w:val="0"/>
                <w:numId w:val="1"/>
              </w:numPr>
              <w:spacing w:line="360" w:lineRule="auto"/>
              <w:ind w:firstLineChars="0"/>
              <w:jc w:val="left"/>
              <w:rPr>
                <w:rFonts w:hint="eastAsia" w:ascii="宋体" w:hAnsi="宋体" w:cs="宋体"/>
                <w:b/>
                <w:bCs/>
              </w:rPr>
            </w:pPr>
            <w:r>
              <w:rPr>
                <w:rFonts w:hint="eastAsia" w:ascii="宋体" w:hAnsi="宋体" w:cs="宋体"/>
                <w:b/>
                <w:bCs/>
              </w:rPr>
              <w:t>明年铁矿石成品矿产量水平预计如何</w:t>
            </w:r>
          </w:p>
          <w:p w14:paraId="627F0ED2">
            <w:pPr>
              <w:spacing w:line="360" w:lineRule="auto"/>
              <w:ind w:firstLine="420" w:firstLineChars="200"/>
              <w:rPr>
                <w:rFonts w:ascii="宋体" w:hAnsi="宋体" w:cs="宋体"/>
              </w:rPr>
            </w:pPr>
            <w:r>
              <w:rPr>
                <w:rFonts w:hint="eastAsia" w:ascii="宋体" w:hAnsi="宋体" w:cs="宋体"/>
              </w:rPr>
              <w:t>从石碌铁矿资源禀赋的自然规律来看，随着地采深度接近降段作业面，原矿品位从原来露采的45%以上降到目前37%左右，再加之安全检查、天气等原因，进一步缩减了富矿的来源，</w:t>
            </w:r>
            <w:r>
              <w:rPr>
                <w:rFonts w:ascii="宋体" w:hAnsi="宋体" w:cs="宋体"/>
              </w:rPr>
              <w:t>直接影响了块矿的产量，并间接导致选矿效率的降低</w:t>
            </w:r>
            <w:r>
              <w:rPr>
                <w:rFonts w:hint="eastAsia" w:ascii="宋体" w:hAnsi="宋体" w:cs="宋体"/>
              </w:rPr>
              <w:t>，所以今年整个成品矿产量下降比较明显。</w:t>
            </w:r>
          </w:p>
          <w:p w14:paraId="2AB00C77">
            <w:pPr>
              <w:spacing w:line="360" w:lineRule="auto"/>
              <w:ind w:firstLine="420" w:firstLineChars="200"/>
              <w:rPr>
                <w:rFonts w:ascii="宋体" w:hAnsi="宋体" w:cs="宋体"/>
              </w:rPr>
            </w:pPr>
            <w:r>
              <w:rPr>
                <w:rFonts w:hint="eastAsia" w:ascii="宋体" w:hAnsi="宋体" w:cs="宋体"/>
              </w:rPr>
              <w:t>公司在正视资源禀赋下降客观规律的同时，也在积极采取各种稳产措施，包括各种技改、外购矿源的开拓等等。磁化焙烧项目就是其中一项重要的技改，项目已经于今年8月单体投料试车成功，</w:t>
            </w:r>
            <w:r>
              <w:rPr>
                <w:rFonts w:ascii="宋体" w:hAnsi="宋体" w:cs="宋体"/>
              </w:rPr>
              <w:t>力争年内实现全产线打通和联动试车</w:t>
            </w:r>
            <w:r>
              <w:rPr>
                <w:rFonts w:hint="eastAsia" w:ascii="宋体" w:hAnsi="宋体" w:cs="宋体"/>
              </w:rPr>
              <w:t>，预计明年年初可以出合格产品。磁化焙烧项目上产后铁精矿品位将从原来的62.5%提高到65%以上，铁金属回收率由60%提高至85%。由于铁金属回收率上升，所以</w:t>
            </w:r>
            <w:r>
              <w:rPr>
                <w:rFonts w:ascii="宋体" w:hAnsi="宋体" w:cs="宋体"/>
              </w:rPr>
              <w:t>202</w:t>
            </w:r>
            <w:r>
              <w:rPr>
                <w:rFonts w:hint="eastAsia" w:ascii="宋体" w:hAnsi="宋体" w:cs="宋体"/>
              </w:rPr>
              <w:t>5</w:t>
            </w:r>
            <w:r>
              <w:rPr>
                <w:rFonts w:ascii="宋体" w:hAnsi="宋体" w:cs="宋体"/>
              </w:rPr>
              <w:t>年65%的铁精粉预计产量</w:t>
            </w:r>
            <w:r>
              <w:rPr>
                <w:rFonts w:hint="eastAsia" w:ascii="宋体" w:hAnsi="宋体" w:cs="宋体"/>
              </w:rPr>
              <w:t>会略高于24年铁精粉产量，但</w:t>
            </w:r>
            <w:r>
              <w:rPr>
                <w:rFonts w:ascii="宋体" w:hAnsi="宋体" w:cs="宋体"/>
              </w:rPr>
              <w:t>具体产量需要视试生产情况及产能爬坡情况而定。</w:t>
            </w:r>
          </w:p>
          <w:p w14:paraId="7CADE90C">
            <w:pPr>
              <w:spacing w:line="360" w:lineRule="auto"/>
              <w:rPr>
                <w:rFonts w:ascii="宋体" w:hAnsi="宋体" w:cs="宋体"/>
              </w:rPr>
            </w:pPr>
          </w:p>
          <w:p w14:paraId="5E07C739">
            <w:pPr>
              <w:pStyle w:val="16"/>
              <w:numPr>
                <w:ilvl w:val="0"/>
                <w:numId w:val="1"/>
              </w:numPr>
              <w:spacing w:line="360" w:lineRule="auto"/>
              <w:ind w:firstLineChars="0"/>
              <w:jc w:val="left"/>
              <w:rPr>
                <w:rFonts w:hint="eastAsia" w:ascii="宋体" w:hAnsi="宋体" w:cs="宋体"/>
                <w:b/>
                <w:bCs/>
              </w:rPr>
            </w:pPr>
            <w:r>
              <w:rPr>
                <w:rFonts w:hint="eastAsia" w:ascii="宋体" w:hAnsi="宋体" w:cs="宋体"/>
                <w:b/>
                <w:bCs/>
              </w:rPr>
              <w:t>氢氧化锂项目和布谷尼锂矿投产时间及投产后的产量情况</w:t>
            </w:r>
          </w:p>
          <w:p w14:paraId="7BF2CE2E">
            <w:pPr>
              <w:spacing w:line="360" w:lineRule="auto"/>
              <w:ind w:firstLine="420" w:firstLineChars="200"/>
              <w:rPr>
                <w:rFonts w:ascii="宋体" w:hAnsi="宋体" w:cs="宋体"/>
              </w:rPr>
            </w:pPr>
            <w:r>
              <w:rPr>
                <w:rFonts w:hint="eastAsia" w:ascii="宋体" w:hAnsi="宋体" w:cs="宋体"/>
              </w:rPr>
              <w:t>位于海南洋浦的2万吨氢氧化锂项目试生产前准备工作有序推进，试生产所需的1.5万吨锂精矿原料已经全部入库，项目预计于2024年内建成并试生产，2025年1月合格品下线。2025年氢氧化锂产品产量预计为1-1.3万吨左右。</w:t>
            </w:r>
          </w:p>
          <w:p w14:paraId="25DEF641">
            <w:pPr>
              <w:spacing w:line="360" w:lineRule="auto"/>
              <w:ind w:firstLine="420" w:firstLineChars="200"/>
              <w:rPr>
                <w:rFonts w:hint="eastAsia" w:ascii="宋体" w:hAnsi="宋体" w:cs="宋体"/>
              </w:rPr>
            </w:pPr>
            <w:r>
              <w:rPr>
                <w:rFonts w:hint="eastAsia" w:ascii="宋体" w:hAnsi="宋体" w:cs="宋体"/>
              </w:rPr>
              <w:t>布谷尼锂矿一期计划采用重介质选矿工艺，选矿设计产能为140万吨/年，年产5.5%精矿10-12万吨，预计第一批锂精矿将于2025年3月运抵海南。2025年产量基本可以匹配氢氧化锂使用。</w:t>
            </w:r>
          </w:p>
          <w:p w14:paraId="411B5906">
            <w:pPr>
              <w:spacing w:line="360" w:lineRule="auto"/>
              <w:rPr>
                <w:rFonts w:ascii="宋体" w:hAnsi="宋体" w:cs="宋体"/>
              </w:rPr>
            </w:pPr>
          </w:p>
          <w:p w14:paraId="0D21AF44">
            <w:pPr>
              <w:pStyle w:val="16"/>
              <w:numPr>
                <w:ilvl w:val="0"/>
                <w:numId w:val="1"/>
              </w:numPr>
              <w:spacing w:line="360" w:lineRule="auto"/>
              <w:ind w:firstLineChars="0"/>
              <w:jc w:val="left"/>
              <w:rPr>
                <w:rFonts w:hint="eastAsia" w:ascii="宋体" w:hAnsi="宋体" w:cs="宋体"/>
                <w:b/>
                <w:bCs/>
              </w:rPr>
            </w:pPr>
            <w:r>
              <w:rPr>
                <w:rFonts w:hint="eastAsia" w:ascii="宋体" w:hAnsi="宋体" w:cs="宋体"/>
                <w:b/>
                <w:bCs/>
              </w:rPr>
              <w:t>公司中期分红预计在什么时候实施？后续公司的分红比例是否会增加？</w:t>
            </w:r>
          </w:p>
          <w:p w14:paraId="6C778F0E">
            <w:pPr>
              <w:spacing w:line="360" w:lineRule="auto"/>
              <w:ind w:firstLine="420" w:firstLineChars="200"/>
              <w:rPr>
                <w:rFonts w:ascii="宋体" w:hAnsi="宋体" w:cs="宋体"/>
              </w:rPr>
            </w:pPr>
            <w:r>
              <w:rPr>
                <w:rFonts w:hint="eastAsia" w:ascii="宋体" w:hAnsi="宋体" w:cs="宋体"/>
              </w:rPr>
              <w:t>为进一步提升股东回报，增强股东获得感，提升公司投资价值，同时积极贯彻落实国务院《关于加强监管防范风险推动资本市场高质量发展的若干意见》，公司拟向全体股东每10股派发现金红利0.20元（含税）。公司将在股东大会审议通过利润分配方案后两个月内完成分配事宜。</w:t>
            </w:r>
          </w:p>
          <w:p w14:paraId="4BB40407">
            <w:pPr>
              <w:spacing w:line="360" w:lineRule="auto"/>
              <w:ind w:firstLine="420" w:firstLineChars="200"/>
              <w:rPr>
                <w:rFonts w:hint="eastAsia" w:ascii="宋体" w:hAnsi="宋体" w:cs="宋体"/>
              </w:rPr>
            </w:pPr>
            <w:r>
              <w:rPr>
                <w:rFonts w:hint="eastAsia" w:ascii="宋体" w:hAnsi="宋体" w:cs="宋体"/>
              </w:rPr>
              <w:t xml:space="preserve">后续现金分红比例将在不低于年均可分配利润30%的前提下，根据公司经营和发展计划安排，尽可能提高股东现金分红比例；此外，公司也将通过回购股份进行注销的方式提升每股收益，回馈投资者。 </w:t>
            </w:r>
          </w:p>
        </w:tc>
      </w:tr>
      <w:tr w14:paraId="4977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pct"/>
            <w:tcBorders>
              <w:top w:val="single" w:color="auto" w:sz="4" w:space="0"/>
              <w:left w:val="single" w:color="auto" w:sz="4" w:space="0"/>
              <w:bottom w:val="single" w:color="auto" w:sz="4" w:space="0"/>
              <w:right w:val="single" w:color="auto" w:sz="4" w:space="0"/>
            </w:tcBorders>
            <w:vAlign w:val="center"/>
          </w:tcPr>
          <w:p w14:paraId="241E9558">
            <w:pPr>
              <w:spacing w:before="93" w:beforeLines="30" w:after="93" w:afterLines="30" w:line="380" w:lineRule="exact"/>
              <w:jc w:val="center"/>
              <w:rPr>
                <w:rFonts w:hint="eastAsia" w:ascii="宋体" w:hAnsi="宋体"/>
                <w:bCs/>
                <w:iCs/>
                <w:color w:val="000000"/>
                <w:sz w:val="24"/>
              </w:rPr>
            </w:pPr>
            <w:r>
              <w:rPr>
                <w:rFonts w:hint="eastAsia" w:ascii="宋体" w:hAnsi="宋体"/>
                <w:bCs/>
                <w:iCs/>
                <w:color w:val="000000"/>
                <w:sz w:val="24"/>
              </w:rPr>
              <w:t>附件清单（如有）</w:t>
            </w:r>
          </w:p>
        </w:tc>
        <w:tc>
          <w:tcPr>
            <w:tcW w:w="4207" w:type="pct"/>
            <w:tcBorders>
              <w:top w:val="single" w:color="auto" w:sz="4" w:space="0"/>
              <w:left w:val="single" w:color="auto" w:sz="4" w:space="0"/>
              <w:bottom w:val="single" w:color="auto" w:sz="4" w:space="0"/>
              <w:right w:val="single" w:color="auto" w:sz="4" w:space="0"/>
            </w:tcBorders>
            <w:vAlign w:val="center"/>
          </w:tcPr>
          <w:p w14:paraId="28402760">
            <w:pPr>
              <w:spacing w:before="93" w:beforeLines="30" w:after="93" w:afterLines="30" w:line="360" w:lineRule="auto"/>
              <w:rPr>
                <w:rFonts w:hint="eastAsia" w:ascii="宋体" w:hAnsi="宋体"/>
                <w:bCs/>
                <w:iCs/>
                <w:color w:val="000000"/>
                <w:sz w:val="24"/>
              </w:rPr>
            </w:pPr>
            <w:r>
              <w:rPr>
                <w:rFonts w:hint="eastAsia"/>
                <w:sz w:val="24"/>
              </w:rPr>
              <w:t>无</w:t>
            </w:r>
          </w:p>
        </w:tc>
      </w:tr>
      <w:tr w14:paraId="5186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pct"/>
            <w:tcBorders>
              <w:top w:val="single" w:color="auto" w:sz="4" w:space="0"/>
              <w:left w:val="single" w:color="auto" w:sz="4" w:space="0"/>
              <w:bottom w:val="single" w:color="auto" w:sz="4" w:space="0"/>
              <w:right w:val="single" w:color="auto" w:sz="4" w:space="0"/>
            </w:tcBorders>
            <w:vAlign w:val="center"/>
          </w:tcPr>
          <w:p w14:paraId="1FB32ED7">
            <w:pPr>
              <w:spacing w:before="93" w:beforeLines="30" w:after="93" w:afterLines="30" w:line="380" w:lineRule="exact"/>
              <w:jc w:val="center"/>
              <w:rPr>
                <w:rFonts w:hint="eastAsia" w:ascii="宋体" w:hAnsi="宋体"/>
                <w:bCs/>
                <w:iCs/>
                <w:sz w:val="24"/>
              </w:rPr>
            </w:pPr>
            <w:r>
              <w:rPr>
                <w:rFonts w:hint="eastAsia" w:ascii="宋体" w:hAnsi="宋体"/>
                <w:bCs/>
                <w:iCs/>
                <w:sz w:val="24"/>
              </w:rPr>
              <w:t>填报日期</w:t>
            </w:r>
          </w:p>
        </w:tc>
        <w:tc>
          <w:tcPr>
            <w:tcW w:w="4207" w:type="pct"/>
            <w:tcBorders>
              <w:top w:val="single" w:color="auto" w:sz="4" w:space="0"/>
              <w:left w:val="single" w:color="auto" w:sz="4" w:space="0"/>
              <w:bottom w:val="single" w:color="auto" w:sz="4" w:space="0"/>
              <w:right w:val="single" w:color="auto" w:sz="4" w:space="0"/>
            </w:tcBorders>
            <w:vAlign w:val="center"/>
          </w:tcPr>
          <w:p w14:paraId="6F932786">
            <w:pPr>
              <w:spacing w:before="93" w:beforeLines="30" w:after="93" w:afterLines="30" w:line="360" w:lineRule="auto"/>
              <w:rPr>
                <w:rFonts w:hint="eastAsia" w:ascii="宋体" w:hAnsi="宋体"/>
                <w:bCs/>
                <w:iCs/>
                <w:sz w:val="24"/>
              </w:rPr>
            </w:pPr>
            <w:r>
              <w:rPr>
                <w:rFonts w:hint="eastAsia" w:ascii="宋体" w:hAnsi="宋体"/>
                <w:bCs/>
                <w:iCs/>
                <w:sz w:val="24"/>
              </w:rPr>
              <w:t>2024年11月4日</w:t>
            </w:r>
          </w:p>
        </w:tc>
      </w:tr>
    </w:tbl>
    <w:p w14:paraId="093F71D4">
      <w:pPr>
        <w:rPr>
          <w:rFonts w:hint="eastAsia" w:asciiTheme="majorEastAsia" w:hAnsiTheme="majorEastAsia" w:eastAsiaTheme="majorEastAsia"/>
          <w:sz w:val="24"/>
        </w:rPr>
      </w:pPr>
    </w:p>
    <w:sectPr>
      <w:headerReference r:id="rId3" w:type="default"/>
      <w:pgSz w:w="11906" w:h="16838"/>
      <w:pgMar w:top="1304" w:right="1797" w:bottom="1304" w:left="1797" w:header="28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92B73">
    <w:pPr>
      <w:pStyle w:val="6"/>
      <w:pBdr>
        <w:bottom w:val="single" w:color="auto" w:sz="4" w:space="1"/>
      </w:pBdr>
      <w:jc w:val="both"/>
    </w:pPr>
    <w:r>
      <w:rPr>
        <w:rFonts w:hint="eastAsia"/>
      </w:rPr>
      <w:t xml:space="preserve">  </w:t>
    </w:r>
  </w:p>
  <w:p w14:paraId="67DBFCEA">
    <w:pPr>
      <w:pStyle w:val="6"/>
      <w:pBdr>
        <w:bottom w:val="single" w:color="auto" w:sz="4" w:space="1"/>
      </w:pBdr>
      <w:jc w:val="both"/>
    </w:pPr>
  </w:p>
  <w:p w14:paraId="4559F0A1">
    <w:pPr>
      <w:pStyle w:val="6"/>
      <w:pBdr>
        <w:bottom w:val="single" w:color="auto" w:sz="4" w:space="1"/>
      </w:pBdr>
      <w:jc w:val="both"/>
    </w:pPr>
  </w:p>
  <w:p w14:paraId="698DD75B">
    <w:pPr>
      <w:pStyle w:val="6"/>
      <w:pBdr>
        <w:bottom w:val="single" w:color="auto" w:sz="4" w:space="1"/>
      </w:pBdr>
      <w:jc w:val="left"/>
    </w:pPr>
  </w:p>
  <w:p w14:paraId="3DED7CF1">
    <w:pPr>
      <w:pStyle w:val="6"/>
      <w:pBdr>
        <w:bottom w:val="single" w:color="auto" w:sz="4" w:space="1"/>
      </w:pBdr>
      <w:jc w:val="left"/>
      <w:rPr>
        <w:sz w:val="21"/>
        <w:szCs w:val="21"/>
      </w:rPr>
    </w:pPr>
    <w:r>
      <w:rPr>
        <w:rFonts w:hint="eastAsia"/>
        <w:sz w:val="21"/>
        <w:szCs w:val="21"/>
      </w:rPr>
      <w:t>证券代码：60</w:t>
    </w:r>
    <w:r>
      <w:rPr>
        <w:sz w:val="21"/>
        <w:szCs w:val="21"/>
      </w:rPr>
      <w:t>1969</w:t>
    </w:r>
    <w:r>
      <w:rPr>
        <w:rFonts w:hint="eastAsia"/>
        <w:sz w:val="21"/>
        <w:szCs w:val="21"/>
      </w:rPr>
      <w:t xml:space="preserve">     </w:t>
    </w:r>
    <w:r>
      <w:rPr>
        <w:sz w:val="21"/>
        <w:szCs w:val="21"/>
      </w:rPr>
      <w:t xml:space="preserve">                                      </w:t>
    </w:r>
    <w:r>
      <w:rPr>
        <w:rFonts w:hint="eastAsia"/>
        <w:sz w:val="21"/>
        <w:szCs w:val="21"/>
      </w:rPr>
      <w:t xml:space="preserve"> 证券简称：海南矿业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683BDC"/>
    <w:multiLevelType w:val="multilevel"/>
    <w:tmpl w:val="16683BDC"/>
    <w:lvl w:ilvl="0" w:tentative="0">
      <w:start w:val="1"/>
      <w:numFmt w:val="decimal"/>
      <w:suff w:val="space"/>
      <w:lvlText w:val="%1、"/>
      <w:lvlJc w:val="left"/>
      <w:pPr>
        <w:ind w:left="360" w:hanging="360"/>
      </w:pPr>
      <w:rPr>
        <w:rFonts w:hint="default"/>
        <w:b/>
        <w:bCs/>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1Mzk0OGJiYzA0NTQ4MDY3ZDdmMzgxN2FkZTQ0NjcifQ=="/>
  </w:docVars>
  <w:rsids>
    <w:rsidRoot w:val="00C10719"/>
    <w:rsid w:val="00000B7F"/>
    <w:rsid w:val="00004CBE"/>
    <w:rsid w:val="00007F1E"/>
    <w:rsid w:val="000102B6"/>
    <w:rsid w:val="0001083B"/>
    <w:rsid w:val="00011956"/>
    <w:rsid w:val="000138D4"/>
    <w:rsid w:val="00015253"/>
    <w:rsid w:val="0001527D"/>
    <w:rsid w:val="00016F16"/>
    <w:rsid w:val="000174DD"/>
    <w:rsid w:val="00020121"/>
    <w:rsid w:val="00026D4F"/>
    <w:rsid w:val="00030E79"/>
    <w:rsid w:val="0003199D"/>
    <w:rsid w:val="00033C7C"/>
    <w:rsid w:val="00034BCB"/>
    <w:rsid w:val="000352B8"/>
    <w:rsid w:val="00036FE3"/>
    <w:rsid w:val="0003729B"/>
    <w:rsid w:val="0004188E"/>
    <w:rsid w:val="00041920"/>
    <w:rsid w:val="0004353A"/>
    <w:rsid w:val="0004367A"/>
    <w:rsid w:val="00043A08"/>
    <w:rsid w:val="00044EFF"/>
    <w:rsid w:val="00047396"/>
    <w:rsid w:val="0005009F"/>
    <w:rsid w:val="00050F54"/>
    <w:rsid w:val="00051147"/>
    <w:rsid w:val="000516BE"/>
    <w:rsid w:val="000521D8"/>
    <w:rsid w:val="00052F07"/>
    <w:rsid w:val="00055943"/>
    <w:rsid w:val="00061016"/>
    <w:rsid w:val="00062422"/>
    <w:rsid w:val="000636C8"/>
    <w:rsid w:val="00066D81"/>
    <w:rsid w:val="00067700"/>
    <w:rsid w:val="00071B4C"/>
    <w:rsid w:val="0007356E"/>
    <w:rsid w:val="00075C1D"/>
    <w:rsid w:val="00075C58"/>
    <w:rsid w:val="00076A03"/>
    <w:rsid w:val="000833B0"/>
    <w:rsid w:val="00084CE2"/>
    <w:rsid w:val="00085B6E"/>
    <w:rsid w:val="00087878"/>
    <w:rsid w:val="00087C1E"/>
    <w:rsid w:val="00090938"/>
    <w:rsid w:val="00094410"/>
    <w:rsid w:val="000A0619"/>
    <w:rsid w:val="000A20F1"/>
    <w:rsid w:val="000A2421"/>
    <w:rsid w:val="000A6A41"/>
    <w:rsid w:val="000A705E"/>
    <w:rsid w:val="000A7BEA"/>
    <w:rsid w:val="000B02F7"/>
    <w:rsid w:val="000B1D92"/>
    <w:rsid w:val="000B210B"/>
    <w:rsid w:val="000B41C6"/>
    <w:rsid w:val="000B4993"/>
    <w:rsid w:val="000B5D97"/>
    <w:rsid w:val="000B67AE"/>
    <w:rsid w:val="000B70AF"/>
    <w:rsid w:val="000C052D"/>
    <w:rsid w:val="000C2D0A"/>
    <w:rsid w:val="000C716F"/>
    <w:rsid w:val="000C7476"/>
    <w:rsid w:val="000D6348"/>
    <w:rsid w:val="000D73FB"/>
    <w:rsid w:val="000D79C1"/>
    <w:rsid w:val="000E235D"/>
    <w:rsid w:val="000E4671"/>
    <w:rsid w:val="000E529E"/>
    <w:rsid w:val="000E59F6"/>
    <w:rsid w:val="000E5E25"/>
    <w:rsid w:val="000F3178"/>
    <w:rsid w:val="000F366E"/>
    <w:rsid w:val="000F3846"/>
    <w:rsid w:val="000F612B"/>
    <w:rsid w:val="000F6CFE"/>
    <w:rsid w:val="000F7CE5"/>
    <w:rsid w:val="00100D70"/>
    <w:rsid w:val="00102C53"/>
    <w:rsid w:val="00104526"/>
    <w:rsid w:val="0010470B"/>
    <w:rsid w:val="001056C8"/>
    <w:rsid w:val="00106C81"/>
    <w:rsid w:val="00110773"/>
    <w:rsid w:val="00110954"/>
    <w:rsid w:val="00111608"/>
    <w:rsid w:val="0011258A"/>
    <w:rsid w:val="00112B18"/>
    <w:rsid w:val="0011431F"/>
    <w:rsid w:val="00116F93"/>
    <w:rsid w:val="00123A4C"/>
    <w:rsid w:val="00124F2E"/>
    <w:rsid w:val="00133BFF"/>
    <w:rsid w:val="00136316"/>
    <w:rsid w:val="001368C4"/>
    <w:rsid w:val="001400F8"/>
    <w:rsid w:val="00140A69"/>
    <w:rsid w:val="00141451"/>
    <w:rsid w:val="001419F8"/>
    <w:rsid w:val="00144008"/>
    <w:rsid w:val="0014684F"/>
    <w:rsid w:val="00146B41"/>
    <w:rsid w:val="001532F3"/>
    <w:rsid w:val="00156C40"/>
    <w:rsid w:val="001622F8"/>
    <w:rsid w:val="001625C8"/>
    <w:rsid w:val="00163523"/>
    <w:rsid w:val="00166E6A"/>
    <w:rsid w:val="00173FCD"/>
    <w:rsid w:val="00174580"/>
    <w:rsid w:val="00174F23"/>
    <w:rsid w:val="00175A26"/>
    <w:rsid w:val="00176B59"/>
    <w:rsid w:val="00176EA1"/>
    <w:rsid w:val="00177283"/>
    <w:rsid w:val="00182D74"/>
    <w:rsid w:val="00190F08"/>
    <w:rsid w:val="001912ED"/>
    <w:rsid w:val="00193032"/>
    <w:rsid w:val="0019419E"/>
    <w:rsid w:val="0019474B"/>
    <w:rsid w:val="0019589F"/>
    <w:rsid w:val="00195975"/>
    <w:rsid w:val="00197D60"/>
    <w:rsid w:val="001A406C"/>
    <w:rsid w:val="001A5ED0"/>
    <w:rsid w:val="001B19A0"/>
    <w:rsid w:val="001B2486"/>
    <w:rsid w:val="001B2FE6"/>
    <w:rsid w:val="001B5157"/>
    <w:rsid w:val="001C17AE"/>
    <w:rsid w:val="001C296F"/>
    <w:rsid w:val="001D273D"/>
    <w:rsid w:val="001D2F1D"/>
    <w:rsid w:val="001D3368"/>
    <w:rsid w:val="001D49E6"/>
    <w:rsid w:val="001D5C2E"/>
    <w:rsid w:val="001D67DD"/>
    <w:rsid w:val="001D6A29"/>
    <w:rsid w:val="001E0F29"/>
    <w:rsid w:val="001E2132"/>
    <w:rsid w:val="001E3023"/>
    <w:rsid w:val="001E42E0"/>
    <w:rsid w:val="001E5C58"/>
    <w:rsid w:val="001E7298"/>
    <w:rsid w:val="001F2595"/>
    <w:rsid w:val="001F2778"/>
    <w:rsid w:val="001F34DF"/>
    <w:rsid w:val="001F3FDD"/>
    <w:rsid w:val="001F735E"/>
    <w:rsid w:val="00205052"/>
    <w:rsid w:val="002114CE"/>
    <w:rsid w:val="0021211B"/>
    <w:rsid w:val="00212836"/>
    <w:rsid w:val="00215C15"/>
    <w:rsid w:val="0021749D"/>
    <w:rsid w:val="00222AD3"/>
    <w:rsid w:val="00223B81"/>
    <w:rsid w:val="00225D6A"/>
    <w:rsid w:val="002303B1"/>
    <w:rsid w:val="002328FF"/>
    <w:rsid w:val="002356A3"/>
    <w:rsid w:val="00235C89"/>
    <w:rsid w:val="00235EB2"/>
    <w:rsid w:val="002366E9"/>
    <w:rsid w:val="00240804"/>
    <w:rsid w:val="0024118F"/>
    <w:rsid w:val="002419DC"/>
    <w:rsid w:val="0024420A"/>
    <w:rsid w:val="00245FDC"/>
    <w:rsid w:val="002471AA"/>
    <w:rsid w:val="0025285A"/>
    <w:rsid w:val="0025318B"/>
    <w:rsid w:val="00254668"/>
    <w:rsid w:val="002562AB"/>
    <w:rsid w:val="00256434"/>
    <w:rsid w:val="002577E2"/>
    <w:rsid w:val="002611E4"/>
    <w:rsid w:val="002612B7"/>
    <w:rsid w:val="0026182D"/>
    <w:rsid w:val="00262CEA"/>
    <w:rsid w:val="00263579"/>
    <w:rsid w:val="002679B3"/>
    <w:rsid w:val="00267A6D"/>
    <w:rsid w:val="00270624"/>
    <w:rsid w:val="00285601"/>
    <w:rsid w:val="00286CDB"/>
    <w:rsid w:val="0028793E"/>
    <w:rsid w:val="00292FDF"/>
    <w:rsid w:val="0029342F"/>
    <w:rsid w:val="00294437"/>
    <w:rsid w:val="00296A7B"/>
    <w:rsid w:val="002B3F05"/>
    <w:rsid w:val="002C19B5"/>
    <w:rsid w:val="002C3CA8"/>
    <w:rsid w:val="002C4DCA"/>
    <w:rsid w:val="002C64DF"/>
    <w:rsid w:val="002C6F02"/>
    <w:rsid w:val="002C7B33"/>
    <w:rsid w:val="002D1BBF"/>
    <w:rsid w:val="002D24F4"/>
    <w:rsid w:val="002D28B5"/>
    <w:rsid w:val="002D7452"/>
    <w:rsid w:val="002D7E4A"/>
    <w:rsid w:val="002E067F"/>
    <w:rsid w:val="002E3242"/>
    <w:rsid w:val="002E4800"/>
    <w:rsid w:val="002E4DAA"/>
    <w:rsid w:val="002F30A5"/>
    <w:rsid w:val="002F32EC"/>
    <w:rsid w:val="002F7792"/>
    <w:rsid w:val="0030182B"/>
    <w:rsid w:val="00304691"/>
    <w:rsid w:val="00305C20"/>
    <w:rsid w:val="00306D1C"/>
    <w:rsid w:val="003148F8"/>
    <w:rsid w:val="00317A1C"/>
    <w:rsid w:val="00322956"/>
    <w:rsid w:val="00322A2A"/>
    <w:rsid w:val="003248CA"/>
    <w:rsid w:val="003326D0"/>
    <w:rsid w:val="00333EF0"/>
    <w:rsid w:val="00335235"/>
    <w:rsid w:val="003403BB"/>
    <w:rsid w:val="0034348F"/>
    <w:rsid w:val="00343DB7"/>
    <w:rsid w:val="003445D0"/>
    <w:rsid w:val="003445D2"/>
    <w:rsid w:val="00347E5F"/>
    <w:rsid w:val="00350C48"/>
    <w:rsid w:val="003510F9"/>
    <w:rsid w:val="003538DF"/>
    <w:rsid w:val="003627EB"/>
    <w:rsid w:val="0036469B"/>
    <w:rsid w:val="003653BA"/>
    <w:rsid w:val="003708EB"/>
    <w:rsid w:val="00370A77"/>
    <w:rsid w:val="0037109A"/>
    <w:rsid w:val="003720A7"/>
    <w:rsid w:val="00372CA7"/>
    <w:rsid w:val="00377D47"/>
    <w:rsid w:val="00380DF5"/>
    <w:rsid w:val="00391CC7"/>
    <w:rsid w:val="0039237D"/>
    <w:rsid w:val="0039324A"/>
    <w:rsid w:val="003956F9"/>
    <w:rsid w:val="003A02A2"/>
    <w:rsid w:val="003A0803"/>
    <w:rsid w:val="003A1013"/>
    <w:rsid w:val="003A1B7F"/>
    <w:rsid w:val="003A2481"/>
    <w:rsid w:val="003A2C13"/>
    <w:rsid w:val="003A2DB5"/>
    <w:rsid w:val="003A4BB9"/>
    <w:rsid w:val="003A563D"/>
    <w:rsid w:val="003A56AB"/>
    <w:rsid w:val="003A7412"/>
    <w:rsid w:val="003A788F"/>
    <w:rsid w:val="003B04F9"/>
    <w:rsid w:val="003B0CDC"/>
    <w:rsid w:val="003B0E51"/>
    <w:rsid w:val="003B0ED2"/>
    <w:rsid w:val="003B5ECF"/>
    <w:rsid w:val="003B6458"/>
    <w:rsid w:val="003B70E1"/>
    <w:rsid w:val="003D024A"/>
    <w:rsid w:val="003D042A"/>
    <w:rsid w:val="003D09B2"/>
    <w:rsid w:val="003D0BE7"/>
    <w:rsid w:val="003E0064"/>
    <w:rsid w:val="003E337A"/>
    <w:rsid w:val="003E4D60"/>
    <w:rsid w:val="003E5746"/>
    <w:rsid w:val="003F5E5A"/>
    <w:rsid w:val="003F71B3"/>
    <w:rsid w:val="003F7C3D"/>
    <w:rsid w:val="00400973"/>
    <w:rsid w:val="004033E9"/>
    <w:rsid w:val="00403FB8"/>
    <w:rsid w:val="00405886"/>
    <w:rsid w:val="00406955"/>
    <w:rsid w:val="00411E25"/>
    <w:rsid w:val="00413427"/>
    <w:rsid w:val="00413D50"/>
    <w:rsid w:val="00414535"/>
    <w:rsid w:val="00414C18"/>
    <w:rsid w:val="00414CFE"/>
    <w:rsid w:val="004166D2"/>
    <w:rsid w:val="00416857"/>
    <w:rsid w:val="00417525"/>
    <w:rsid w:val="0042247D"/>
    <w:rsid w:val="0042458F"/>
    <w:rsid w:val="00424DB4"/>
    <w:rsid w:val="0042636B"/>
    <w:rsid w:val="004272F5"/>
    <w:rsid w:val="00430B3C"/>
    <w:rsid w:val="00430D10"/>
    <w:rsid w:val="0043153A"/>
    <w:rsid w:val="00434A91"/>
    <w:rsid w:val="00442AD1"/>
    <w:rsid w:val="00444ABD"/>
    <w:rsid w:val="00444E32"/>
    <w:rsid w:val="00445BF1"/>
    <w:rsid w:val="004475A2"/>
    <w:rsid w:val="00447938"/>
    <w:rsid w:val="00450352"/>
    <w:rsid w:val="0045360A"/>
    <w:rsid w:val="00455530"/>
    <w:rsid w:val="00455DBF"/>
    <w:rsid w:val="00456E77"/>
    <w:rsid w:val="004600D1"/>
    <w:rsid w:val="004616D1"/>
    <w:rsid w:val="00461821"/>
    <w:rsid w:val="004653A6"/>
    <w:rsid w:val="00466B8A"/>
    <w:rsid w:val="00472368"/>
    <w:rsid w:val="0047746D"/>
    <w:rsid w:val="00477690"/>
    <w:rsid w:val="0048132E"/>
    <w:rsid w:val="004813E6"/>
    <w:rsid w:val="004837E3"/>
    <w:rsid w:val="00484184"/>
    <w:rsid w:val="004846EB"/>
    <w:rsid w:val="00485522"/>
    <w:rsid w:val="00486975"/>
    <w:rsid w:val="004911A1"/>
    <w:rsid w:val="004917E3"/>
    <w:rsid w:val="00495C9A"/>
    <w:rsid w:val="00497199"/>
    <w:rsid w:val="00497A97"/>
    <w:rsid w:val="004A0D70"/>
    <w:rsid w:val="004A1130"/>
    <w:rsid w:val="004A40F7"/>
    <w:rsid w:val="004A56E6"/>
    <w:rsid w:val="004B11C0"/>
    <w:rsid w:val="004B2208"/>
    <w:rsid w:val="004B787C"/>
    <w:rsid w:val="004B7F46"/>
    <w:rsid w:val="004C1FBF"/>
    <w:rsid w:val="004D3CED"/>
    <w:rsid w:val="004D5B19"/>
    <w:rsid w:val="004E0831"/>
    <w:rsid w:val="004E28CE"/>
    <w:rsid w:val="004E674A"/>
    <w:rsid w:val="004F33D2"/>
    <w:rsid w:val="004F4F11"/>
    <w:rsid w:val="004F68B8"/>
    <w:rsid w:val="00504012"/>
    <w:rsid w:val="005049EC"/>
    <w:rsid w:val="00504BAA"/>
    <w:rsid w:val="005057A0"/>
    <w:rsid w:val="005102C1"/>
    <w:rsid w:val="00511024"/>
    <w:rsid w:val="00511E3E"/>
    <w:rsid w:val="00511F1C"/>
    <w:rsid w:val="00513C0E"/>
    <w:rsid w:val="005205A7"/>
    <w:rsid w:val="00522DB0"/>
    <w:rsid w:val="0053078B"/>
    <w:rsid w:val="005317E7"/>
    <w:rsid w:val="005352D0"/>
    <w:rsid w:val="00535493"/>
    <w:rsid w:val="005438DE"/>
    <w:rsid w:val="00543B32"/>
    <w:rsid w:val="00543C7B"/>
    <w:rsid w:val="00544BE1"/>
    <w:rsid w:val="00544FEB"/>
    <w:rsid w:val="005460B1"/>
    <w:rsid w:val="00547289"/>
    <w:rsid w:val="005476CA"/>
    <w:rsid w:val="005512DF"/>
    <w:rsid w:val="00556466"/>
    <w:rsid w:val="005570B7"/>
    <w:rsid w:val="005605AD"/>
    <w:rsid w:val="00561C85"/>
    <w:rsid w:val="005635D9"/>
    <w:rsid w:val="0056551C"/>
    <w:rsid w:val="00572AB0"/>
    <w:rsid w:val="00576DA0"/>
    <w:rsid w:val="0057751B"/>
    <w:rsid w:val="0058096A"/>
    <w:rsid w:val="0058221D"/>
    <w:rsid w:val="00582B03"/>
    <w:rsid w:val="00584EF4"/>
    <w:rsid w:val="0058559D"/>
    <w:rsid w:val="00586CCA"/>
    <w:rsid w:val="005877F6"/>
    <w:rsid w:val="00597827"/>
    <w:rsid w:val="005A4DE0"/>
    <w:rsid w:val="005A721D"/>
    <w:rsid w:val="005A7D74"/>
    <w:rsid w:val="005B2032"/>
    <w:rsid w:val="005B2E64"/>
    <w:rsid w:val="005B42B8"/>
    <w:rsid w:val="005B466D"/>
    <w:rsid w:val="005B5391"/>
    <w:rsid w:val="005B646D"/>
    <w:rsid w:val="005B795F"/>
    <w:rsid w:val="005C3F7A"/>
    <w:rsid w:val="005C4AB8"/>
    <w:rsid w:val="005C5826"/>
    <w:rsid w:val="005D0BAC"/>
    <w:rsid w:val="005D31B6"/>
    <w:rsid w:val="005D5374"/>
    <w:rsid w:val="005D70CA"/>
    <w:rsid w:val="005D70F7"/>
    <w:rsid w:val="005E113C"/>
    <w:rsid w:val="005E212E"/>
    <w:rsid w:val="005E3207"/>
    <w:rsid w:val="005E3FA6"/>
    <w:rsid w:val="005E56E2"/>
    <w:rsid w:val="005E5944"/>
    <w:rsid w:val="005F06F6"/>
    <w:rsid w:val="005F15B3"/>
    <w:rsid w:val="005F1B81"/>
    <w:rsid w:val="005F1CF0"/>
    <w:rsid w:val="005F1E19"/>
    <w:rsid w:val="005F3243"/>
    <w:rsid w:val="005F4911"/>
    <w:rsid w:val="005F53D1"/>
    <w:rsid w:val="005F6176"/>
    <w:rsid w:val="005F7F71"/>
    <w:rsid w:val="0060036D"/>
    <w:rsid w:val="00606AE4"/>
    <w:rsid w:val="00607FFC"/>
    <w:rsid w:val="00611AC4"/>
    <w:rsid w:val="00613E7D"/>
    <w:rsid w:val="0061564C"/>
    <w:rsid w:val="0061745D"/>
    <w:rsid w:val="0062159F"/>
    <w:rsid w:val="00624E12"/>
    <w:rsid w:val="00630D63"/>
    <w:rsid w:val="00637F1C"/>
    <w:rsid w:val="00640D23"/>
    <w:rsid w:val="00643D88"/>
    <w:rsid w:val="00644204"/>
    <w:rsid w:val="0064724F"/>
    <w:rsid w:val="006503C2"/>
    <w:rsid w:val="006534E3"/>
    <w:rsid w:val="00653B73"/>
    <w:rsid w:val="00653EB7"/>
    <w:rsid w:val="0065654F"/>
    <w:rsid w:val="006566B0"/>
    <w:rsid w:val="00657287"/>
    <w:rsid w:val="00660380"/>
    <w:rsid w:val="00664B2D"/>
    <w:rsid w:val="00665E7E"/>
    <w:rsid w:val="00666B0D"/>
    <w:rsid w:val="006675C9"/>
    <w:rsid w:val="0067171A"/>
    <w:rsid w:val="006743D0"/>
    <w:rsid w:val="00681693"/>
    <w:rsid w:val="006825A0"/>
    <w:rsid w:val="00682B82"/>
    <w:rsid w:val="00687139"/>
    <w:rsid w:val="006879B2"/>
    <w:rsid w:val="006939F2"/>
    <w:rsid w:val="00693EB9"/>
    <w:rsid w:val="006951FD"/>
    <w:rsid w:val="00695700"/>
    <w:rsid w:val="006A0654"/>
    <w:rsid w:val="006A3059"/>
    <w:rsid w:val="006A365A"/>
    <w:rsid w:val="006A3BD7"/>
    <w:rsid w:val="006B31DF"/>
    <w:rsid w:val="006B43B1"/>
    <w:rsid w:val="006B5FEF"/>
    <w:rsid w:val="006C29F7"/>
    <w:rsid w:val="006C666A"/>
    <w:rsid w:val="006D29C5"/>
    <w:rsid w:val="006D4D4A"/>
    <w:rsid w:val="006D5B26"/>
    <w:rsid w:val="006D5C26"/>
    <w:rsid w:val="006D7AFF"/>
    <w:rsid w:val="006E1D19"/>
    <w:rsid w:val="006E2CFE"/>
    <w:rsid w:val="006E60DE"/>
    <w:rsid w:val="006E7655"/>
    <w:rsid w:val="006E7E10"/>
    <w:rsid w:val="00704316"/>
    <w:rsid w:val="0070460E"/>
    <w:rsid w:val="00704E6D"/>
    <w:rsid w:val="00707FF8"/>
    <w:rsid w:val="0071133F"/>
    <w:rsid w:val="0071184A"/>
    <w:rsid w:val="00712763"/>
    <w:rsid w:val="00713466"/>
    <w:rsid w:val="00713695"/>
    <w:rsid w:val="00722A13"/>
    <w:rsid w:val="007258F3"/>
    <w:rsid w:val="0072628A"/>
    <w:rsid w:val="00727173"/>
    <w:rsid w:val="007307E0"/>
    <w:rsid w:val="007317DB"/>
    <w:rsid w:val="007328F2"/>
    <w:rsid w:val="00733405"/>
    <w:rsid w:val="00735118"/>
    <w:rsid w:val="00736575"/>
    <w:rsid w:val="00740C92"/>
    <w:rsid w:val="00740C97"/>
    <w:rsid w:val="0074129F"/>
    <w:rsid w:val="00743B5A"/>
    <w:rsid w:val="00751455"/>
    <w:rsid w:val="0075604C"/>
    <w:rsid w:val="0076040B"/>
    <w:rsid w:val="00762027"/>
    <w:rsid w:val="00762741"/>
    <w:rsid w:val="00763B33"/>
    <w:rsid w:val="00764C6C"/>
    <w:rsid w:val="007666BA"/>
    <w:rsid w:val="0076791A"/>
    <w:rsid w:val="00773A43"/>
    <w:rsid w:val="00773CA9"/>
    <w:rsid w:val="00774CCB"/>
    <w:rsid w:val="00775A75"/>
    <w:rsid w:val="00776360"/>
    <w:rsid w:val="00776485"/>
    <w:rsid w:val="00776C3E"/>
    <w:rsid w:val="0078133C"/>
    <w:rsid w:val="00781420"/>
    <w:rsid w:val="007844A9"/>
    <w:rsid w:val="00791BA6"/>
    <w:rsid w:val="007923D4"/>
    <w:rsid w:val="00795776"/>
    <w:rsid w:val="007A042F"/>
    <w:rsid w:val="007A69D5"/>
    <w:rsid w:val="007B1E4D"/>
    <w:rsid w:val="007B7AFD"/>
    <w:rsid w:val="007C3302"/>
    <w:rsid w:val="007C5FB3"/>
    <w:rsid w:val="007C68E0"/>
    <w:rsid w:val="007C6C12"/>
    <w:rsid w:val="007D0E3D"/>
    <w:rsid w:val="007D0F37"/>
    <w:rsid w:val="007D1C6F"/>
    <w:rsid w:val="007D78A9"/>
    <w:rsid w:val="007D7A4E"/>
    <w:rsid w:val="007E0208"/>
    <w:rsid w:val="007E22AC"/>
    <w:rsid w:val="007E351E"/>
    <w:rsid w:val="007E6342"/>
    <w:rsid w:val="007F3B02"/>
    <w:rsid w:val="007F3C17"/>
    <w:rsid w:val="008001CB"/>
    <w:rsid w:val="008002C4"/>
    <w:rsid w:val="0080165E"/>
    <w:rsid w:val="00803D8F"/>
    <w:rsid w:val="00804BA2"/>
    <w:rsid w:val="00807336"/>
    <w:rsid w:val="0081043A"/>
    <w:rsid w:val="00810989"/>
    <w:rsid w:val="00810B38"/>
    <w:rsid w:val="00813278"/>
    <w:rsid w:val="00815D9A"/>
    <w:rsid w:val="008200AF"/>
    <w:rsid w:val="00820B14"/>
    <w:rsid w:val="00822698"/>
    <w:rsid w:val="008231A0"/>
    <w:rsid w:val="008251CE"/>
    <w:rsid w:val="008339AB"/>
    <w:rsid w:val="00835752"/>
    <w:rsid w:val="00835A3D"/>
    <w:rsid w:val="0084024A"/>
    <w:rsid w:val="00840B1F"/>
    <w:rsid w:val="008410E5"/>
    <w:rsid w:val="00842680"/>
    <w:rsid w:val="00842D4A"/>
    <w:rsid w:val="008434F2"/>
    <w:rsid w:val="008460CC"/>
    <w:rsid w:val="008478C3"/>
    <w:rsid w:val="0085199A"/>
    <w:rsid w:val="00856957"/>
    <w:rsid w:val="00860D7D"/>
    <w:rsid w:val="00862D86"/>
    <w:rsid w:val="008634CB"/>
    <w:rsid w:val="008644F4"/>
    <w:rsid w:val="00864F2C"/>
    <w:rsid w:val="00866743"/>
    <w:rsid w:val="00867527"/>
    <w:rsid w:val="0087261A"/>
    <w:rsid w:val="00873F67"/>
    <w:rsid w:val="00880043"/>
    <w:rsid w:val="00885E74"/>
    <w:rsid w:val="00887FC8"/>
    <w:rsid w:val="00890852"/>
    <w:rsid w:val="008908B2"/>
    <w:rsid w:val="0089187C"/>
    <w:rsid w:val="008927B7"/>
    <w:rsid w:val="00892F53"/>
    <w:rsid w:val="00896B0F"/>
    <w:rsid w:val="00896C5E"/>
    <w:rsid w:val="008A01D2"/>
    <w:rsid w:val="008A02A9"/>
    <w:rsid w:val="008A7A35"/>
    <w:rsid w:val="008B03D0"/>
    <w:rsid w:val="008B041A"/>
    <w:rsid w:val="008B3096"/>
    <w:rsid w:val="008B31D0"/>
    <w:rsid w:val="008C0C7A"/>
    <w:rsid w:val="008C10C3"/>
    <w:rsid w:val="008C4807"/>
    <w:rsid w:val="008C61D2"/>
    <w:rsid w:val="008C79E4"/>
    <w:rsid w:val="008C7E05"/>
    <w:rsid w:val="008D05E9"/>
    <w:rsid w:val="008D22FA"/>
    <w:rsid w:val="008D23DB"/>
    <w:rsid w:val="008D32C4"/>
    <w:rsid w:val="008D3994"/>
    <w:rsid w:val="008D71A4"/>
    <w:rsid w:val="008D7A2A"/>
    <w:rsid w:val="008E01A4"/>
    <w:rsid w:val="008E0B3D"/>
    <w:rsid w:val="008E1624"/>
    <w:rsid w:val="008E182E"/>
    <w:rsid w:val="008E3CCC"/>
    <w:rsid w:val="008E3D2C"/>
    <w:rsid w:val="008E7729"/>
    <w:rsid w:val="008F052D"/>
    <w:rsid w:val="008F7874"/>
    <w:rsid w:val="0090002F"/>
    <w:rsid w:val="009004BC"/>
    <w:rsid w:val="00901F62"/>
    <w:rsid w:val="009020FC"/>
    <w:rsid w:val="009066FA"/>
    <w:rsid w:val="0090781B"/>
    <w:rsid w:val="009112B3"/>
    <w:rsid w:val="009118B5"/>
    <w:rsid w:val="0091326F"/>
    <w:rsid w:val="00913C33"/>
    <w:rsid w:val="00915126"/>
    <w:rsid w:val="00915B49"/>
    <w:rsid w:val="00916A21"/>
    <w:rsid w:val="00920715"/>
    <w:rsid w:val="00921394"/>
    <w:rsid w:val="00921D41"/>
    <w:rsid w:val="00924DBD"/>
    <w:rsid w:val="009337F0"/>
    <w:rsid w:val="009376BD"/>
    <w:rsid w:val="009376EE"/>
    <w:rsid w:val="00940F96"/>
    <w:rsid w:val="0094259F"/>
    <w:rsid w:val="00942D44"/>
    <w:rsid w:val="00951095"/>
    <w:rsid w:val="00952F5D"/>
    <w:rsid w:val="00953FF7"/>
    <w:rsid w:val="00957044"/>
    <w:rsid w:val="00962549"/>
    <w:rsid w:val="0096413B"/>
    <w:rsid w:val="00965B9F"/>
    <w:rsid w:val="00965CB7"/>
    <w:rsid w:val="00966B70"/>
    <w:rsid w:val="00967CA6"/>
    <w:rsid w:val="00971349"/>
    <w:rsid w:val="00973036"/>
    <w:rsid w:val="009747E5"/>
    <w:rsid w:val="009769C2"/>
    <w:rsid w:val="00977B9C"/>
    <w:rsid w:val="009803FC"/>
    <w:rsid w:val="00981975"/>
    <w:rsid w:val="00981D84"/>
    <w:rsid w:val="00985617"/>
    <w:rsid w:val="0098762E"/>
    <w:rsid w:val="00990044"/>
    <w:rsid w:val="00991668"/>
    <w:rsid w:val="00992CB3"/>
    <w:rsid w:val="0099341D"/>
    <w:rsid w:val="00993429"/>
    <w:rsid w:val="009944FE"/>
    <w:rsid w:val="00994A6C"/>
    <w:rsid w:val="00997665"/>
    <w:rsid w:val="009A318A"/>
    <w:rsid w:val="009B0654"/>
    <w:rsid w:val="009B10ED"/>
    <w:rsid w:val="009B1B64"/>
    <w:rsid w:val="009B23BE"/>
    <w:rsid w:val="009B2BFE"/>
    <w:rsid w:val="009B2C6F"/>
    <w:rsid w:val="009B50C0"/>
    <w:rsid w:val="009B59E3"/>
    <w:rsid w:val="009B5B35"/>
    <w:rsid w:val="009C0092"/>
    <w:rsid w:val="009C07F2"/>
    <w:rsid w:val="009C0DD3"/>
    <w:rsid w:val="009C2BB7"/>
    <w:rsid w:val="009C7976"/>
    <w:rsid w:val="009D1991"/>
    <w:rsid w:val="009D626F"/>
    <w:rsid w:val="009E5AD4"/>
    <w:rsid w:val="009E7986"/>
    <w:rsid w:val="009E7E3E"/>
    <w:rsid w:val="009F05F8"/>
    <w:rsid w:val="009F1226"/>
    <w:rsid w:val="009F174A"/>
    <w:rsid w:val="009F2DAF"/>
    <w:rsid w:val="009F2FD7"/>
    <w:rsid w:val="009F57D9"/>
    <w:rsid w:val="009F7AD6"/>
    <w:rsid w:val="00A00CC7"/>
    <w:rsid w:val="00A01140"/>
    <w:rsid w:val="00A02DB1"/>
    <w:rsid w:val="00A078FA"/>
    <w:rsid w:val="00A153D6"/>
    <w:rsid w:val="00A158BA"/>
    <w:rsid w:val="00A15BD2"/>
    <w:rsid w:val="00A17E3C"/>
    <w:rsid w:val="00A2101A"/>
    <w:rsid w:val="00A22A63"/>
    <w:rsid w:val="00A24077"/>
    <w:rsid w:val="00A2458F"/>
    <w:rsid w:val="00A24F3A"/>
    <w:rsid w:val="00A254B9"/>
    <w:rsid w:val="00A25F52"/>
    <w:rsid w:val="00A30195"/>
    <w:rsid w:val="00A316B6"/>
    <w:rsid w:val="00A32962"/>
    <w:rsid w:val="00A36885"/>
    <w:rsid w:val="00A37920"/>
    <w:rsid w:val="00A41577"/>
    <w:rsid w:val="00A467CF"/>
    <w:rsid w:val="00A500C6"/>
    <w:rsid w:val="00A5052C"/>
    <w:rsid w:val="00A55207"/>
    <w:rsid w:val="00A57185"/>
    <w:rsid w:val="00A57909"/>
    <w:rsid w:val="00A60850"/>
    <w:rsid w:val="00A61445"/>
    <w:rsid w:val="00A6244F"/>
    <w:rsid w:val="00A6398D"/>
    <w:rsid w:val="00A65931"/>
    <w:rsid w:val="00A66877"/>
    <w:rsid w:val="00A7054E"/>
    <w:rsid w:val="00A75581"/>
    <w:rsid w:val="00A77366"/>
    <w:rsid w:val="00A86F4A"/>
    <w:rsid w:val="00A9389F"/>
    <w:rsid w:val="00A939CC"/>
    <w:rsid w:val="00A9412A"/>
    <w:rsid w:val="00A94E81"/>
    <w:rsid w:val="00A952A6"/>
    <w:rsid w:val="00AA13FE"/>
    <w:rsid w:val="00AA44E2"/>
    <w:rsid w:val="00AA4ECC"/>
    <w:rsid w:val="00AA779B"/>
    <w:rsid w:val="00AB1B06"/>
    <w:rsid w:val="00AB22B2"/>
    <w:rsid w:val="00AB2BC7"/>
    <w:rsid w:val="00AB3672"/>
    <w:rsid w:val="00AB7250"/>
    <w:rsid w:val="00AC2573"/>
    <w:rsid w:val="00AC308A"/>
    <w:rsid w:val="00AC5C95"/>
    <w:rsid w:val="00AC7779"/>
    <w:rsid w:val="00AC7F3D"/>
    <w:rsid w:val="00AD0836"/>
    <w:rsid w:val="00AD1BCC"/>
    <w:rsid w:val="00AD2CCF"/>
    <w:rsid w:val="00AD5E2B"/>
    <w:rsid w:val="00AE25AD"/>
    <w:rsid w:val="00AE3272"/>
    <w:rsid w:val="00AE57E5"/>
    <w:rsid w:val="00AE65E0"/>
    <w:rsid w:val="00AE7DBA"/>
    <w:rsid w:val="00AF10DE"/>
    <w:rsid w:val="00AF1702"/>
    <w:rsid w:val="00AF2CC1"/>
    <w:rsid w:val="00AF406E"/>
    <w:rsid w:val="00AF549B"/>
    <w:rsid w:val="00AF69D2"/>
    <w:rsid w:val="00B023B9"/>
    <w:rsid w:val="00B03CE6"/>
    <w:rsid w:val="00B108B1"/>
    <w:rsid w:val="00B11685"/>
    <w:rsid w:val="00B13E9B"/>
    <w:rsid w:val="00B1555A"/>
    <w:rsid w:val="00B1568B"/>
    <w:rsid w:val="00B16327"/>
    <w:rsid w:val="00B165B1"/>
    <w:rsid w:val="00B17E8B"/>
    <w:rsid w:val="00B219A0"/>
    <w:rsid w:val="00B21B15"/>
    <w:rsid w:val="00B248F2"/>
    <w:rsid w:val="00B253FE"/>
    <w:rsid w:val="00B2606D"/>
    <w:rsid w:val="00B2614E"/>
    <w:rsid w:val="00B27E55"/>
    <w:rsid w:val="00B311FB"/>
    <w:rsid w:val="00B34AFC"/>
    <w:rsid w:val="00B36C95"/>
    <w:rsid w:val="00B3779C"/>
    <w:rsid w:val="00B41E24"/>
    <w:rsid w:val="00B42C91"/>
    <w:rsid w:val="00B43CCD"/>
    <w:rsid w:val="00B44295"/>
    <w:rsid w:val="00B44B0A"/>
    <w:rsid w:val="00B52131"/>
    <w:rsid w:val="00B52420"/>
    <w:rsid w:val="00B548B9"/>
    <w:rsid w:val="00B57045"/>
    <w:rsid w:val="00B60A72"/>
    <w:rsid w:val="00B6100B"/>
    <w:rsid w:val="00B64AE7"/>
    <w:rsid w:val="00B66264"/>
    <w:rsid w:val="00B67C68"/>
    <w:rsid w:val="00B67EF6"/>
    <w:rsid w:val="00B70D15"/>
    <w:rsid w:val="00B716B4"/>
    <w:rsid w:val="00B7239C"/>
    <w:rsid w:val="00B73B25"/>
    <w:rsid w:val="00B811EC"/>
    <w:rsid w:val="00B84545"/>
    <w:rsid w:val="00B84AB9"/>
    <w:rsid w:val="00B97306"/>
    <w:rsid w:val="00BA0242"/>
    <w:rsid w:val="00BA1CD1"/>
    <w:rsid w:val="00BA4895"/>
    <w:rsid w:val="00BA65C3"/>
    <w:rsid w:val="00BB362E"/>
    <w:rsid w:val="00BB3DA5"/>
    <w:rsid w:val="00BB4FD3"/>
    <w:rsid w:val="00BB5E52"/>
    <w:rsid w:val="00BB688D"/>
    <w:rsid w:val="00BB79E6"/>
    <w:rsid w:val="00BC166D"/>
    <w:rsid w:val="00BC33CC"/>
    <w:rsid w:val="00BC6468"/>
    <w:rsid w:val="00BC67A9"/>
    <w:rsid w:val="00BC708C"/>
    <w:rsid w:val="00BC792D"/>
    <w:rsid w:val="00BC7D54"/>
    <w:rsid w:val="00BD1109"/>
    <w:rsid w:val="00BD368B"/>
    <w:rsid w:val="00BD394C"/>
    <w:rsid w:val="00BD3D9B"/>
    <w:rsid w:val="00BD4572"/>
    <w:rsid w:val="00BD479F"/>
    <w:rsid w:val="00BD4ABF"/>
    <w:rsid w:val="00BD59A9"/>
    <w:rsid w:val="00BE193E"/>
    <w:rsid w:val="00BE54B1"/>
    <w:rsid w:val="00BE5BE8"/>
    <w:rsid w:val="00BE5EA9"/>
    <w:rsid w:val="00BF38DE"/>
    <w:rsid w:val="00BF3BF3"/>
    <w:rsid w:val="00BF41A8"/>
    <w:rsid w:val="00BF4E4B"/>
    <w:rsid w:val="00BF60D3"/>
    <w:rsid w:val="00BF78D9"/>
    <w:rsid w:val="00BF791F"/>
    <w:rsid w:val="00C01CAC"/>
    <w:rsid w:val="00C033A1"/>
    <w:rsid w:val="00C035AC"/>
    <w:rsid w:val="00C03EEF"/>
    <w:rsid w:val="00C04359"/>
    <w:rsid w:val="00C0570F"/>
    <w:rsid w:val="00C0572E"/>
    <w:rsid w:val="00C059E6"/>
    <w:rsid w:val="00C07449"/>
    <w:rsid w:val="00C10719"/>
    <w:rsid w:val="00C11086"/>
    <w:rsid w:val="00C1116A"/>
    <w:rsid w:val="00C111CA"/>
    <w:rsid w:val="00C12E0F"/>
    <w:rsid w:val="00C22573"/>
    <w:rsid w:val="00C22B67"/>
    <w:rsid w:val="00C26EB1"/>
    <w:rsid w:val="00C277F2"/>
    <w:rsid w:val="00C308FA"/>
    <w:rsid w:val="00C33EDE"/>
    <w:rsid w:val="00C406C1"/>
    <w:rsid w:val="00C43849"/>
    <w:rsid w:val="00C4501D"/>
    <w:rsid w:val="00C45F02"/>
    <w:rsid w:val="00C47260"/>
    <w:rsid w:val="00C51041"/>
    <w:rsid w:val="00C51B55"/>
    <w:rsid w:val="00C54B98"/>
    <w:rsid w:val="00C553E8"/>
    <w:rsid w:val="00C55D2F"/>
    <w:rsid w:val="00C60E50"/>
    <w:rsid w:val="00C6130C"/>
    <w:rsid w:val="00C619F2"/>
    <w:rsid w:val="00C721A2"/>
    <w:rsid w:val="00C72309"/>
    <w:rsid w:val="00C75BE8"/>
    <w:rsid w:val="00C75C75"/>
    <w:rsid w:val="00C80245"/>
    <w:rsid w:val="00C82028"/>
    <w:rsid w:val="00C82754"/>
    <w:rsid w:val="00C82C6A"/>
    <w:rsid w:val="00C858B7"/>
    <w:rsid w:val="00C86A7A"/>
    <w:rsid w:val="00C87CB0"/>
    <w:rsid w:val="00C92529"/>
    <w:rsid w:val="00C93A70"/>
    <w:rsid w:val="00C9409B"/>
    <w:rsid w:val="00C94AE5"/>
    <w:rsid w:val="00C95414"/>
    <w:rsid w:val="00CA3AF2"/>
    <w:rsid w:val="00CB08E4"/>
    <w:rsid w:val="00CB1FB1"/>
    <w:rsid w:val="00CB29C5"/>
    <w:rsid w:val="00CB2CE1"/>
    <w:rsid w:val="00CB3476"/>
    <w:rsid w:val="00CB4963"/>
    <w:rsid w:val="00CC51CE"/>
    <w:rsid w:val="00CC63D6"/>
    <w:rsid w:val="00CC7A6B"/>
    <w:rsid w:val="00CD22C1"/>
    <w:rsid w:val="00CD39C1"/>
    <w:rsid w:val="00CE1274"/>
    <w:rsid w:val="00CE1C87"/>
    <w:rsid w:val="00CE2A7B"/>
    <w:rsid w:val="00CE3E42"/>
    <w:rsid w:val="00CE5F5E"/>
    <w:rsid w:val="00CE6957"/>
    <w:rsid w:val="00CE6DC9"/>
    <w:rsid w:val="00CE6DE8"/>
    <w:rsid w:val="00CE7ECD"/>
    <w:rsid w:val="00CF0C1E"/>
    <w:rsid w:val="00CF2149"/>
    <w:rsid w:val="00CF271E"/>
    <w:rsid w:val="00CF2870"/>
    <w:rsid w:val="00CF4C7F"/>
    <w:rsid w:val="00CF7564"/>
    <w:rsid w:val="00D0049F"/>
    <w:rsid w:val="00D0064A"/>
    <w:rsid w:val="00D00C4C"/>
    <w:rsid w:val="00D02E5E"/>
    <w:rsid w:val="00D033E0"/>
    <w:rsid w:val="00D05ACB"/>
    <w:rsid w:val="00D10BF6"/>
    <w:rsid w:val="00D10ED5"/>
    <w:rsid w:val="00D129AE"/>
    <w:rsid w:val="00D13C59"/>
    <w:rsid w:val="00D14D78"/>
    <w:rsid w:val="00D20097"/>
    <w:rsid w:val="00D2235B"/>
    <w:rsid w:val="00D267B9"/>
    <w:rsid w:val="00D26F3D"/>
    <w:rsid w:val="00D305C0"/>
    <w:rsid w:val="00D3066C"/>
    <w:rsid w:val="00D30D0F"/>
    <w:rsid w:val="00D32681"/>
    <w:rsid w:val="00D37A9B"/>
    <w:rsid w:val="00D40A4E"/>
    <w:rsid w:val="00D4170C"/>
    <w:rsid w:val="00D41C3E"/>
    <w:rsid w:val="00D43674"/>
    <w:rsid w:val="00D43BB5"/>
    <w:rsid w:val="00D44244"/>
    <w:rsid w:val="00D45EF1"/>
    <w:rsid w:val="00D464F8"/>
    <w:rsid w:val="00D5014A"/>
    <w:rsid w:val="00D520BF"/>
    <w:rsid w:val="00D54A52"/>
    <w:rsid w:val="00D569CA"/>
    <w:rsid w:val="00D57DAF"/>
    <w:rsid w:val="00D60207"/>
    <w:rsid w:val="00D63475"/>
    <w:rsid w:val="00D63CBE"/>
    <w:rsid w:val="00D64F60"/>
    <w:rsid w:val="00D66043"/>
    <w:rsid w:val="00D66244"/>
    <w:rsid w:val="00D71651"/>
    <w:rsid w:val="00D761E6"/>
    <w:rsid w:val="00D81B2F"/>
    <w:rsid w:val="00D84319"/>
    <w:rsid w:val="00D85BAB"/>
    <w:rsid w:val="00D87441"/>
    <w:rsid w:val="00D91021"/>
    <w:rsid w:val="00DB5F42"/>
    <w:rsid w:val="00DB6F07"/>
    <w:rsid w:val="00DC71B4"/>
    <w:rsid w:val="00DD07FA"/>
    <w:rsid w:val="00DD0A7A"/>
    <w:rsid w:val="00DD1CB9"/>
    <w:rsid w:val="00DD1E9A"/>
    <w:rsid w:val="00DD7404"/>
    <w:rsid w:val="00DE0360"/>
    <w:rsid w:val="00DE12C0"/>
    <w:rsid w:val="00DE2A2F"/>
    <w:rsid w:val="00DF22B0"/>
    <w:rsid w:val="00DF4BE4"/>
    <w:rsid w:val="00E003D6"/>
    <w:rsid w:val="00E00BA7"/>
    <w:rsid w:val="00E01031"/>
    <w:rsid w:val="00E01EA5"/>
    <w:rsid w:val="00E0323E"/>
    <w:rsid w:val="00E04D84"/>
    <w:rsid w:val="00E063D8"/>
    <w:rsid w:val="00E06767"/>
    <w:rsid w:val="00E11C07"/>
    <w:rsid w:val="00E11D7A"/>
    <w:rsid w:val="00E12352"/>
    <w:rsid w:val="00E13822"/>
    <w:rsid w:val="00E17C7D"/>
    <w:rsid w:val="00E22CA1"/>
    <w:rsid w:val="00E22D7C"/>
    <w:rsid w:val="00E23B5C"/>
    <w:rsid w:val="00E2459B"/>
    <w:rsid w:val="00E245B8"/>
    <w:rsid w:val="00E24C14"/>
    <w:rsid w:val="00E24F21"/>
    <w:rsid w:val="00E266A4"/>
    <w:rsid w:val="00E2785D"/>
    <w:rsid w:val="00E32686"/>
    <w:rsid w:val="00E339A2"/>
    <w:rsid w:val="00E34416"/>
    <w:rsid w:val="00E34487"/>
    <w:rsid w:val="00E40A52"/>
    <w:rsid w:val="00E41C91"/>
    <w:rsid w:val="00E42E83"/>
    <w:rsid w:val="00E457F9"/>
    <w:rsid w:val="00E45CE6"/>
    <w:rsid w:val="00E4714F"/>
    <w:rsid w:val="00E474D9"/>
    <w:rsid w:val="00E50BC4"/>
    <w:rsid w:val="00E50EA6"/>
    <w:rsid w:val="00E50EDA"/>
    <w:rsid w:val="00E56D20"/>
    <w:rsid w:val="00E61FF0"/>
    <w:rsid w:val="00E62F00"/>
    <w:rsid w:val="00E637DF"/>
    <w:rsid w:val="00E63A56"/>
    <w:rsid w:val="00E65E8E"/>
    <w:rsid w:val="00E66184"/>
    <w:rsid w:val="00E67DED"/>
    <w:rsid w:val="00E704A5"/>
    <w:rsid w:val="00E72569"/>
    <w:rsid w:val="00E72CE6"/>
    <w:rsid w:val="00E74816"/>
    <w:rsid w:val="00E77643"/>
    <w:rsid w:val="00E834A9"/>
    <w:rsid w:val="00E84DEF"/>
    <w:rsid w:val="00E875CA"/>
    <w:rsid w:val="00E90919"/>
    <w:rsid w:val="00E9105F"/>
    <w:rsid w:val="00E96594"/>
    <w:rsid w:val="00E9717F"/>
    <w:rsid w:val="00EA15D9"/>
    <w:rsid w:val="00EA26D5"/>
    <w:rsid w:val="00EA4133"/>
    <w:rsid w:val="00EA499B"/>
    <w:rsid w:val="00EA7952"/>
    <w:rsid w:val="00EB1E50"/>
    <w:rsid w:val="00EB2747"/>
    <w:rsid w:val="00EB2F48"/>
    <w:rsid w:val="00EB3A76"/>
    <w:rsid w:val="00EB4FF7"/>
    <w:rsid w:val="00EB514B"/>
    <w:rsid w:val="00EB73E2"/>
    <w:rsid w:val="00EC3492"/>
    <w:rsid w:val="00EC7717"/>
    <w:rsid w:val="00EC7BEF"/>
    <w:rsid w:val="00ED3B43"/>
    <w:rsid w:val="00ED410F"/>
    <w:rsid w:val="00ED7E43"/>
    <w:rsid w:val="00EE0652"/>
    <w:rsid w:val="00EE0FDA"/>
    <w:rsid w:val="00EE2805"/>
    <w:rsid w:val="00EE60E4"/>
    <w:rsid w:val="00EE76D6"/>
    <w:rsid w:val="00EE78AC"/>
    <w:rsid w:val="00EF17C3"/>
    <w:rsid w:val="00EF5FEA"/>
    <w:rsid w:val="00EF659C"/>
    <w:rsid w:val="00EF6DDD"/>
    <w:rsid w:val="00EF7B54"/>
    <w:rsid w:val="00F04450"/>
    <w:rsid w:val="00F04B3A"/>
    <w:rsid w:val="00F05B5E"/>
    <w:rsid w:val="00F0697E"/>
    <w:rsid w:val="00F10D39"/>
    <w:rsid w:val="00F15BCF"/>
    <w:rsid w:val="00F22985"/>
    <w:rsid w:val="00F2376C"/>
    <w:rsid w:val="00F2399B"/>
    <w:rsid w:val="00F321E0"/>
    <w:rsid w:val="00F411F8"/>
    <w:rsid w:val="00F41F6E"/>
    <w:rsid w:val="00F45BE2"/>
    <w:rsid w:val="00F467E4"/>
    <w:rsid w:val="00F46E54"/>
    <w:rsid w:val="00F5297F"/>
    <w:rsid w:val="00F53625"/>
    <w:rsid w:val="00F558C5"/>
    <w:rsid w:val="00F60368"/>
    <w:rsid w:val="00F613F4"/>
    <w:rsid w:val="00F64ED6"/>
    <w:rsid w:val="00F66837"/>
    <w:rsid w:val="00F702A3"/>
    <w:rsid w:val="00F703C4"/>
    <w:rsid w:val="00F70967"/>
    <w:rsid w:val="00F710D7"/>
    <w:rsid w:val="00F71E91"/>
    <w:rsid w:val="00F721A5"/>
    <w:rsid w:val="00F76203"/>
    <w:rsid w:val="00F801A4"/>
    <w:rsid w:val="00F80F6A"/>
    <w:rsid w:val="00F8586A"/>
    <w:rsid w:val="00F877C9"/>
    <w:rsid w:val="00F92009"/>
    <w:rsid w:val="00F95A1D"/>
    <w:rsid w:val="00FA059B"/>
    <w:rsid w:val="00FA0D36"/>
    <w:rsid w:val="00FA0F86"/>
    <w:rsid w:val="00FA1524"/>
    <w:rsid w:val="00FA26A2"/>
    <w:rsid w:val="00FA2F8D"/>
    <w:rsid w:val="00FA31D9"/>
    <w:rsid w:val="00FA3CDD"/>
    <w:rsid w:val="00FA4416"/>
    <w:rsid w:val="00FB0234"/>
    <w:rsid w:val="00FB04AA"/>
    <w:rsid w:val="00FB23AC"/>
    <w:rsid w:val="00FB6904"/>
    <w:rsid w:val="00FB6E31"/>
    <w:rsid w:val="00FB723A"/>
    <w:rsid w:val="00FC09C7"/>
    <w:rsid w:val="00FC3CAA"/>
    <w:rsid w:val="00FC58BD"/>
    <w:rsid w:val="00FD0501"/>
    <w:rsid w:val="00FD25A2"/>
    <w:rsid w:val="00FE2079"/>
    <w:rsid w:val="00FE5B18"/>
    <w:rsid w:val="00FE5E69"/>
    <w:rsid w:val="00FF007C"/>
    <w:rsid w:val="00FF08F5"/>
    <w:rsid w:val="00FF0CFB"/>
    <w:rsid w:val="00FF231B"/>
    <w:rsid w:val="00FF31DF"/>
    <w:rsid w:val="00FF437B"/>
    <w:rsid w:val="00FF5724"/>
    <w:rsid w:val="00FF6FCC"/>
    <w:rsid w:val="158218EC"/>
    <w:rsid w:val="1BFF3547"/>
    <w:rsid w:val="336B9D2A"/>
    <w:rsid w:val="3FE796AC"/>
    <w:rsid w:val="503BEC1D"/>
    <w:rsid w:val="51DE2323"/>
    <w:rsid w:val="5ED80A8D"/>
    <w:rsid w:val="71761E50"/>
    <w:rsid w:val="73EFBAA4"/>
    <w:rsid w:val="7A3FD541"/>
    <w:rsid w:val="7B7E4AC9"/>
    <w:rsid w:val="7B7F1265"/>
    <w:rsid w:val="7BE5FC1E"/>
    <w:rsid w:val="7D775A9D"/>
    <w:rsid w:val="7EEFC722"/>
    <w:rsid w:val="831D7BF1"/>
    <w:rsid w:val="9CB9FD22"/>
    <w:rsid w:val="ACFE8E05"/>
    <w:rsid w:val="B6FFA2F6"/>
    <w:rsid w:val="BF3FCD47"/>
    <w:rsid w:val="BFC13EA4"/>
    <w:rsid w:val="D3D59A92"/>
    <w:rsid w:val="D5F53250"/>
    <w:rsid w:val="E9FB4D56"/>
    <w:rsid w:val="ED66EA9F"/>
    <w:rsid w:val="EF3C34A8"/>
    <w:rsid w:val="F386F062"/>
    <w:rsid w:val="F573267C"/>
    <w:rsid w:val="F5D36801"/>
    <w:rsid w:val="F5FB8156"/>
    <w:rsid w:val="F6CFB942"/>
    <w:rsid w:val="FBF7C4D3"/>
    <w:rsid w:val="FE472535"/>
    <w:rsid w:val="FF7F29C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23"/>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qFormat/>
    <w:uiPriority w:val="99"/>
    <w:pPr>
      <w:jc w:val="left"/>
    </w:p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link w:val="19"/>
    <w:qFormat/>
    <w:uiPriority w:val="0"/>
    <w:rPr>
      <w:b/>
      <w:bCs/>
    </w:rPr>
  </w:style>
  <w:style w:type="character" w:styleId="11">
    <w:name w:val="Emphasis"/>
    <w:basedOn w:val="10"/>
    <w:qFormat/>
    <w:uiPriority w:val="20"/>
    <w:rPr>
      <w:color w:val="CC0000"/>
    </w:rPr>
  </w:style>
  <w:style w:type="character" w:styleId="12">
    <w:name w:val="Hyperlink"/>
    <w:basedOn w:val="10"/>
    <w:unhideWhenUsed/>
    <w:qFormat/>
    <w:uiPriority w:val="99"/>
    <w:rPr>
      <w:color w:val="0000FF"/>
      <w:u w:val="single"/>
    </w:rPr>
  </w:style>
  <w:style w:type="character" w:styleId="13">
    <w:name w:val="annotation reference"/>
    <w:basedOn w:val="10"/>
    <w:qFormat/>
    <w:uiPriority w:val="99"/>
    <w:rPr>
      <w:sz w:val="21"/>
      <w:szCs w:val="21"/>
    </w:rPr>
  </w:style>
  <w:style w:type="character" w:customStyle="1" w:styleId="14">
    <w:name w:val="页眉 字符"/>
    <w:basedOn w:val="10"/>
    <w:link w:val="6"/>
    <w:qFormat/>
    <w:uiPriority w:val="0"/>
    <w:rPr>
      <w:rFonts w:eastAsia="宋体"/>
      <w:kern w:val="2"/>
      <w:sz w:val="18"/>
      <w:szCs w:val="18"/>
      <w:lang w:val="en-US" w:eastAsia="zh-CN" w:bidi="ar-SA"/>
    </w:rPr>
  </w:style>
  <w:style w:type="character" w:customStyle="1" w:styleId="15">
    <w:name w:val="批注框文本 字符"/>
    <w:basedOn w:val="10"/>
    <w:link w:val="4"/>
    <w:qFormat/>
    <w:uiPriority w:val="0"/>
    <w:rPr>
      <w:kern w:val="2"/>
      <w:sz w:val="18"/>
      <w:szCs w:val="18"/>
    </w:rPr>
  </w:style>
  <w:style w:type="paragraph" w:styleId="16">
    <w:name w:val="List Paragraph"/>
    <w:basedOn w:val="1"/>
    <w:qFormat/>
    <w:uiPriority w:val="34"/>
    <w:pPr>
      <w:ind w:firstLine="420" w:firstLineChars="200"/>
    </w:pPr>
  </w:style>
  <w:style w:type="paragraph" w:customStyle="1" w:styleId="17">
    <w:name w:val="Default"/>
    <w:qFormat/>
    <w:uiPriority w:val="0"/>
    <w:pPr>
      <w:widowControl w:val="0"/>
      <w:autoSpaceDE w:val="0"/>
      <w:autoSpaceDN w:val="0"/>
      <w:adjustRightInd w:val="0"/>
    </w:pPr>
    <w:rPr>
      <w:rFonts w:ascii="新宋体" w:hAnsi="Times New Roman" w:eastAsia="新宋体" w:cs="新宋体"/>
      <w:color w:val="000000"/>
      <w:sz w:val="24"/>
      <w:szCs w:val="24"/>
      <w:lang w:val="en-US" w:eastAsia="zh-CN" w:bidi="ar-SA"/>
    </w:rPr>
  </w:style>
  <w:style w:type="character" w:customStyle="1" w:styleId="18">
    <w:name w:val="批注文字 字符"/>
    <w:basedOn w:val="10"/>
    <w:link w:val="3"/>
    <w:qFormat/>
    <w:uiPriority w:val="99"/>
    <w:rPr>
      <w:kern w:val="2"/>
      <w:sz w:val="21"/>
      <w:szCs w:val="24"/>
    </w:rPr>
  </w:style>
  <w:style w:type="character" w:customStyle="1" w:styleId="19">
    <w:name w:val="批注主题 字符"/>
    <w:basedOn w:val="18"/>
    <w:link w:val="8"/>
    <w:qFormat/>
    <w:uiPriority w:val="0"/>
    <w:rPr>
      <w:b/>
      <w:bCs/>
      <w:kern w:val="2"/>
      <w:sz w:val="21"/>
      <w:szCs w:val="24"/>
    </w:rPr>
  </w:style>
  <w:style w:type="paragraph" w:customStyle="1" w:styleId="2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1">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22">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23">
    <w:name w:val="标题 3 字符"/>
    <w:basedOn w:val="10"/>
    <w:link w:val="2"/>
    <w:qFormat/>
    <w:uiPriority w:val="9"/>
    <w:rPr>
      <w:rFonts w:ascii="宋体" w:hAnsi="宋体" w:cs="宋体"/>
      <w:b/>
      <w:bCs/>
      <w:sz w:val="27"/>
      <w:szCs w:val="27"/>
    </w:rPr>
  </w:style>
  <w:style w:type="paragraph" w:customStyle="1" w:styleId="2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25">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26">
    <w:name w:val="r-title"/>
    <w:basedOn w:val="10"/>
    <w:qFormat/>
    <w:uiPriority w:val="0"/>
  </w:style>
  <w:style w:type="character" w:customStyle="1" w:styleId="27">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3CD87250-1988-464F-B45E-B6557D14E373}">
  <ds:schemaRefs/>
</ds:datastoreItem>
</file>

<file path=docProps/app.xml><?xml version="1.0" encoding="utf-8"?>
<Properties xmlns="http://schemas.openxmlformats.org/officeDocument/2006/extended-properties" xmlns:vt="http://schemas.openxmlformats.org/officeDocument/2006/docPropsVTypes">
  <Company>cee</Company>
  <Pages>4</Pages>
  <Words>1977</Words>
  <Characters>2085</Characters>
  <Lines>16</Lines>
  <Paragraphs>4</Paragraphs>
  <TotalTime>306</TotalTime>
  <ScaleCrop>false</ScaleCrop>
  <LinksUpToDate>false</LinksUpToDate>
  <CharactersWithSpaces>2247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2024-11-01T18:49:00Z</dcterms:created>
  <dc:creator>cee</dc:creator>
  <cp:lastModifiedBy>FC789</cp:lastModifiedBy>
  <cp:lastPrinted>2022-06-13T13:50:00Z</cp:lastPrinted>
  <dcterms:modified xsi:type="dcterms:W3CDTF">2024-11-04T08:23:29Z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3824A9F83F6849EDAB8763D641C964D6_12</vt:lpwstr>
  </property>
</Properties>
</file>