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7B7AF">
      <w:pPr>
        <w:spacing w:before="156" w:beforeLines="50" w:after="156"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688275                             </w:t>
      </w:r>
      <w:r>
        <w:rPr>
          <w:rFonts w:hint="eastAsia"/>
          <w:color w:val="000000"/>
          <w:sz w:val="24"/>
        </w:rPr>
        <w:t xml:space="preserve">    </w:t>
      </w:r>
      <w:r>
        <w:rPr>
          <w:rFonts w:hAnsi="宋体"/>
          <w:bCs/>
          <w:iCs/>
          <w:color w:val="000000"/>
          <w:sz w:val="24"/>
        </w:rPr>
        <w:t>证券简称：</w:t>
      </w:r>
      <w:r>
        <w:rPr>
          <w:color w:val="000000"/>
          <w:sz w:val="24"/>
        </w:rPr>
        <w:t>万润新能</w:t>
      </w:r>
    </w:p>
    <w:p w14:paraId="19B555ED">
      <w:pPr>
        <w:spacing w:before="156" w:beforeLines="50" w:after="156" w:afterLines="50" w:line="400" w:lineRule="exact"/>
        <w:jc w:val="center"/>
        <w:rPr>
          <w:rFonts w:hint="eastAsia" w:ascii="宋体" w:hAnsi="宋体"/>
          <w:b/>
          <w:bCs/>
          <w:iCs/>
          <w:color w:val="000000"/>
          <w:sz w:val="32"/>
          <w:szCs w:val="32"/>
        </w:rPr>
      </w:pPr>
    </w:p>
    <w:p w14:paraId="68F17CA8">
      <w:pPr>
        <w:spacing w:before="156" w:beforeLines="50" w:after="156" w:afterLines="50" w:line="400" w:lineRule="exact"/>
        <w:jc w:val="center"/>
        <w:rPr>
          <w:rFonts w:hint="eastAsia" w:ascii="宋体" w:hAnsi="宋体"/>
          <w:b/>
          <w:bCs/>
          <w:iCs/>
          <w:color w:val="000000"/>
          <w:sz w:val="32"/>
          <w:szCs w:val="32"/>
        </w:rPr>
      </w:pPr>
      <w:r>
        <w:rPr>
          <w:rFonts w:ascii="宋体" w:hAnsi="宋体"/>
          <w:b/>
          <w:bCs/>
          <w:iCs/>
          <w:color w:val="000000"/>
          <w:sz w:val="32"/>
          <w:szCs w:val="32"/>
        </w:rPr>
        <w:t>湖北万润新能源科技股份有限公司</w:t>
      </w:r>
      <w:r>
        <w:rPr>
          <w:rFonts w:hint="eastAsia" w:ascii="宋体" w:hAnsi="宋体"/>
          <w:b/>
          <w:bCs/>
          <w:iCs/>
          <w:color w:val="000000"/>
          <w:sz w:val="32"/>
          <w:szCs w:val="32"/>
        </w:rPr>
        <w:t>投资者关系活动记录表</w:t>
      </w:r>
    </w:p>
    <w:p w14:paraId="598A2CA3">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14:paraId="33B5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5D8DA3DE">
            <w:pPr>
              <w:spacing w:line="420" w:lineRule="exact"/>
              <w:jc w:val="both"/>
              <w:rPr>
                <w:bCs/>
                <w:iCs/>
                <w:color w:val="auto"/>
                <w:kern w:val="0"/>
                <w:sz w:val="24"/>
                <w:highlight w:val="none"/>
              </w:rPr>
            </w:pPr>
            <w:r>
              <w:rPr>
                <w:rFonts w:hAnsi="宋体"/>
                <w:bCs/>
                <w:iCs/>
                <w:color w:val="auto"/>
                <w:kern w:val="0"/>
                <w:sz w:val="24"/>
                <w:highlight w:val="none"/>
              </w:rPr>
              <w:t>投资者关系活动类别</w:t>
            </w:r>
          </w:p>
          <w:p w14:paraId="311BDD91">
            <w:pPr>
              <w:spacing w:line="420" w:lineRule="exact"/>
              <w:jc w:val="both"/>
              <w:rPr>
                <w:bCs/>
                <w:iCs/>
                <w:color w:val="auto"/>
                <w:sz w:val="24"/>
                <w:highlight w:val="none"/>
              </w:rPr>
            </w:pPr>
          </w:p>
        </w:tc>
        <w:tc>
          <w:tcPr>
            <w:tcW w:w="6847" w:type="dxa"/>
            <w:tcBorders>
              <w:top w:val="single" w:color="auto" w:sz="4" w:space="0"/>
              <w:left w:val="single" w:color="auto" w:sz="4" w:space="0"/>
              <w:bottom w:val="single" w:color="auto" w:sz="4" w:space="0"/>
              <w:right w:val="single" w:color="auto" w:sz="4" w:space="0"/>
            </w:tcBorders>
          </w:tcPr>
          <w:p w14:paraId="2D74ACA3">
            <w:pPr>
              <w:spacing w:line="420" w:lineRule="exact"/>
              <w:rPr>
                <w:bCs/>
                <w:iCs/>
                <w:color w:val="auto"/>
                <w:sz w:val="24"/>
                <w:highlight w:val="none"/>
              </w:rPr>
            </w:pPr>
            <w:r>
              <w:rPr>
                <w:rFonts w:hint="eastAsia"/>
                <w:bCs/>
                <w:iCs/>
                <w:color w:val="auto"/>
                <w:kern w:val="0"/>
                <w:sz w:val="24"/>
                <w:highlight w:val="none"/>
              </w:rPr>
              <w:t>√</w:t>
            </w:r>
            <w:r>
              <w:rPr>
                <w:rFonts w:hAnsi="宋体"/>
                <w:color w:val="auto"/>
                <w:kern w:val="0"/>
                <w:sz w:val="24"/>
                <w:highlight w:val="none"/>
              </w:rPr>
              <w:t>特定对象调研</w:t>
            </w:r>
            <w:r>
              <w:rPr>
                <w:color w:val="auto"/>
                <w:kern w:val="0"/>
                <w:sz w:val="24"/>
                <w:highlight w:val="none"/>
              </w:rPr>
              <w:t xml:space="preserve">       </w:t>
            </w:r>
            <w:r>
              <w:rPr>
                <w:rFonts w:hint="eastAsia"/>
                <w:color w:val="auto"/>
                <w:kern w:val="0"/>
                <w:sz w:val="24"/>
                <w:highlight w:val="none"/>
              </w:rPr>
              <w:t xml:space="preserve"> </w:t>
            </w:r>
            <w:r>
              <w:rPr>
                <w:color w:val="auto"/>
                <w:kern w:val="0"/>
                <w:sz w:val="24"/>
                <w:highlight w:val="none"/>
              </w:rPr>
              <w:t xml:space="preserve"> </w:t>
            </w: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分析师会议</w:t>
            </w:r>
          </w:p>
          <w:p w14:paraId="5CF35323">
            <w:pPr>
              <w:spacing w:line="420" w:lineRule="exact"/>
              <w:rPr>
                <w:bCs/>
                <w:iCs/>
                <w:color w:val="auto"/>
                <w:kern w:val="0"/>
                <w:sz w:val="24"/>
                <w:highlight w:val="none"/>
              </w:rPr>
            </w:pP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媒体采访</w:t>
            </w:r>
            <w:r>
              <w:rPr>
                <w:color w:val="auto"/>
                <w:kern w:val="0"/>
                <w:sz w:val="24"/>
                <w:highlight w:val="none"/>
              </w:rPr>
              <w:t xml:space="preserve">            </w:t>
            </w: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业绩说明会</w:t>
            </w:r>
          </w:p>
          <w:p w14:paraId="5A8C5D11">
            <w:pPr>
              <w:spacing w:line="420" w:lineRule="exact"/>
              <w:rPr>
                <w:bCs/>
                <w:iCs/>
                <w:color w:val="auto"/>
                <w:kern w:val="0"/>
                <w:sz w:val="24"/>
                <w:highlight w:val="none"/>
              </w:rPr>
            </w:pP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新闻发布会</w:t>
            </w:r>
            <w:r>
              <w:rPr>
                <w:color w:val="auto"/>
                <w:kern w:val="0"/>
                <w:sz w:val="24"/>
                <w:highlight w:val="none"/>
              </w:rPr>
              <w:t xml:space="preserve">          </w:t>
            </w: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路演活动</w:t>
            </w:r>
          </w:p>
          <w:p w14:paraId="39AA3369">
            <w:pPr>
              <w:tabs>
                <w:tab w:val="left" w:pos="3045"/>
                <w:tab w:val="center" w:pos="3199"/>
              </w:tabs>
              <w:spacing w:line="420" w:lineRule="exact"/>
              <w:rPr>
                <w:bCs/>
                <w:iCs/>
                <w:color w:val="auto"/>
                <w:kern w:val="0"/>
                <w:sz w:val="24"/>
                <w:highlight w:val="none"/>
              </w:rPr>
            </w:pP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现场参观</w:t>
            </w:r>
            <w:r>
              <w:rPr>
                <w:bCs/>
                <w:iCs/>
                <w:color w:val="auto"/>
                <w:kern w:val="0"/>
                <w:sz w:val="24"/>
                <w:highlight w:val="none"/>
              </w:rPr>
              <w:tab/>
            </w:r>
          </w:p>
          <w:p w14:paraId="78675455">
            <w:pPr>
              <w:tabs>
                <w:tab w:val="center" w:pos="3199"/>
              </w:tabs>
              <w:spacing w:line="420" w:lineRule="exact"/>
              <w:rPr>
                <w:bCs/>
                <w:iCs/>
                <w:color w:val="auto"/>
                <w:sz w:val="24"/>
                <w:highlight w:val="none"/>
              </w:rPr>
            </w:pPr>
            <w:r>
              <w:rPr>
                <w:bCs/>
                <w:iCs/>
                <w:color w:val="auto"/>
                <w:kern w:val="0"/>
                <w:sz w:val="24"/>
                <w:highlight w:val="none"/>
              </w:rPr>
              <w:t>□</w:t>
            </w:r>
            <w:r>
              <w:rPr>
                <w:rFonts w:hint="eastAsia"/>
                <w:bCs/>
                <w:iCs/>
                <w:color w:val="auto"/>
                <w:kern w:val="0"/>
                <w:sz w:val="24"/>
                <w:highlight w:val="none"/>
              </w:rPr>
              <w:t xml:space="preserve"> </w:t>
            </w:r>
            <w:r>
              <w:rPr>
                <w:rFonts w:hAnsi="宋体"/>
                <w:color w:val="auto"/>
                <w:kern w:val="0"/>
                <w:sz w:val="24"/>
                <w:highlight w:val="none"/>
              </w:rPr>
              <w:t>其他</w:t>
            </w:r>
            <w:r>
              <w:rPr>
                <w:color w:val="auto"/>
                <w:kern w:val="0"/>
                <w:sz w:val="24"/>
                <w:highlight w:val="none"/>
              </w:rPr>
              <w:t xml:space="preserve"> </w:t>
            </w:r>
          </w:p>
        </w:tc>
      </w:tr>
      <w:tr w14:paraId="58EE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09A7AC11">
            <w:pPr>
              <w:spacing w:line="420" w:lineRule="exact"/>
              <w:jc w:val="both"/>
              <w:rPr>
                <w:bCs/>
                <w:iCs/>
                <w:color w:val="auto"/>
                <w:kern w:val="0"/>
                <w:sz w:val="24"/>
                <w:highlight w:val="none"/>
              </w:rPr>
            </w:pPr>
            <w:r>
              <w:rPr>
                <w:rFonts w:hAnsi="宋体"/>
                <w:bCs/>
                <w:iCs/>
                <w:color w:val="auto"/>
                <w:kern w:val="0"/>
                <w:sz w:val="24"/>
                <w:highlight w:val="none"/>
              </w:rPr>
              <w:t>参与单位名称及人员姓名</w:t>
            </w:r>
          </w:p>
        </w:tc>
        <w:tc>
          <w:tcPr>
            <w:tcW w:w="6847" w:type="dxa"/>
            <w:tcBorders>
              <w:top w:val="single" w:color="auto" w:sz="4" w:space="0"/>
              <w:left w:val="single" w:color="auto" w:sz="4" w:space="0"/>
              <w:bottom w:val="single" w:color="auto" w:sz="4" w:space="0"/>
              <w:right w:val="single" w:color="auto" w:sz="4" w:space="0"/>
            </w:tcBorders>
          </w:tcPr>
          <w:p w14:paraId="6930F328">
            <w:pPr>
              <w:spacing w:line="420" w:lineRule="exact"/>
              <w:rPr>
                <w:bCs/>
                <w:iCs/>
                <w:color w:val="auto"/>
                <w:sz w:val="24"/>
                <w:highlight w:val="none"/>
              </w:rPr>
            </w:pPr>
            <w:r>
              <w:rPr>
                <w:rFonts w:hint="eastAsia"/>
                <w:bCs/>
                <w:iCs/>
                <w:color w:val="auto"/>
                <w:sz w:val="24"/>
                <w:highlight w:val="none"/>
                <w:lang w:val="en-GB"/>
              </w:rPr>
              <w:t>嘉实基金、兴全基金、华夏基金、人保养老、华夏久盈、建信基金、鹏华基金、</w:t>
            </w:r>
            <w:r>
              <w:rPr>
                <w:rFonts w:ascii="宋体" w:hAnsi="宋体" w:eastAsia="宋体" w:cs="宋体"/>
                <w:sz w:val="24"/>
                <w:szCs w:val="24"/>
              </w:rPr>
              <w:t>华泰资产</w:t>
            </w:r>
            <w:r>
              <w:rPr>
                <w:rFonts w:hint="eastAsia" w:ascii="宋体" w:hAnsi="宋体" w:cs="宋体"/>
                <w:sz w:val="24"/>
                <w:szCs w:val="24"/>
                <w:lang w:eastAsia="zh-CN"/>
              </w:rPr>
              <w:t>、</w:t>
            </w:r>
            <w:r>
              <w:rPr>
                <w:rFonts w:hint="eastAsia"/>
                <w:bCs/>
                <w:iCs/>
                <w:color w:val="auto"/>
                <w:sz w:val="24"/>
                <w:highlight w:val="none"/>
                <w:lang w:val="en-GB"/>
              </w:rPr>
              <w:t>长江</w:t>
            </w:r>
            <w:r>
              <w:rPr>
                <w:rFonts w:hint="eastAsia"/>
                <w:bCs/>
                <w:iCs/>
                <w:color w:val="auto"/>
                <w:sz w:val="24"/>
                <w:highlight w:val="none"/>
                <w:lang w:val="en-US" w:eastAsia="zh-CN"/>
              </w:rPr>
              <w:t>证券</w:t>
            </w:r>
            <w:r>
              <w:rPr>
                <w:rFonts w:hint="eastAsia"/>
                <w:bCs/>
                <w:iCs/>
                <w:color w:val="auto"/>
                <w:sz w:val="24"/>
                <w:highlight w:val="none"/>
                <w:lang w:val="en-GB" w:eastAsia="zh-CN"/>
              </w:rPr>
              <w:t>、</w:t>
            </w:r>
            <w:r>
              <w:rPr>
                <w:rFonts w:hint="eastAsia"/>
                <w:bCs/>
                <w:iCs/>
                <w:color w:val="auto"/>
                <w:sz w:val="24"/>
                <w:highlight w:val="none"/>
                <w:lang w:val="en-GB"/>
              </w:rPr>
              <w:t>广发</w:t>
            </w:r>
            <w:r>
              <w:rPr>
                <w:rFonts w:hint="eastAsia"/>
                <w:bCs/>
                <w:iCs/>
                <w:color w:val="auto"/>
                <w:sz w:val="24"/>
                <w:highlight w:val="none"/>
                <w:lang w:val="en-US" w:eastAsia="zh-CN"/>
              </w:rPr>
              <w:t>证券</w:t>
            </w:r>
            <w:r>
              <w:rPr>
                <w:rFonts w:hint="eastAsia"/>
                <w:bCs/>
                <w:iCs/>
                <w:color w:val="auto"/>
                <w:sz w:val="24"/>
                <w:highlight w:val="none"/>
                <w:lang w:val="en-GB"/>
              </w:rPr>
              <w:t>、海通</w:t>
            </w:r>
            <w:r>
              <w:rPr>
                <w:rFonts w:hint="eastAsia"/>
                <w:bCs/>
                <w:iCs/>
                <w:color w:val="auto"/>
                <w:sz w:val="24"/>
                <w:highlight w:val="none"/>
                <w:lang w:val="en-US" w:eastAsia="zh-CN"/>
              </w:rPr>
              <w:t>证券</w:t>
            </w:r>
            <w:r>
              <w:rPr>
                <w:rFonts w:hint="eastAsia"/>
                <w:bCs/>
                <w:iCs/>
                <w:color w:val="auto"/>
                <w:sz w:val="24"/>
                <w:highlight w:val="none"/>
                <w:lang w:val="en-GB"/>
              </w:rPr>
              <w:t>、</w:t>
            </w:r>
            <w:r>
              <w:rPr>
                <w:rFonts w:hint="eastAsia"/>
                <w:bCs/>
                <w:iCs/>
                <w:color w:val="auto"/>
                <w:sz w:val="24"/>
                <w:highlight w:val="none"/>
                <w:lang w:val="en-US" w:eastAsia="zh-CN"/>
              </w:rPr>
              <w:t>申万宏源、</w:t>
            </w:r>
            <w:r>
              <w:rPr>
                <w:rFonts w:hint="eastAsia"/>
                <w:bCs/>
                <w:iCs/>
                <w:color w:val="auto"/>
                <w:sz w:val="24"/>
                <w:highlight w:val="none"/>
                <w:lang w:val="en-GB"/>
              </w:rPr>
              <w:t>中信</w:t>
            </w:r>
            <w:r>
              <w:rPr>
                <w:rFonts w:hint="eastAsia"/>
                <w:bCs/>
                <w:iCs/>
                <w:color w:val="auto"/>
                <w:sz w:val="24"/>
                <w:highlight w:val="none"/>
                <w:lang w:val="en-US" w:eastAsia="zh-CN"/>
              </w:rPr>
              <w:t>证券</w:t>
            </w:r>
            <w:r>
              <w:rPr>
                <w:rFonts w:hint="eastAsia"/>
                <w:bCs/>
                <w:iCs/>
                <w:color w:val="auto"/>
                <w:sz w:val="24"/>
                <w:highlight w:val="none"/>
                <w:lang w:val="en-GB" w:eastAsia="zh-CN"/>
              </w:rPr>
              <w:t>、</w:t>
            </w:r>
            <w:r>
              <w:rPr>
                <w:rFonts w:ascii="宋体" w:hAnsi="宋体" w:eastAsia="宋体" w:cs="宋体"/>
                <w:sz w:val="24"/>
                <w:szCs w:val="24"/>
              </w:rPr>
              <w:t>财通</w:t>
            </w:r>
            <w:r>
              <w:rPr>
                <w:rFonts w:hint="eastAsia" w:ascii="宋体" w:hAnsi="宋体" w:cs="宋体"/>
                <w:sz w:val="24"/>
                <w:szCs w:val="24"/>
                <w:lang w:val="en-US" w:eastAsia="zh-CN"/>
              </w:rPr>
              <w:t>证券</w:t>
            </w:r>
            <w:r>
              <w:rPr>
                <w:rFonts w:hint="eastAsia" w:ascii="宋体" w:hAnsi="宋体" w:cs="宋体"/>
                <w:sz w:val="24"/>
                <w:szCs w:val="24"/>
                <w:lang w:eastAsia="zh-CN"/>
              </w:rPr>
              <w:t>、</w:t>
            </w:r>
            <w:r>
              <w:rPr>
                <w:rFonts w:ascii="宋体" w:hAnsi="宋体" w:eastAsia="宋体" w:cs="宋体"/>
                <w:sz w:val="24"/>
                <w:szCs w:val="24"/>
              </w:rPr>
              <w:t>民生</w:t>
            </w:r>
            <w:r>
              <w:rPr>
                <w:rFonts w:hint="eastAsia" w:ascii="宋体" w:hAnsi="宋体" w:cs="宋体"/>
                <w:sz w:val="24"/>
                <w:szCs w:val="24"/>
                <w:lang w:val="en-US" w:eastAsia="zh-CN"/>
              </w:rPr>
              <w:t>证券、</w:t>
            </w:r>
            <w:r>
              <w:rPr>
                <w:rFonts w:ascii="宋体" w:hAnsi="宋体" w:eastAsia="宋体" w:cs="宋体"/>
                <w:sz w:val="24"/>
                <w:szCs w:val="24"/>
              </w:rPr>
              <w:t>中金公司</w:t>
            </w:r>
            <w:r>
              <w:rPr>
                <w:rFonts w:hint="eastAsia" w:ascii="宋体" w:hAnsi="宋体" w:cs="宋体"/>
                <w:sz w:val="24"/>
                <w:szCs w:val="24"/>
                <w:lang w:eastAsia="zh-CN"/>
              </w:rPr>
              <w:t>、</w:t>
            </w:r>
            <w:r>
              <w:rPr>
                <w:rFonts w:ascii="宋体" w:hAnsi="宋体" w:eastAsia="宋体" w:cs="宋体"/>
                <w:sz w:val="24"/>
                <w:szCs w:val="24"/>
              </w:rPr>
              <w:t>国盛证券</w:t>
            </w:r>
            <w:r>
              <w:rPr>
                <w:rFonts w:hint="eastAsia"/>
                <w:bCs/>
                <w:iCs/>
                <w:color w:val="auto"/>
                <w:sz w:val="24"/>
                <w:highlight w:val="none"/>
              </w:rPr>
              <w:t>（以上排名不分先后）</w:t>
            </w:r>
          </w:p>
        </w:tc>
      </w:tr>
      <w:tr w14:paraId="1DDB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5661EEF8">
            <w:pPr>
              <w:spacing w:line="420" w:lineRule="exact"/>
              <w:jc w:val="both"/>
              <w:rPr>
                <w:bCs/>
                <w:iCs/>
                <w:color w:val="auto"/>
                <w:kern w:val="0"/>
                <w:sz w:val="24"/>
                <w:highlight w:val="none"/>
              </w:rPr>
            </w:pPr>
            <w:r>
              <w:rPr>
                <w:rFonts w:hAnsi="宋体"/>
                <w:bCs/>
                <w:iCs/>
                <w:color w:val="auto"/>
                <w:kern w:val="0"/>
                <w:sz w:val="24"/>
                <w:highlight w:val="none"/>
              </w:rPr>
              <w:t>时间</w:t>
            </w:r>
          </w:p>
        </w:tc>
        <w:tc>
          <w:tcPr>
            <w:tcW w:w="6847" w:type="dxa"/>
            <w:tcBorders>
              <w:top w:val="single" w:color="auto" w:sz="4" w:space="0"/>
              <w:left w:val="single" w:color="auto" w:sz="4" w:space="0"/>
              <w:bottom w:val="single" w:color="auto" w:sz="4" w:space="0"/>
              <w:right w:val="single" w:color="auto" w:sz="4" w:space="0"/>
            </w:tcBorders>
          </w:tcPr>
          <w:p w14:paraId="68E4E954">
            <w:pPr>
              <w:spacing w:line="420" w:lineRule="exact"/>
              <w:rPr>
                <w:rFonts w:hint="default" w:eastAsia="宋体"/>
                <w:bCs/>
                <w:iCs/>
                <w:color w:val="auto"/>
                <w:sz w:val="24"/>
                <w:highlight w:val="none"/>
                <w:lang w:val="en-US" w:eastAsia="zh-CN"/>
              </w:rPr>
            </w:pPr>
            <w:r>
              <w:rPr>
                <w:rFonts w:hint="eastAsia"/>
                <w:bCs/>
                <w:iCs/>
                <w:color w:val="auto"/>
                <w:sz w:val="24"/>
                <w:highlight w:val="none"/>
              </w:rPr>
              <w:t>2024年</w:t>
            </w:r>
            <w:r>
              <w:rPr>
                <w:rFonts w:hint="eastAsia"/>
                <w:bCs/>
                <w:iCs/>
                <w:color w:val="auto"/>
                <w:sz w:val="24"/>
                <w:highlight w:val="none"/>
                <w:lang w:val="en-US" w:eastAsia="zh-CN"/>
              </w:rPr>
              <w:t>11</w:t>
            </w:r>
            <w:r>
              <w:rPr>
                <w:rFonts w:hint="eastAsia"/>
                <w:bCs/>
                <w:iCs/>
                <w:color w:val="auto"/>
                <w:sz w:val="24"/>
                <w:highlight w:val="none"/>
              </w:rPr>
              <w:t>月</w:t>
            </w:r>
            <w:r>
              <w:rPr>
                <w:rFonts w:hint="eastAsia"/>
                <w:bCs/>
                <w:iCs/>
                <w:color w:val="auto"/>
                <w:sz w:val="24"/>
                <w:highlight w:val="none"/>
                <w:lang w:val="en-US" w:eastAsia="zh-CN"/>
              </w:rPr>
              <w:t>4</w:t>
            </w:r>
            <w:r>
              <w:rPr>
                <w:rFonts w:hint="eastAsia"/>
                <w:bCs/>
                <w:iCs/>
                <w:color w:val="auto"/>
                <w:sz w:val="24"/>
                <w:highlight w:val="none"/>
              </w:rPr>
              <w:t>日</w:t>
            </w:r>
            <w:r>
              <w:rPr>
                <w:rFonts w:hint="eastAsia"/>
                <w:bCs/>
                <w:iCs/>
                <w:color w:val="auto"/>
                <w:sz w:val="24"/>
                <w:highlight w:val="none"/>
                <w:lang w:val="en-US" w:eastAsia="zh-CN"/>
              </w:rPr>
              <w:t>-5日</w:t>
            </w:r>
          </w:p>
        </w:tc>
      </w:tr>
      <w:tr w14:paraId="4DC0D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72EB96A7">
            <w:pPr>
              <w:spacing w:line="420" w:lineRule="exact"/>
              <w:jc w:val="both"/>
              <w:rPr>
                <w:bCs/>
                <w:iCs/>
                <w:color w:val="auto"/>
                <w:kern w:val="0"/>
                <w:sz w:val="24"/>
                <w:highlight w:val="none"/>
              </w:rPr>
            </w:pPr>
            <w:r>
              <w:rPr>
                <w:rFonts w:hAnsi="宋体"/>
                <w:bCs/>
                <w:iCs/>
                <w:color w:val="auto"/>
                <w:kern w:val="0"/>
                <w:sz w:val="24"/>
                <w:highlight w:val="none"/>
              </w:rPr>
              <w:t>地点</w:t>
            </w:r>
          </w:p>
        </w:tc>
        <w:tc>
          <w:tcPr>
            <w:tcW w:w="6847" w:type="dxa"/>
            <w:tcBorders>
              <w:top w:val="single" w:color="auto" w:sz="4" w:space="0"/>
              <w:left w:val="single" w:color="auto" w:sz="4" w:space="0"/>
              <w:bottom w:val="single" w:color="auto" w:sz="4" w:space="0"/>
              <w:right w:val="single" w:color="auto" w:sz="4" w:space="0"/>
            </w:tcBorders>
          </w:tcPr>
          <w:p w14:paraId="169F3618">
            <w:pPr>
              <w:spacing w:line="420" w:lineRule="exact"/>
              <w:rPr>
                <w:bCs/>
                <w:iCs/>
                <w:color w:val="auto"/>
                <w:sz w:val="24"/>
                <w:highlight w:val="none"/>
              </w:rPr>
            </w:pPr>
            <w:r>
              <w:rPr>
                <w:rFonts w:hint="eastAsia"/>
                <w:bCs/>
                <w:iCs/>
                <w:color w:val="auto"/>
                <w:sz w:val="24"/>
                <w:highlight w:val="none"/>
                <w:lang w:val="en-US" w:eastAsia="zh-CN"/>
              </w:rPr>
              <w:t>湖北万润新能源科技股份有限</w:t>
            </w:r>
            <w:r>
              <w:rPr>
                <w:rFonts w:hint="eastAsia"/>
                <w:bCs/>
                <w:iCs/>
                <w:color w:val="auto"/>
                <w:sz w:val="24"/>
                <w:highlight w:val="none"/>
              </w:rPr>
              <w:t>公司会议室</w:t>
            </w:r>
          </w:p>
        </w:tc>
      </w:tr>
      <w:tr w14:paraId="7DBC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7CB1771D">
            <w:pPr>
              <w:spacing w:line="420" w:lineRule="exact"/>
              <w:jc w:val="both"/>
              <w:rPr>
                <w:bCs/>
                <w:iCs/>
                <w:color w:val="auto"/>
                <w:kern w:val="0"/>
                <w:sz w:val="24"/>
                <w:highlight w:val="none"/>
              </w:rPr>
            </w:pPr>
            <w:r>
              <w:rPr>
                <w:rFonts w:hAnsi="宋体"/>
                <w:bCs/>
                <w:iCs/>
                <w:color w:val="auto"/>
                <w:kern w:val="0"/>
                <w:sz w:val="24"/>
                <w:highlight w:val="none"/>
              </w:rPr>
              <w:t>上市公司接待人员姓名</w:t>
            </w:r>
          </w:p>
        </w:tc>
        <w:tc>
          <w:tcPr>
            <w:tcW w:w="6847" w:type="dxa"/>
            <w:tcBorders>
              <w:top w:val="single" w:color="auto" w:sz="4" w:space="0"/>
              <w:left w:val="single" w:color="auto" w:sz="4" w:space="0"/>
              <w:bottom w:val="single" w:color="auto" w:sz="4" w:space="0"/>
              <w:right w:val="single" w:color="auto" w:sz="4" w:space="0"/>
            </w:tcBorders>
            <w:vAlign w:val="center"/>
          </w:tcPr>
          <w:p w14:paraId="37965463">
            <w:pPr>
              <w:spacing w:line="420" w:lineRule="exact"/>
              <w:rPr>
                <w:rFonts w:hint="eastAsia" w:ascii="宋体" w:hAnsi="宋体"/>
                <w:bCs/>
                <w:color w:val="auto"/>
                <w:sz w:val="24"/>
                <w:highlight w:val="none"/>
              </w:rPr>
            </w:pPr>
            <w:r>
              <w:rPr>
                <w:rFonts w:hint="eastAsia" w:ascii="宋体" w:hAnsi="宋体"/>
                <w:bCs/>
                <w:color w:val="auto"/>
                <w:sz w:val="24"/>
                <w:highlight w:val="none"/>
                <w:lang w:val="en-US" w:eastAsia="zh-CN"/>
              </w:rPr>
              <w:t>董事会秘书高文静，研发中心王勤，营销中心徐勋林，</w:t>
            </w:r>
            <w:r>
              <w:rPr>
                <w:rFonts w:hint="eastAsia" w:ascii="宋体" w:hAnsi="宋体"/>
                <w:bCs/>
                <w:color w:val="auto"/>
                <w:sz w:val="24"/>
                <w:highlight w:val="none"/>
              </w:rPr>
              <w:t>资本运营</w:t>
            </w:r>
            <w:r>
              <w:rPr>
                <w:rFonts w:hint="eastAsia" w:ascii="宋体" w:hAnsi="宋体"/>
                <w:bCs/>
                <w:color w:val="auto"/>
                <w:sz w:val="24"/>
                <w:highlight w:val="none"/>
                <w:lang w:val="en-US" w:eastAsia="zh-CN"/>
              </w:rPr>
              <w:t>办公室</w:t>
            </w:r>
            <w:r>
              <w:rPr>
                <w:rFonts w:hint="eastAsia" w:ascii="宋体" w:hAnsi="宋体"/>
                <w:bCs/>
                <w:color w:val="auto"/>
                <w:sz w:val="24"/>
                <w:highlight w:val="none"/>
              </w:rPr>
              <w:t>张乐</w:t>
            </w:r>
            <w:bookmarkStart w:id="0" w:name="_GoBack"/>
            <w:bookmarkEnd w:id="0"/>
          </w:p>
        </w:tc>
      </w:tr>
      <w:tr w14:paraId="3186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38916402">
            <w:pPr>
              <w:spacing w:line="420" w:lineRule="exact"/>
              <w:jc w:val="both"/>
              <w:rPr>
                <w:bCs/>
                <w:iCs/>
                <w:color w:val="auto"/>
                <w:kern w:val="0"/>
                <w:sz w:val="24"/>
                <w:highlight w:val="none"/>
              </w:rPr>
            </w:pPr>
            <w:r>
              <w:rPr>
                <w:rFonts w:hAnsi="宋体"/>
                <w:bCs/>
                <w:iCs/>
                <w:color w:val="auto"/>
                <w:kern w:val="0"/>
                <w:sz w:val="24"/>
                <w:highlight w:val="none"/>
              </w:rPr>
              <w:t>投资者关系活动主要内容介绍</w:t>
            </w:r>
          </w:p>
          <w:p w14:paraId="7C4C6E1E">
            <w:pPr>
              <w:spacing w:line="420" w:lineRule="exact"/>
              <w:jc w:val="both"/>
              <w:rPr>
                <w:bCs/>
                <w:iCs/>
                <w:color w:val="auto"/>
                <w:sz w:val="24"/>
                <w:highlight w:val="none"/>
              </w:rPr>
            </w:pPr>
          </w:p>
        </w:tc>
        <w:tc>
          <w:tcPr>
            <w:tcW w:w="6847" w:type="dxa"/>
            <w:tcBorders>
              <w:top w:val="single" w:color="auto" w:sz="4" w:space="0"/>
              <w:left w:val="single" w:color="auto" w:sz="4" w:space="0"/>
              <w:bottom w:val="single" w:color="auto" w:sz="4" w:space="0"/>
              <w:right w:val="single" w:color="auto" w:sz="4" w:space="0"/>
            </w:tcBorders>
          </w:tcPr>
          <w:p w14:paraId="711E8942">
            <w:pPr>
              <w:pStyle w:val="7"/>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rPr>
              <w:t>Q</w:t>
            </w:r>
            <w:r>
              <w:rPr>
                <w:rFonts w:hint="eastAsia" w:ascii="Times New Roman" w:hAnsi="Times New Roman" w:cs="Times New Roman"/>
                <w:b/>
                <w:bCs/>
                <w:color w:val="auto"/>
                <w:sz w:val="24"/>
                <w:szCs w:val="24"/>
                <w:highlight w:val="none"/>
                <w:lang w:val="en-US" w:eastAsia="zh-CN"/>
              </w:rPr>
              <w:t>1：2024年第三季度磷酸铁锂销量情况？公司何时能实现盈利？</w:t>
            </w:r>
          </w:p>
          <w:p w14:paraId="617B6F3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回答：2024年1-9月，公司磷酸铁锂产品出货量约为13.7万吨，较去年同期增长约16%，其中三季度出货约6万吨，环比增长约27%</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产能利用率逐步提升中，目前维持在较高水平</w:t>
            </w:r>
            <w:r>
              <w:rPr>
                <w:rFonts w:hint="eastAsia" w:ascii="Times New Roman" w:hAnsi="Times New Roman" w:cs="Times New Roman"/>
                <w:color w:val="auto"/>
                <w:sz w:val="24"/>
                <w:szCs w:val="24"/>
                <w:highlight w:val="none"/>
                <w:lang w:eastAsia="zh-CN"/>
              </w:rPr>
              <w:t>。</w:t>
            </w:r>
          </w:p>
          <w:p w14:paraId="62F5BFF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接下来，</w:t>
            </w:r>
            <w:r>
              <w:rPr>
                <w:rFonts w:hint="eastAsia" w:ascii="Times New Roman" w:hAnsi="Times New Roman" w:cs="Times New Roman"/>
                <w:color w:val="auto"/>
                <w:sz w:val="24"/>
                <w:szCs w:val="24"/>
                <w:highlight w:val="none"/>
                <w:lang w:eastAsia="zh-CN"/>
              </w:rPr>
              <w:t>公司将加速推动新产品的放量进程，</w:t>
            </w:r>
            <w:r>
              <w:rPr>
                <w:rFonts w:hint="eastAsia" w:ascii="Times New Roman" w:hAnsi="Times New Roman" w:cs="Times New Roman"/>
                <w:color w:val="auto"/>
                <w:sz w:val="24"/>
                <w:szCs w:val="24"/>
                <w:highlight w:val="none"/>
                <w:lang w:val="en-US" w:eastAsia="zh-CN"/>
              </w:rPr>
              <w:t>强化供应链管理能力</w:t>
            </w:r>
            <w:r>
              <w:rPr>
                <w:rFonts w:hint="eastAsia" w:ascii="Times New Roman" w:hAnsi="Times New Roman" w:cs="Times New Roman"/>
                <w:color w:val="auto"/>
                <w:sz w:val="24"/>
                <w:szCs w:val="24"/>
                <w:highlight w:val="none"/>
                <w:lang w:eastAsia="zh-CN"/>
              </w:rPr>
              <w:t>，随着新能源汽车渗透率及储能行业需求的增长，</w:t>
            </w:r>
            <w:r>
              <w:rPr>
                <w:rFonts w:hint="eastAsia" w:ascii="Times New Roman" w:hAnsi="Times New Roman" w:cs="Times New Roman"/>
                <w:color w:val="auto"/>
                <w:sz w:val="24"/>
                <w:szCs w:val="24"/>
                <w:highlight w:val="none"/>
                <w:lang w:val="en-US" w:eastAsia="zh-CN"/>
              </w:rPr>
              <w:t>行业供需关系逐步改善</w:t>
            </w:r>
            <w:r>
              <w:rPr>
                <w:rFonts w:hint="eastAsia" w:ascii="Times New Roman" w:hAnsi="Times New Roman" w:cs="Times New Roman"/>
                <w:color w:val="auto"/>
                <w:sz w:val="24"/>
                <w:szCs w:val="24"/>
                <w:highlight w:val="none"/>
                <w:lang w:eastAsia="zh-CN"/>
              </w:rPr>
              <w:t>，公司</w:t>
            </w:r>
            <w:r>
              <w:rPr>
                <w:rFonts w:hint="eastAsia" w:ascii="Times New Roman" w:hAnsi="Times New Roman" w:cs="Times New Roman"/>
                <w:color w:val="auto"/>
                <w:sz w:val="24"/>
                <w:szCs w:val="24"/>
                <w:highlight w:val="none"/>
                <w:lang w:val="en-US" w:eastAsia="zh-CN"/>
              </w:rPr>
              <w:t>盈利能力</w:t>
            </w:r>
            <w:r>
              <w:rPr>
                <w:rFonts w:hint="eastAsia" w:ascii="Times New Roman" w:hAnsi="Times New Roman" w:cs="Times New Roman"/>
                <w:color w:val="auto"/>
                <w:sz w:val="24"/>
                <w:szCs w:val="24"/>
                <w:highlight w:val="none"/>
                <w:lang w:eastAsia="zh-CN"/>
              </w:rPr>
              <w:t>有望逐渐回归合理水平。</w:t>
            </w:r>
          </w:p>
          <w:p w14:paraId="3078B59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cs="Times New Roman"/>
                <w:color w:val="auto"/>
                <w:sz w:val="24"/>
                <w:szCs w:val="24"/>
                <w:highlight w:val="none"/>
              </w:rPr>
            </w:pPr>
          </w:p>
          <w:p w14:paraId="2EEEEA58">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rPr>
              <w:t>Q</w:t>
            </w: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公司高压密磷酸铁锂产品的进展情况如何？</w:t>
            </w:r>
          </w:p>
          <w:p w14:paraId="628CD02A">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回答：公司</w:t>
            </w:r>
            <w:r>
              <w:rPr>
                <w:rFonts w:hint="eastAsia" w:ascii="Times New Roman" w:hAnsi="Times New Roman" w:cs="Times New Roman"/>
                <w:color w:val="auto"/>
                <w:sz w:val="24"/>
                <w:szCs w:val="24"/>
                <w:highlight w:val="none"/>
                <w:lang w:val="en-US" w:eastAsia="zh-CN"/>
              </w:rPr>
              <w:t>持续对磷酸铁锂产品进行迭代升级，</w:t>
            </w:r>
            <w:r>
              <w:rPr>
                <w:rFonts w:hint="default" w:ascii="Times New Roman" w:hAnsi="Times New Roman" w:cs="Times New Roman"/>
                <w:color w:val="auto"/>
                <w:sz w:val="24"/>
                <w:szCs w:val="24"/>
                <w:highlight w:val="none"/>
              </w:rPr>
              <w:t>在锂电池正极材料领域形成了较为深厚的</w:t>
            </w:r>
            <w:r>
              <w:rPr>
                <w:rFonts w:hint="eastAsia" w:ascii="Times New Roman" w:hAnsi="Times New Roman" w:cs="Times New Roman"/>
                <w:color w:val="auto"/>
                <w:sz w:val="24"/>
                <w:szCs w:val="24"/>
                <w:highlight w:val="none"/>
                <w:lang w:val="en-US" w:eastAsia="zh-CN"/>
              </w:rPr>
              <w:t>技术储备。公司研发生产的高压实密度产品压实密度高，电化学性能优异，加工性能和循环性能好，目前验证进展顺利，公司</w:t>
            </w:r>
            <w:r>
              <w:rPr>
                <w:rFonts w:hint="eastAsia" w:ascii="Times New Roman" w:hAnsi="Times New Roman" w:cs="Times New Roman"/>
                <w:color w:val="auto"/>
                <w:sz w:val="24"/>
                <w:szCs w:val="24"/>
                <w:highlight w:val="none"/>
                <w:lang w:eastAsia="zh-CN"/>
              </w:rPr>
              <w:t>将加速放量进程。</w:t>
            </w:r>
          </w:p>
          <w:p w14:paraId="34E3BA2B">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cs="Times New Roman"/>
                <w:color w:val="auto"/>
                <w:sz w:val="24"/>
                <w:szCs w:val="24"/>
                <w:highlight w:val="none"/>
              </w:rPr>
            </w:pPr>
          </w:p>
          <w:p w14:paraId="44B560D3">
            <w:pPr>
              <w:pStyle w:val="7"/>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Q</w:t>
            </w:r>
            <w:r>
              <w:rPr>
                <w:rFonts w:hint="eastAsia"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公司目前已建成的磷酸铁锂产能为多少</w:t>
            </w:r>
            <w:r>
              <w:rPr>
                <w:rFonts w:hint="default" w:ascii="Times New Roman" w:hAnsi="Times New Roman" w:cs="Times New Roman"/>
                <w:b/>
                <w:bCs/>
                <w:color w:val="auto"/>
                <w:sz w:val="24"/>
                <w:szCs w:val="24"/>
                <w:highlight w:val="none"/>
              </w:rPr>
              <w:t>？</w:t>
            </w:r>
          </w:p>
          <w:p w14:paraId="3A3A7AD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回答：公司磷酸铁锂产能布局如下：湖北基地：31.1万吨/年（已投产）；安徽基地：3.7万吨/年（已投产）；山东基地：12万吨/年（已投产）。美国新能源正极材料及其产业化研发中心项目规划建设5万吨的磷酸铁锂，一期计划先行建设落地0.9万吨/年磷酸铁锂产能</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目前相关土地和厂房已经完成交割。</w:t>
            </w:r>
          </w:p>
          <w:p w14:paraId="70FED097">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Times New Roman" w:hAnsi="Times New Roman" w:cs="Times New Roman"/>
                <w:color w:val="auto"/>
                <w:sz w:val="24"/>
                <w:szCs w:val="24"/>
                <w:highlight w:val="none"/>
                <w:lang w:eastAsia="zh-CN"/>
              </w:rPr>
            </w:pPr>
          </w:p>
          <w:p w14:paraId="399F78E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Q</w:t>
            </w:r>
            <w:r>
              <w:rPr>
                <w:rFonts w:hint="eastAsia" w:ascii="Times New Roman" w:hAnsi="Times New Roman"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rPr>
              <w:t>请问公司</w:t>
            </w:r>
            <w:r>
              <w:rPr>
                <w:rFonts w:hint="eastAsia" w:ascii="Times New Roman" w:hAnsi="Times New Roman" w:cs="Times New Roman"/>
                <w:b/>
                <w:bCs/>
                <w:color w:val="auto"/>
                <w:sz w:val="24"/>
                <w:szCs w:val="24"/>
                <w:highlight w:val="none"/>
                <w:lang w:val="en-US" w:eastAsia="zh-CN"/>
              </w:rPr>
              <w:t>美国</w:t>
            </w:r>
            <w:r>
              <w:rPr>
                <w:rFonts w:hint="default" w:ascii="Times New Roman" w:hAnsi="Times New Roman" w:cs="Times New Roman"/>
                <w:b/>
                <w:bCs/>
                <w:color w:val="auto"/>
                <w:sz w:val="24"/>
                <w:szCs w:val="24"/>
                <w:highlight w:val="none"/>
              </w:rPr>
              <w:t>项目</w:t>
            </w:r>
            <w:r>
              <w:rPr>
                <w:rFonts w:hint="eastAsia" w:ascii="Times New Roman" w:hAnsi="Times New Roman" w:cs="Times New Roman"/>
                <w:b/>
                <w:bCs/>
                <w:color w:val="auto"/>
                <w:sz w:val="24"/>
                <w:szCs w:val="24"/>
                <w:highlight w:val="none"/>
                <w:lang w:val="en-US" w:eastAsia="zh-CN"/>
              </w:rPr>
              <w:t>目前</w:t>
            </w:r>
            <w:r>
              <w:rPr>
                <w:rFonts w:hint="default" w:ascii="Times New Roman" w:hAnsi="Times New Roman" w:cs="Times New Roman"/>
                <w:b/>
                <w:bCs/>
                <w:color w:val="auto"/>
                <w:sz w:val="24"/>
                <w:szCs w:val="24"/>
                <w:highlight w:val="none"/>
              </w:rPr>
              <w:t>进展</w:t>
            </w:r>
            <w:r>
              <w:rPr>
                <w:rFonts w:hint="eastAsia" w:ascii="Times New Roman" w:hAnsi="Times New Roman" w:cs="Times New Roman"/>
                <w:b/>
                <w:bCs/>
                <w:color w:val="auto"/>
                <w:sz w:val="24"/>
                <w:szCs w:val="24"/>
                <w:highlight w:val="none"/>
                <w:lang w:val="en-US" w:eastAsia="zh-CN"/>
              </w:rPr>
              <w:t>及客户对接情况如何</w:t>
            </w:r>
            <w:r>
              <w:rPr>
                <w:rFonts w:hint="default" w:ascii="Times New Roman" w:hAnsi="Times New Roman" w:cs="Times New Roman"/>
                <w:b/>
                <w:bCs/>
                <w:color w:val="auto"/>
                <w:sz w:val="24"/>
                <w:szCs w:val="24"/>
                <w:highlight w:val="none"/>
              </w:rPr>
              <w:t>？</w:t>
            </w:r>
          </w:p>
          <w:p w14:paraId="434DB1B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回答：公司美国新能源正极材料及其产业化研发中心项目的土地和厂房的购买手续已实施完毕，相关土地和厂房已经完成交割，目前正在加快进行施工设计、设备采购准备等工作。因现地块拥有完善的水、电、气配套设施，可满足项目建设及投产需求，有助于缩短项目建成投产周期。</w:t>
            </w:r>
          </w:p>
          <w:p w14:paraId="0BBE1C92">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目前</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公司</w:t>
            </w:r>
            <w:r>
              <w:rPr>
                <w:rFonts w:hint="default" w:ascii="Times New Roman" w:hAnsi="Times New Roman" w:cs="Times New Roman"/>
                <w:color w:val="auto"/>
                <w:sz w:val="24"/>
                <w:szCs w:val="24"/>
                <w:highlight w:val="none"/>
              </w:rPr>
              <w:t>海外项目已有多家意向客户，客户均表示</w:t>
            </w:r>
            <w:r>
              <w:rPr>
                <w:rFonts w:hint="eastAsia" w:ascii="Times New Roman" w:hAnsi="Times New Roman" w:cs="Times New Roman"/>
                <w:color w:val="auto"/>
                <w:sz w:val="24"/>
                <w:szCs w:val="24"/>
                <w:highlight w:val="none"/>
                <w:lang w:val="en-US" w:eastAsia="zh-CN"/>
              </w:rPr>
              <w:t>出</w:t>
            </w:r>
            <w:r>
              <w:rPr>
                <w:rFonts w:hint="default" w:ascii="Times New Roman" w:hAnsi="Times New Roman" w:cs="Times New Roman"/>
                <w:color w:val="auto"/>
                <w:sz w:val="24"/>
                <w:szCs w:val="24"/>
                <w:highlight w:val="none"/>
              </w:rPr>
              <w:t>浓厚兴趣，已在前期产品销售接洽中，样品已经发给部分客户，合作前景良好。</w:t>
            </w:r>
          </w:p>
          <w:p w14:paraId="1411A178">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p>
          <w:p w14:paraId="68E448C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Times New Roman" w:hAnsi="Times New Roman" w:cs="Times New Roman"/>
                <w:b/>
                <w:bCs/>
                <w:color w:val="auto"/>
                <w:sz w:val="24"/>
                <w:szCs w:val="24"/>
                <w:highlight w:val="none"/>
                <w:lang w:eastAsia="zh-CN"/>
              </w:rPr>
            </w:pPr>
            <w:r>
              <w:rPr>
                <w:rFonts w:hint="default" w:ascii="Times New Roman" w:hAnsi="Times New Roman" w:cs="Times New Roman"/>
                <w:b/>
                <w:bCs/>
                <w:color w:val="auto"/>
                <w:sz w:val="24"/>
                <w:szCs w:val="24"/>
                <w:highlight w:val="none"/>
              </w:rPr>
              <w:t>Q</w:t>
            </w:r>
            <w:r>
              <w:rPr>
                <w:rFonts w:hint="eastAsia" w:ascii="Times New Roman" w:hAnsi="Times New Roman" w:cs="Times New Roman"/>
                <w:b/>
                <w:bCs/>
                <w:color w:val="auto"/>
                <w:sz w:val="24"/>
                <w:szCs w:val="24"/>
                <w:highlight w:val="none"/>
                <w:lang w:val="en-US" w:eastAsia="zh-CN"/>
              </w:rPr>
              <w:t>5</w:t>
            </w:r>
            <w:r>
              <w:rPr>
                <w:rFonts w:hint="default" w:ascii="Times New Roman" w:hAnsi="Times New Roman" w:cs="Times New Roman"/>
                <w:b/>
                <w:bCs/>
                <w:color w:val="auto"/>
                <w:sz w:val="24"/>
                <w:szCs w:val="24"/>
                <w:highlight w:val="none"/>
              </w:rPr>
              <w:t>：公司</w:t>
            </w:r>
            <w:r>
              <w:rPr>
                <w:rFonts w:hint="eastAsia" w:ascii="Times New Roman" w:hAnsi="Times New Roman" w:cs="Times New Roman"/>
                <w:b/>
                <w:bCs/>
                <w:color w:val="auto"/>
                <w:sz w:val="24"/>
                <w:szCs w:val="24"/>
                <w:highlight w:val="none"/>
                <w:lang w:val="en-US" w:eastAsia="zh-CN"/>
              </w:rPr>
              <w:t>目前</w:t>
            </w:r>
            <w:r>
              <w:rPr>
                <w:rFonts w:hint="default" w:ascii="Times New Roman" w:hAnsi="Times New Roman" w:cs="Times New Roman"/>
                <w:b/>
                <w:bCs/>
                <w:color w:val="auto"/>
                <w:sz w:val="24"/>
                <w:szCs w:val="24"/>
                <w:highlight w:val="none"/>
              </w:rPr>
              <w:t>的经营性现金流情况怎么样？</w:t>
            </w:r>
          </w:p>
          <w:p w14:paraId="0B0D5391">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sz w:val="24"/>
                <w:szCs w:val="24"/>
                <w:lang w:eastAsia="zh-CN"/>
              </w:rPr>
            </w:pPr>
            <w:r>
              <w:rPr>
                <w:rFonts w:hint="default" w:ascii="Times New Roman" w:hAnsi="Times New Roman" w:cs="Times New Roman"/>
                <w:color w:val="auto"/>
                <w:sz w:val="24"/>
                <w:szCs w:val="24"/>
                <w:highlight w:val="none"/>
              </w:rPr>
              <w:t>回答：</w:t>
            </w:r>
            <w:r>
              <w:rPr>
                <w:rFonts w:hint="default" w:ascii="Times New Roman" w:hAnsi="Times New Roman" w:eastAsia="宋体" w:cs="Times New Roman"/>
                <w:sz w:val="24"/>
                <w:szCs w:val="24"/>
              </w:rPr>
              <w:t>2024年1-9月</w:t>
            </w:r>
            <w:r>
              <w:rPr>
                <w:rFonts w:ascii="宋体" w:hAnsi="宋体" w:eastAsia="宋体" w:cs="宋体"/>
                <w:sz w:val="24"/>
                <w:szCs w:val="24"/>
              </w:rPr>
              <w:t>，公司经营活动产生的现金流</w:t>
            </w:r>
            <w:r>
              <w:rPr>
                <w:rFonts w:hint="default" w:ascii="Times New Roman" w:hAnsi="Times New Roman" w:eastAsia="宋体" w:cs="Times New Roman"/>
                <w:sz w:val="24"/>
                <w:szCs w:val="24"/>
              </w:rPr>
              <w:t>量净额为21.3亿元，较上年同期由负转正，大幅增长，经营性现金流持续</w:t>
            </w:r>
            <w:r>
              <w:rPr>
                <w:rFonts w:ascii="宋体" w:hAnsi="宋体" w:eastAsia="宋体" w:cs="宋体"/>
                <w:sz w:val="24"/>
                <w:szCs w:val="24"/>
              </w:rPr>
              <w:t>改善中</w:t>
            </w:r>
            <w:r>
              <w:rPr>
                <w:rFonts w:hint="eastAsia" w:ascii="宋体" w:hAnsi="宋体" w:cs="宋体"/>
                <w:sz w:val="24"/>
                <w:szCs w:val="24"/>
                <w:lang w:eastAsia="zh-CN"/>
              </w:rPr>
              <w:t>。</w:t>
            </w:r>
          </w:p>
          <w:p w14:paraId="657AE32F">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cs="Times New Roman"/>
                <w:color w:val="auto"/>
                <w:sz w:val="24"/>
                <w:szCs w:val="24"/>
                <w:highlight w:val="none"/>
              </w:rPr>
            </w:pPr>
          </w:p>
          <w:p w14:paraId="138500ED">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rPr>
              <w:t>Q</w:t>
            </w:r>
            <w:r>
              <w:rPr>
                <w:rFonts w:hint="eastAsia" w:ascii="Times New Roman" w:hAnsi="Times New Roman"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rPr>
              <w:t>：</w:t>
            </w:r>
            <w:r>
              <w:rPr>
                <w:rFonts w:hint="eastAsia" w:ascii="Times New Roman" w:hAnsi="Times New Roman" w:cs="Times New Roman"/>
                <w:b/>
                <w:bCs/>
                <w:color w:val="auto"/>
                <w:sz w:val="24"/>
                <w:szCs w:val="24"/>
                <w:highlight w:val="none"/>
                <w:lang w:val="en-US" w:eastAsia="zh-CN"/>
              </w:rPr>
              <w:t>请介绍下公司目前合作客户情况。</w:t>
            </w:r>
          </w:p>
          <w:p w14:paraId="031B5EF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回答：公司推进差异化营销策略，精准对接客户端的需求，目前，公司已与锂离子动力电池、储能电池、钠离子电池等多领域客户建立了良好的合作关系，</w:t>
            </w:r>
            <w:r>
              <w:rPr>
                <w:rFonts w:hint="eastAsia" w:ascii="Times New Roman" w:hAnsi="Times New Roman" w:cs="Times New Roman"/>
                <w:color w:val="auto"/>
                <w:sz w:val="24"/>
                <w:szCs w:val="24"/>
                <w:highlight w:val="none"/>
                <w:lang w:eastAsia="zh-CN"/>
              </w:rPr>
              <w:t>以实现客户结构的多元化，</w:t>
            </w:r>
            <w:r>
              <w:rPr>
                <w:rFonts w:hint="eastAsia" w:ascii="Times New Roman" w:hAnsi="Times New Roman" w:cs="Times New Roman"/>
                <w:color w:val="auto"/>
                <w:sz w:val="24"/>
                <w:szCs w:val="24"/>
                <w:highlight w:val="none"/>
                <w:lang w:val="en-US" w:eastAsia="zh-CN"/>
              </w:rPr>
              <w:t>稳步提升公司市占率。</w:t>
            </w:r>
          </w:p>
          <w:p w14:paraId="245DB8F5">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ascii="Times New Roman" w:hAnsi="Times New Roman" w:cs="Times New Roman"/>
                <w:color w:val="auto"/>
                <w:sz w:val="24"/>
                <w:szCs w:val="24"/>
                <w:highlight w:val="none"/>
                <w:lang w:val="en-US" w:eastAsia="zh-CN"/>
              </w:rPr>
            </w:pPr>
          </w:p>
          <w:p w14:paraId="0B8482B0">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2" w:firstLineChars="200"/>
              <w:textAlignment w:val="auto"/>
              <w:rPr>
                <w:rFonts w:hint="eastAsia" w:ascii="Times New Roman" w:hAnsi="Times New Roman" w:cs="Times New Roman"/>
                <w:b/>
                <w:bCs/>
                <w:color w:val="auto"/>
                <w:sz w:val="24"/>
                <w:szCs w:val="24"/>
                <w:highlight w:val="none"/>
                <w:lang w:eastAsia="zh-CN"/>
              </w:rPr>
            </w:pPr>
            <w:r>
              <w:rPr>
                <w:rFonts w:hint="default" w:ascii="Times New Roman" w:hAnsi="Times New Roman" w:cs="Times New Roman"/>
                <w:b/>
                <w:bCs/>
                <w:color w:val="auto"/>
                <w:sz w:val="24"/>
                <w:szCs w:val="24"/>
                <w:highlight w:val="none"/>
              </w:rPr>
              <w:t>Q</w:t>
            </w:r>
            <w:r>
              <w:rPr>
                <w:rFonts w:hint="eastAsia" w:ascii="Times New Roman" w:hAnsi="Times New Roman"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rPr>
              <w:t>：公司是否有</w:t>
            </w:r>
            <w:r>
              <w:rPr>
                <w:rFonts w:hint="eastAsia" w:ascii="Times New Roman" w:hAnsi="Times New Roman" w:cs="Times New Roman"/>
                <w:b/>
                <w:bCs/>
                <w:color w:val="auto"/>
                <w:sz w:val="24"/>
                <w:szCs w:val="24"/>
                <w:highlight w:val="none"/>
                <w:lang w:val="en-US" w:eastAsia="zh-CN"/>
              </w:rPr>
              <w:t>采取合理的措施进行降本增效</w:t>
            </w:r>
            <w:r>
              <w:rPr>
                <w:rFonts w:hint="eastAsia" w:ascii="Times New Roman" w:hAnsi="Times New Roman" w:cs="Times New Roman"/>
                <w:b/>
                <w:bCs/>
                <w:color w:val="auto"/>
                <w:sz w:val="24"/>
                <w:szCs w:val="24"/>
                <w:highlight w:val="none"/>
                <w:lang w:eastAsia="zh-CN"/>
              </w:rPr>
              <w:t>？</w:t>
            </w:r>
          </w:p>
          <w:p w14:paraId="602E40E3">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回答：</w:t>
            </w:r>
            <w:r>
              <w:rPr>
                <w:rFonts w:hint="eastAsia" w:ascii="Times New Roman" w:hAnsi="Times New Roman" w:cs="Times New Roman"/>
                <w:color w:val="auto"/>
                <w:sz w:val="24"/>
                <w:szCs w:val="24"/>
                <w:highlight w:val="none"/>
                <w:lang w:val="en-US" w:eastAsia="zh-CN"/>
              </w:rPr>
              <w:t>公司一方面积极合理配置资源，提高产销信息传递的实时性；另一方面强化供应渠道管理，及时调整库存策略，不断提升公司库存管理水平，提高存货周转率；同时，公司将继续致力精益生产，持续大力推行精细化管理、信息化建设等，通过自动化升级、智能化应用等助力公司降本提质增效，推动产销规模持续扩大，不断提升综合管理水平，进而强化公司整体布局及整合协同，以实现可持续发展和长期利益。</w:t>
            </w:r>
          </w:p>
          <w:p w14:paraId="7A92A806">
            <w:pPr>
              <w:pStyle w:val="7"/>
              <w:spacing w:line="460" w:lineRule="exact"/>
              <w:ind w:left="0" w:leftChars="0" w:firstLine="0" w:firstLineChars="0"/>
              <w:rPr>
                <w:rFonts w:hint="default" w:ascii="Times New Roman" w:hAnsi="Times New Roman" w:cs="Times New Roman"/>
                <w:color w:val="auto"/>
                <w:sz w:val="24"/>
                <w:szCs w:val="24"/>
                <w:highlight w:val="none"/>
                <w:lang w:val="en-US" w:eastAsia="zh-CN"/>
              </w:rPr>
            </w:pPr>
          </w:p>
        </w:tc>
      </w:tr>
      <w:tr w14:paraId="5AB2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0F1D090B">
            <w:pPr>
              <w:spacing w:line="420" w:lineRule="exact"/>
              <w:jc w:val="both"/>
              <w:rPr>
                <w:bCs/>
                <w:iCs/>
                <w:color w:val="auto"/>
                <w:kern w:val="0"/>
                <w:sz w:val="24"/>
                <w:highlight w:val="none"/>
              </w:rPr>
            </w:pPr>
            <w:r>
              <w:rPr>
                <w:rFonts w:hAnsi="宋体"/>
                <w:bCs/>
                <w:iCs/>
                <w:color w:val="auto"/>
                <w:kern w:val="0"/>
                <w:sz w:val="24"/>
                <w:highlight w:val="none"/>
              </w:rPr>
              <w:t>附件清单（如有）</w:t>
            </w:r>
          </w:p>
        </w:tc>
        <w:tc>
          <w:tcPr>
            <w:tcW w:w="6847" w:type="dxa"/>
            <w:tcBorders>
              <w:top w:val="single" w:color="auto" w:sz="4" w:space="0"/>
              <w:left w:val="single" w:color="auto" w:sz="4" w:space="0"/>
              <w:bottom w:val="single" w:color="auto" w:sz="4" w:space="0"/>
              <w:right w:val="single" w:color="auto" w:sz="4" w:space="0"/>
            </w:tcBorders>
          </w:tcPr>
          <w:p w14:paraId="22B30B33">
            <w:pPr>
              <w:spacing w:line="420" w:lineRule="exact"/>
              <w:rPr>
                <w:rFonts w:hint="eastAsia" w:eastAsia="宋体"/>
                <w:bCs/>
                <w:iCs/>
                <w:color w:val="auto"/>
                <w:sz w:val="24"/>
                <w:highlight w:val="none"/>
                <w:lang w:val="en-US" w:eastAsia="zh-CN"/>
              </w:rPr>
            </w:pPr>
            <w:r>
              <w:rPr>
                <w:rFonts w:hint="eastAsia"/>
                <w:bCs/>
                <w:iCs/>
                <w:color w:val="auto"/>
                <w:sz w:val="24"/>
                <w:highlight w:val="none"/>
                <w:lang w:val="en-US" w:eastAsia="zh-CN"/>
              </w:rPr>
              <w:t>无</w:t>
            </w:r>
          </w:p>
        </w:tc>
      </w:tr>
      <w:tr w14:paraId="100F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14:paraId="0D26DBB0">
            <w:pPr>
              <w:spacing w:line="420" w:lineRule="exact"/>
              <w:jc w:val="both"/>
              <w:rPr>
                <w:bCs/>
                <w:iCs/>
                <w:color w:val="auto"/>
                <w:kern w:val="0"/>
                <w:sz w:val="24"/>
                <w:highlight w:val="none"/>
              </w:rPr>
            </w:pPr>
            <w:r>
              <w:rPr>
                <w:rFonts w:hAnsi="宋体"/>
                <w:bCs/>
                <w:iCs/>
                <w:color w:val="auto"/>
                <w:kern w:val="0"/>
                <w:sz w:val="24"/>
                <w:highlight w:val="none"/>
              </w:rPr>
              <w:t>日期</w:t>
            </w:r>
          </w:p>
        </w:tc>
        <w:tc>
          <w:tcPr>
            <w:tcW w:w="6847" w:type="dxa"/>
            <w:tcBorders>
              <w:top w:val="single" w:color="auto" w:sz="4" w:space="0"/>
              <w:left w:val="single" w:color="auto" w:sz="4" w:space="0"/>
              <w:bottom w:val="single" w:color="auto" w:sz="4" w:space="0"/>
              <w:right w:val="single" w:color="auto" w:sz="4" w:space="0"/>
            </w:tcBorders>
          </w:tcPr>
          <w:p w14:paraId="68A4821C">
            <w:pPr>
              <w:spacing w:line="420" w:lineRule="exact"/>
              <w:rPr>
                <w:rFonts w:hint="default" w:eastAsia="宋体"/>
                <w:bCs/>
                <w:iCs/>
                <w:color w:val="auto"/>
                <w:sz w:val="24"/>
                <w:highlight w:val="none"/>
                <w:lang w:val="en-US" w:eastAsia="zh-CN"/>
              </w:rPr>
            </w:pPr>
            <w:r>
              <w:rPr>
                <w:rFonts w:hint="eastAsia"/>
                <w:bCs/>
                <w:iCs/>
                <w:color w:val="auto"/>
                <w:sz w:val="24"/>
                <w:highlight w:val="none"/>
                <w:lang w:val="en-US" w:eastAsia="zh-CN"/>
              </w:rPr>
              <w:t>2024年11月5日</w:t>
            </w:r>
          </w:p>
        </w:tc>
      </w:tr>
    </w:tbl>
    <w:p w14:paraId="3142B8FF"/>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FC27">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A064F">
    <w:pPr>
      <w:pStyle w:val="3"/>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NGNkNzcyMWNiZWJiOGI2NzU1ZjE0MGFjMmEyNmEifQ=="/>
  </w:docVars>
  <w:rsids>
    <w:rsidRoot w:val="006861C7"/>
    <w:rsid w:val="000268C0"/>
    <w:rsid w:val="000363B5"/>
    <w:rsid w:val="000375D7"/>
    <w:rsid w:val="00043015"/>
    <w:rsid w:val="00046DDE"/>
    <w:rsid w:val="00047EB9"/>
    <w:rsid w:val="00054740"/>
    <w:rsid w:val="00060A74"/>
    <w:rsid w:val="000617D8"/>
    <w:rsid w:val="00067110"/>
    <w:rsid w:val="0009298A"/>
    <w:rsid w:val="000A2808"/>
    <w:rsid w:val="000A3BAC"/>
    <w:rsid w:val="000C26FD"/>
    <w:rsid w:val="000C2D85"/>
    <w:rsid w:val="000D008C"/>
    <w:rsid w:val="000E5700"/>
    <w:rsid w:val="000F0C4B"/>
    <w:rsid w:val="000F0E22"/>
    <w:rsid w:val="00105A04"/>
    <w:rsid w:val="001169A9"/>
    <w:rsid w:val="00125EB2"/>
    <w:rsid w:val="00142A4C"/>
    <w:rsid w:val="00144279"/>
    <w:rsid w:val="001452FF"/>
    <w:rsid w:val="00146CB0"/>
    <w:rsid w:val="0015391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2D41"/>
    <w:rsid w:val="002B71B8"/>
    <w:rsid w:val="002B7469"/>
    <w:rsid w:val="002C22C6"/>
    <w:rsid w:val="002C6568"/>
    <w:rsid w:val="002C723B"/>
    <w:rsid w:val="002D2B0A"/>
    <w:rsid w:val="002D39BC"/>
    <w:rsid w:val="002E1B15"/>
    <w:rsid w:val="002E1D3A"/>
    <w:rsid w:val="003005F0"/>
    <w:rsid w:val="003030BF"/>
    <w:rsid w:val="00304F89"/>
    <w:rsid w:val="00306023"/>
    <w:rsid w:val="00312288"/>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B4776"/>
    <w:rsid w:val="003D18F1"/>
    <w:rsid w:val="003D413C"/>
    <w:rsid w:val="003E001E"/>
    <w:rsid w:val="003F6BA5"/>
    <w:rsid w:val="003F7C4D"/>
    <w:rsid w:val="0040075F"/>
    <w:rsid w:val="00403300"/>
    <w:rsid w:val="004118C0"/>
    <w:rsid w:val="00417A31"/>
    <w:rsid w:val="0042004B"/>
    <w:rsid w:val="00421315"/>
    <w:rsid w:val="00433384"/>
    <w:rsid w:val="0043777D"/>
    <w:rsid w:val="00446B99"/>
    <w:rsid w:val="0045767F"/>
    <w:rsid w:val="00463E9B"/>
    <w:rsid w:val="00467414"/>
    <w:rsid w:val="0047371D"/>
    <w:rsid w:val="00473F30"/>
    <w:rsid w:val="0048591A"/>
    <w:rsid w:val="00486D86"/>
    <w:rsid w:val="0048721A"/>
    <w:rsid w:val="004972A7"/>
    <w:rsid w:val="004A0BD5"/>
    <w:rsid w:val="004A1BBF"/>
    <w:rsid w:val="004A6CC5"/>
    <w:rsid w:val="004A73E5"/>
    <w:rsid w:val="004B7820"/>
    <w:rsid w:val="004C19BF"/>
    <w:rsid w:val="004D1452"/>
    <w:rsid w:val="004D7640"/>
    <w:rsid w:val="004E1A9B"/>
    <w:rsid w:val="004E6317"/>
    <w:rsid w:val="00500AB6"/>
    <w:rsid w:val="005155FB"/>
    <w:rsid w:val="00523907"/>
    <w:rsid w:val="00537C53"/>
    <w:rsid w:val="005438F5"/>
    <w:rsid w:val="00544901"/>
    <w:rsid w:val="005474D3"/>
    <w:rsid w:val="00550737"/>
    <w:rsid w:val="00555DD2"/>
    <w:rsid w:val="00565ED9"/>
    <w:rsid w:val="005760C6"/>
    <w:rsid w:val="005762CD"/>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5DCD"/>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21F0"/>
    <w:rsid w:val="006760F7"/>
    <w:rsid w:val="00681EC6"/>
    <w:rsid w:val="006861C7"/>
    <w:rsid w:val="00686DDF"/>
    <w:rsid w:val="00697B12"/>
    <w:rsid w:val="006A05A7"/>
    <w:rsid w:val="006A55BB"/>
    <w:rsid w:val="006A7613"/>
    <w:rsid w:val="006B661A"/>
    <w:rsid w:val="006B7D00"/>
    <w:rsid w:val="006C6BC5"/>
    <w:rsid w:val="006D61A2"/>
    <w:rsid w:val="006E1DB4"/>
    <w:rsid w:val="006E2BEC"/>
    <w:rsid w:val="007171E3"/>
    <w:rsid w:val="00753DB6"/>
    <w:rsid w:val="00761CD5"/>
    <w:rsid w:val="00763847"/>
    <w:rsid w:val="00771FE3"/>
    <w:rsid w:val="00776BDE"/>
    <w:rsid w:val="00786870"/>
    <w:rsid w:val="00792237"/>
    <w:rsid w:val="0079272A"/>
    <w:rsid w:val="007A1DA9"/>
    <w:rsid w:val="007B2252"/>
    <w:rsid w:val="007B79D9"/>
    <w:rsid w:val="007C67B1"/>
    <w:rsid w:val="007E354A"/>
    <w:rsid w:val="007E48CB"/>
    <w:rsid w:val="007E69C8"/>
    <w:rsid w:val="007E70D5"/>
    <w:rsid w:val="007F4204"/>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A7D0A"/>
    <w:rsid w:val="008B0F4F"/>
    <w:rsid w:val="008B38B7"/>
    <w:rsid w:val="008B458E"/>
    <w:rsid w:val="008C4D4A"/>
    <w:rsid w:val="008E11AE"/>
    <w:rsid w:val="008E1708"/>
    <w:rsid w:val="008E4844"/>
    <w:rsid w:val="00904492"/>
    <w:rsid w:val="00904DFB"/>
    <w:rsid w:val="0091457B"/>
    <w:rsid w:val="009168C1"/>
    <w:rsid w:val="00923763"/>
    <w:rsid w:val="00924B97"/>
    <w:rsid w:val="00930ED6"/>
    <w:rsid w:val="0093293F"/>
    <w:rsid w:val="00933105"/>
    <w:rsid w:val="009474EF"/>
    <w:rsid w:val="00962626"/>
    <w:rsid w:val="009767DD"/>
    <w:rsid w:val="00977AF2"/>
    <w:rsid w:val="00985FC5"/>
    <w:rsid w:val="00993BDD"/>
    <w:rsid w:val="009A6DFB"/>
    <w:rsid w:val="009B6EC0"/>
    <w:rsid w:val="009C7FAF"/>
    <w:rsid w:val="009D4199"/>
    <w:rsid w:val="009E5746"/>
    <w:rsid w:val="009E5E6A"/>
    <w:rsid w:val="009F0DD5"/>
    <w:rsid w:val="009F1B95"/>
    <w:rsid w:val="009F2F51"/>
    <w:rsid w:val="009F6C05"/>
    <w:rsid w:val="00A13CB6"/>
    <w:rsid w:val="00A14A1A"/>
    <w:rsid w:val="00A22CDD"/>
    <w:rsid w:val="00A25AEE"/>
    <w:rsid w:val="00A31EB1"/>
    <w:rsid w:val="00A33AEA"/>
    <w:rsid w:val="00A461CD"/>
    <w:rsid w:val="00A469C5"/>
    <w:rsid w:val="00A5317D"/>
    <w:rsid w:val="00A6284E"/>
    <w:rsid w:val="00A63E81"/>
    <w:rsid w:val="00A7250E"/>
    <w:rsid w:val="00A72EDC"/>
    <w:rsid w:val="00A8775A"/>
    <w:rsid w:val="00AA5998"/>
    <w:rsid w:val="00AB07E7"/>
    <w:rsid w:val="00AD1BA8"/>
    <w:rsid w:val="00AF4419"/>
    <w:rsid w:val="00B02A29"/>
    <w:rsid w:val="00B0302C"/>
    <w:rsid w:val="00B03522"/>
    <w:rsid w:val="00B04AD6"/>
    <w:rsid w:val="00B14CAA"/>
    <w:rsid w:val="00B257CE"/>
    <w:rsid w:val="00B421F3"/>
    <w:rsid w:val="00B4746C"/>
    <w:rsid w:val="00B618DD"/>
    <w:rsid w:val="00B65354"/>
    <w:rsid w:val="00B71A0E"/>
    <w:rsid w:val="00B73C9B"/>
    <w:rsid w:val="00B81765"/>
    <w:rsid w:val="00B832F5"/>
    <w:rsid w:val="00BA2FAB"/>
    <w:rsid w:val="00BB5E28"/>
    <w:rsid w:val="00BD15F3"/>
    <w:rsid w:val="00BD2B2C"/>
    <w:rsid w:val="00BD7986"/>
    <w:rsid w:val="00BD79D3"/>
    <w:rsid w:val="00C04F82"/>
    <w:rsid w:val="00C14C0C"/>
    <w:rsid w:val="00C15AC0"/>
    <w:rsid w:val="00C2274B"/>
    <w:rsid w:val="00C26030"/>
    <w:rsid w:val="00C41091"/>
    <w:rsid w:val="00C63056"/>
    <w:rsid w:val="00C661D1"/>
    <w:rsid w:val="00C775BA"/>
    <w:rsid w:val="00C850C5"/>
    <w:rsid w:val="00C85331"/>
    <w:rsid w:val="00C85A50"/>
    <w:rsid w:val="00C92E4A"/>
    <w:rsid w:val="00C94D46"/>
    <w:rsid w:val="00CA443A"/>
    <w:rsid w:val="00CB2461"/>
    <w:rsid w:val="00CB37FD"/>
    <w:rsid w:val="00CC4952"/>
    <w:rsid w:val="00CC4D65"/>
    <w:rsid w:val="00CC61E7"/>
    <w:rsid w:val="00CD25AD"/>
    <w:rsid w:val="00CD3FFC"/>
    <w:rsid w:val="00CF565C"/>
    <w:rsid w:val="00D016A3"/>
    <w:rsid w:val="00D512E3"/>
    <w:rsid w:val="00D602C9"/>
    <w:rsid w:val="00DA26A9"/>
    <w:rsid w:val="00DA6F71"/>
    <w:rsid w:val="00DB01FF"/>
    <w:rsid w:val="00DC7778"/>
    <w:rsid w:val="00DE1715"/>
    <w:rsid w:val="00DE7391"/>
    <w:rsid w:val="00DF2DB5"/>
    <w:rsid w:val="00DF6560"/>
    <w:rsid w:val="00E04CC0"/>
    <w:rsid w:val="00E136FF"/>
    <w:rsid w:val="00E13E0F"/>
    <w:rsid w:val="00E32528"/>
    <w:rsid w:val="00E35F26"/>
    <w:rsid w:val="00E53165"/>
    <w:rsid w:val="00E56F31"/>
    <w:rsid w:val="00E61EF7"/>
    <w:rsid w:val="00E663B4"/>
    <w:rsid w:val="00E80CEB"/>
    <w:rsid w:val="00EA024C"/>
    <w:rsid w:val="00EA5103"/>
    <w:rsid w:val="00EA6319"/>
    <w:rsid w:val="00EA6FB9"/>
    <w:rsid w:val="00EB5E6A"/>
    <w:rsid w:val="00EC2AD7"/>
    <w:rsid w:val="00EC495E"/>
    <w:rsid w:val="00ED4651"/>
    <w:rsid w:val="00ED7DE0"/>
    <w:rsid w:val="00EE7891"/>
    <w:rsid w:val="00EF0EA0"/>
    <w:rsid w:val="00EF49FE"/>
    <w:rsid w:val="00EF5341"/>
    <w:rsid w:val="00F04908"/>
    <w:rsid w:val="00F07C21"/>
    <w:rsid w:val="00F12EF6"/>
    <w:rsid w:val="00F21065"/>
    <w:rsid w:val="00F24CB4"/>
    <w:rsid w:val="00F43465"/>
    <w:rsid w:val="00F45475"/>
    <w:rsid w:val="00F619D7"/>
    <w:rsid w:val="00F64E72"/>
    <w:rsid w:val="00F70C7D"/>
    <w:rsid w:val="00F767A2"/>
    <w:rsid w:val="00F9272E"/>
    <w:rsid w:val="00F9705F"/>
    <w:rsid w:val="00F97743"/>
    <w:rsid w:val="00FA1DCD"/>
    <w:rsid w:val="00FA6DAF"/>
    <w:rsid w:val="00FC6884"/>
    <w:rsid w:val="00FE62F3"/>
    <w:rsid w:val="00FF71D2"/>
    <w:rsid w:val="032853BC"/>
    <w:rsid w:val="04110AF5"/>
    <w:rsid w:val="0FAD1906"/>
    <w:rsid w:val="1B2418A5"/>
    <w:rsid w:val="1FBFC074"/>
    <w:rsid w:val="205F112F"/>
    <w:rsid w:val="26C75EE1"/>
    <w:rsid w:val="290F1B96"/>
    <w:rsid w:val="333476F4"/>
    <w:rsid w:val="34851177"/>
    <w:rsid w:val="36FB9E1F"/>
    <w:rsid w:val="3BFA3B96"/>
    <w:rsid w:val="3CEF3472"/>
    <w:rsid w:val="3EFF16E9"/>
    <w:rsid w:val="4B1E3A65"/>
    <w:rsid w:val="56A07F09"/>
    <w:rsid w:val="616F0085"/>
    <w:rsid w:val="678A786E"/>
    <w:rsid w:val="6C44065E"/>
    <w:rsid w:val="72AB7D17"/>
    <w:rsid w:val="77CF73AC"/>
    <w:rsid w:val="78FF0116"/>
    <w:rsid w:val="7C885166"/>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7">
    <w:name w:val="_Style 6"/>
    <w:basedOn w:val="1"/>
    <w:qFormat/>
    <w:uiPriority w:val="34"/>
    <w:pPr>
      <w:ind w:firstLine="420" w:firstLineChars="200"/>
    </w:pPr>
    <w:rPr>
      <w:rFonts w:ascii="Calibri" w:hAnsi="Calibri"/>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Char Char Char1"/>
    <w:basedOn w:val="1"/>
    <w:qFormat/>
    <w:uiPriority w:val="0"/>
  </w:style>
  <w:style w:type="character" w:customStyle="1" w:styleId="11">
    <w:name w:val="页脚 字符"/>
    <w:basedOn w:val="6"/>
    <w:link w:val="2"/>
    <w:autoRedefine/>
    <w:qFormat/>
    <w:uiPriority w:val="0"/>
    <w:rPr>
      <w:kern w:val="2"/>
      <w:sz w:val="18"/>
      <w:szCs w:val="18"/>
    </w:rPr>
  </w:style>
  <w:style w:type="character" w:customStyle="1" w:styleId="12">
    <w:name w:val="页眉 字符"/>
    <w:basedOn w:val="6"/>
    <w:link w:val="3"/>
    <w:qFormat/>
    <w:uiPriority w:val="0"/>
    <w:rPr>
      <w:kern w:val="2"/>
      <w:sz w:val="18"/>
      <w:szCs w:val="18"/>
    </w:rPr>
  </w:style>
  <w:style w:type="paragraph" w:customStyle="1" w:styleId="13">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1354</Words>
  <Characters>1406</Characters>
  <Lines>13</Lines>
  <Paragraphs>3</Paragraphs>
  <TotalTime>30</TotalTime>
  <ScaleCrop>false</ScaleCrop>
  <LinksUpToDate>false</LinksUpToDate>
  <CharactersWithSpaces>1533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小麦子</cp:lastModifiedBy>
  <cp:lastPrinted>2014-02-21T05:34:00Z</cp:lastPrinted>
  <dcterms:modified xsi:type="dcterms:W3CDTF">2024-11-05T07:24:54Z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6F86D91049AB4DA39CB2F9FC65DAB271_13</vt:lpwstr>
  </property>
</Properties>
</file>