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sz w:val="20"/>
          <w:szCs w:val="20"/>
          <w:lang w:val="en-US"/>
        </w:rPr>
      </w:pPr>
      <w:r>
        <w:rPr>
          <w:rFonts w:hint="eastAsia" w:ascii="宋体" w:hAnsi="宋体" w:eastAsia="宋体" w:cs="宋体"/>
          <w:sz w:val="20"/>
          <w:szCs w:val="20"/>
          <w:lang w:val="en-US"/>
        </w:rPr>
        <w:t xml:space="preserve">证券代码：603273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证券简称：天元智能</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江苏天元智能装备股份有限公司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ind w:right="619"/>
        <w:jc w:val="right"/>
        <w:rPr>
          <w:rFonts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 xml:space="preserve"> -</w:t>
      </w:r>
      <w:r>
        <w:rPr>
          <w:rFonts w:hint="eastAsia" w:ascii="宋体" w:hAnsi="宋体" w:eastAsia="宋体" w:cs="宋体"/>
          <w:sz w:val="20"/>
          <w:szCs w:val="20"/>
          <w:lang w:val="en-US"/>
        </w:rPr>
        <w:t>003</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ascii="宋体" w:hAnsi="宋体" w:eastAsia="宋体" w:cs="宋体"/>
                <w:b/>
                <w:bCs/>
                <w:sz w:val="20"/>
                <w:szCs w:val="20"/>
              </w:rPr>
            </w:pPr>
          </w:p>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pPr>
              <w:pStyle w:val="12"/>
              <w:spacing w:before="7"/>
              <w:rPr>
                <w:rFonts w:ascii="宋体" w:hAnsi="宋体" w:eastAsia="宋体" w:cs="宋体"/>
                <w:sz w:val="20"/>
                <w:szCs w:val="20"/>
              </w:rPr>
            </w:pPr>
          </w:p>
          <w:p>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spacing w:before="11"/>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ascii="Wingdings 2" w:hAnsi="Wingdings 2" w:eastAsia="MS Gothic" w:cs="宋体"/>
                    <w:sz w:val="20"/>
                    <w:szCs w:val="20"/>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spacing w:before="8"/>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before="8"/>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before="11"/>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pPr>
              <w:pStyle w:val="12"/>
              <w:spacing w:before="100" w:beforeAutospacing="1" w:line="360" w:lineRule="auto"/>
              <w:rPr>
                <w:rFonts w:eastAsia="宋体" w:cs="宋体" w:asciiTheme="minorEastAsia" w:hAnsiTheme="minorEastAsia"/>
                <w:sz w:val="20"/>
                <w:szCs w:val="20"/>
                <w:lang w:val="en-US"/>
              </w:rPr>
            </w:pPr>
            <w:r>
              <w:rPr>
                <w:rFonts w:hint="eastAsia" w:cs="宋体" w:asciiTheme="minorEastAsia" w:hAnsiTheme="minorEastAsia" w:eastAsiaTheme="minorEastAsia"/>
                <w:sz w:val="20"/>
                <w:szCs w:val="20"/>
                <w:lang w:val="en-US"/>
              </w:rPr>
              <w:t>线上参与公司2024年第三季度业绩说明会的投资者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pPr>
              <w:spacing w:before="100" w:beforeAutospacing="1" w:line="360" w:lineRule="auto"/>
              <w:rPr>
                <w:sz w:val="20"/>
                <w:szCs w:val="20"/>
              </w:rPr>
            </w:pPr>
            <w:r>
              <w:rPr>
                <w:rFonts w:hint="eastAsia" w:asciiTheme="minorEastAsia" w:hAnsiTheme="minorEastAsia" w:eastAsiaTheme="minorEastAsia" w:cstheme="minorEastAsia"/>
                <w:sz w:val="20"/>
                <w:szCs w:val="20"/>
              </w:rPr>
              <w:t>2024年11月06日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pPr>
              <w:pStyle w:val="12"/>
              <w:spacing w:before="100" w:beforeAutospacing="1" w:line="360" w:lineRule="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pPr>
              <w:pStyle w:val="12"/>
              <w:spacing w:before="100" w:beforeAutospacing="1" w:line="360" w:lineRule="auto"/>
              <w:rPr>
                <w:rFonts w:ascii="宋体" w:hAnsi="宋体" w:eastAsia="宋体" w:cs="宋体"/>
                <w:sz w:val="20"/>
                <w:szCs w:val="20"/>
              </w:rPr>
            </w:pPr>
            <w:r>
              <w:rPr>
                <w:rFonts w:ascii="宋体" w:hAnsi="宋体" w:eastAsia="宋体" w:cs="宋体"/>
                <w:sz w:val="20"/>
                <w:szCs w:val="20"/>
              </w:rPr>
              <w:t>董事长兼总经理 吴逸中</w:t>
            </w:r>
            <w:r>
              <w:rPr>
                <w:rFonts w:ascii="宋体" w:hAnsi="宋体" w:eastAsia="宋体" w:cs="宋体"/>
                <w:sz w:val="20"/>
                <w:szCs w:val="20"/>
              </w:rPr>
              <w:br w:type="textWrapping"/>
            </w:r>
            <w:r>
              <w:rPr>
                <w:rFonts w:ascii="宋体" w:hAnsi="宋体" w:eastAsia="宋体" w:cs="宋体"/>
                <w:sz w:val="20"/>
                <w:szCs w:val="20"/>
              </w:rPr>
              <w:t>董事会秘书兼财务总监 殷艳</w:t>
            </w:r>
            <w:r>
              <w:rPr>
                <w:rFonts w:ascii="宋体" w:hAnsi="宋体" w:eastAsia="宋体" w:cs="宋体"/>
                <w:sz w:val="20"/>
                <w:szCs w:val="20"/>
              </w:rPr>
              <w:br w:type="textWrapping"/>
            </w:r>
            <w:r>
              <w:rPr>
                <w:rFonts w:ascii="宋体" w:hAnsi="宋体" w:eastAsia="宋体" w:cs="宋体"/>
                <w:sz w:val="20"/>
                <w:szCs w:val="20"/>
              </w:rPr>
              <w:t>独立董事 王莉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ascii="宋体" w:hAnsi="宋体" w:eastAsia="宋体" w:cs="宋体"/>
                <w:b/>
                <w:bCs/>
                <w:sz w:val="20"/>
                <w:szCs w:val="20"/>
              </w:rPr>
            </w:pPr>
          </w:p>
          <w:p>
            <w:pPr>
              <w:pStyle w:val="12"/>
              <w:rPr>
                <w:rFonts w:ascii="宋体" w:hAnsi="宋体" w:eastAsia="宋体" w:cs="宋体"/>
                <w:b/>
                <w:bCs/>
                <w:sz w:val="20"/>
                <w:szCs w:val="20"/>
              </w:rPr>
            </w:pPr>
          </w:p>
          <w:p>
            <w:pPr>
              <w:pStyle w:val="12"/>
              <w:spacing w:before="5"/>
              <w:rPr>
                <w:rFonts w:ascii="宋体" w:hAnsi="宋体" w:eastAsia="宋体" w:cs="宋体"/>
                <w:b/>
                <w:bCs/>
                <w:sz w:val="20"/>
                <w:szCs w:val="20"/>
              </w:rPr>
            </w:pPr>
          </w:p>
          <w:p>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pPr>
              <w:pStyle w:val="12"/>
              <w:spacing w:before="100" w:beforeAutospacing="1" w:line="360" w:lineRule="auto"/>
              <w:jc w:val="both"/>
              <w:rPr>
                <w:rFonts w:ascii="宋体" w:hAnsi="宋体" w:eastAsia="宋体" w:cs="宋体"/>
                <w:sz w:val="20"/>
                <w:szCs w:val="20"/>
              </w:rPr>
            </w:pPr>
            <w:r>
              <w:rPr>
                <w:rFonts w:ascii="宋体" w:hAnsi="宋体" w:eastAsia="宋体" w:cs="宋体"/>
                <w:b/>
                <w:sz w:val="20"/>
              </w:rPr>
              <w:t xml:space="preserve">    1.公司在国内和国外市场的业务布局分别是怎样的？本季度国外订单虽有增长但执行周期长，针对国外市场的业务拓展和订单执行效率提升，公司有什么计划？</w:t>
            </w:r>
            <w:r>
              <w:rPr>
                <w:rFonts w:ascii="宋体" w:hAnsi="宋体" w:eastAsia="宋体" w:cs="宋体"/>
                <w:b/>
                <w:sz w:val="20"/>
              </w:rPr>
              <w:br w:type="textWrapping"/>
            </w:r>
            <w:r>
              <w:rPr>
                <w:rFonts w:ascii="宋体" w:hAnsi="宋体" w:eastAsia="宋体" w:cs="宋体"/>
                <w:sz w:val="20"/>
              </w:rPr>
              <w:t xml:space="preserve">    答:尊敬的投资者您好。公司近年来不断拓展海外业务，重点</w:t>
            </w:r>
            <w:r>
              <w:rPr>
                <w:rFonts w:hint="eastAsia" w:ascii="宋体" w:hAnsi="宋体" w:eastAsia="宋体" w:cs="宋体"/>
                <w:sz w:val="20"/>
              </w:rPr>
              <w:t>布局</w:t>
            </w:r>
            <w:r>
              <w:rPr>
                <w:rFonts w:ascii="宋体" w:hAnsi="宋体" w:eastAsia="宋体" w:cs="宋体"/>
                <w:sz w:val="20"/>
              </w:rPr>
              <w:t>在中亚、东南亚、中东等地区。在项目执行方面，公司通过定期与客户进行线上沟通、向项目现场派驻人员等方式，积极推进海外项目进展</w:t>
            </w:r>
            <w:r>
              <w:rPr>
                <w:rFonts w:hint="eastAsia" w:ascii="宋体" w:hAnsi="宋体" w:eastAsia="宋体" w:cs="宋体"/>
                <w:sz w:val="20"/>
              </w:rPr>
              <w:t>，</w:t>
            </w:r>
            <w:r>
              <w:rPr>
                <w:rFonts w:hint="eastAsia" w:ascii="宋体" w:hAnsi="宋体" w:eastAsia="宋体" w:cs="宋体"/>
                <w:sz w:val="20"/>
                <w:lang w:val="en-US"/>
              </w:rPr>
              <w:t>感谢您的提问</w:t>
            </w:r>
            <w:r>
              <w:rPr>
                <w:rFonts w:ascii="宋体" w:hAnsi="宋体" w:eastAsia="宋体" w:cs="宋体"/>
                <w:sz w:val="20"/>
              </w:rPr>
              <w:t>。</w:t>
            </w:r>
            <w:r>
              <w:rPr>
                <w:rFonts w:ascii="宋体" w:hAnsi="宋体" w:eastAsia="宋体" w:cs="宋体"/>
                <w:sz w:val="20"/>
              </w:rPr>
              <w:br w:type="textWrapping"/>
            </w:r>
            <w:r>
              <w:rPr>
                <w:rFonts w:ascii="宋体" w:hAnsi="宋体" w:eastAsia="宋体" w:cs="宋体"/>
                <w:b/>
                <w:sz w:val="20"/>
              </w:rPr>
              <w:t xml:space="preserve">    2.吴董事长好！公司上市即巅峰，上市以来营收利润及市场价格大幅下跌。作为公司股东苦不堪言。公司未来在主业上有何可期待的亮点？</w:t>
            </w:r>
            <w:r>
              <w:rPr>
                <w:rFonts w:ascii="宋体" w:hAnsi="宋体" w:eastAsia="宋体" w:cs="宋体"/>
                <w:b/>
                <w:sz w:val="20"/>
              </w:rPr>
              <w:br w:type="textWrapping"/>
            </w:r>
            <w:r>
              <w:rPr>
                <w:rFonts w:ascii="宋体" w:hAnsi="宋体" w:eastAsia="宋体" w:cs="宋体"/>
                <w:sz w:val="20"/>
              </w:rPr>
              <w:t xml:space="preserve">    答:尊敬的投资者您好，公司将持续聚焦主业，尤其在海外发展方面，公司将努力打造国际化天元，重点拓展东南亚、南亚、中东、中亚等区域市场，未来几年将继续深耕主业</w:t>
            </w:r>
            <w:r>
              <w:rPr>
                <w:rFonts w:hint="eastAsia" w:ascii="宋体" w:hAnsi="宋体" w:eastAsia="宋体" w:cs="宋体"/>
                <w:sz w:val="20"/>
              </w:rPr>
              <w:t>，</w:t>
            </w:r>
            <w:r>
              <w:rPr>
                <w:rFonts w:ascii="宋体" w:hAnsi="宋体" w:eastAsia="宋体" w:cs="宋体"/>
                <w:sz w:val="20"/>
              </w:rPr>
              <w:t>不断</w:t>
            </w:r>
            <w:r>
              <w:rPr>
                <w:rFonts w:hint="eastAsia" w:ascii="宋体" w:hAnsi="宋体" w:eastAsia="宋体" w:cs="宋体"/>
                <w:sz w:val="20"/>
              </w:rPr>
              <w:t>努力</w:t>
            </w:r>
            <w:r>
              <w:rPr>
                <w:rFonts w:ascii="宋体" w:hAnsi="宋体" w:eastAsia="宋体" w:cs="宋体"/>
                <w:sz w:val="20"/>
              </w:rPr>
              <w:t>提升海外业务占比</w:t>
            </w:r>
            <w:r>
              <w:rPr>
                <w:rFonts w:hint="eastAsia" w:ascii="宋体" w:hAnsi="宋体" w:eastAsia="宋体" w:cs="宋体"/>
                <w:sz w:val="20"/>
              </w:rPr>
              <w:t>，感谢您的提问</w:t>
            </w:r>
            <w:r>
              <w:rPr>
                <w:rFonts w:ascii="宋体" w:hAnsi="宋体" w:eastAsia="宋体" w:cs="宋体"/>
                <w:sz w:val="20"/>
              </w:rPr>
              <w:t>。</w:t>
            </w:r>
            <w:r>
              <w:rPr>
                <w:rFonts w:ascii="宋体" w:hAnsi="宋体" w:eastAsia="宋体" w:cs="宋体"/>
                <w:sz w:val="20"/>
              </w:rPr>
              <w:br w:type="textWrapping"/>
            </w:r>
            <w:r>
              <w:rPr>
                <w:rFonts w:ascii="宋体" w:hAnsi="宋体" w:eastAsia="宋体" w:cs="宋体"/>
                <w:b/>
                <w:sz w:val="20"/>
              </w:rPr>
              <w:t xml:space="preserve">    3.吴董事长好！管理层鼓励并购，公司在资产并购方面是否有专业团队或顾问合作？</w:t>
            </w:r>
            <w:r>
              <w:rPr>
                <w:rFonts w:ascii="宋体" w:hAnsi="宋体" w:eastAsia="宋体" w:cs="宋体"/>
                <w:b/>
                <w:sz w:val="20"/>
              </w:rPr>
              <w:br w:type="textWrapping"/>
            </w:r>
            <w:r>
              <w:rPr>
                <w:rFonts w:ascii="宋体" w:hAnsi="宋体" w:eastAsia="宋体" w:cs="宋体"/>
                <w:sz w:val="20"/>
              </w:rPr>
              <w:t xml:space="preserve">    答:尊敬的投资者您好，</w:t>
            </w:r>
            <w:r>
              <w:rPr>
                <w:rFonts w:hint="eastAsia" w:ascii="宋体" w:hAnsi="宋体" w:eastAsia="宋体" w:cs="宋体"/>
                <w:sz w:val="20"/>
              </w:rPr>
              <w:t>公司暂无并购计划，未来如有相关计划，公司将及时履行相应的信息披露义务。</w:t>
            </w:r>
            <w:r>
              <w:rPr>
                <w:rFonts w:ascii="宋体" w:hAnsi="宋体" w:eastAsia="宋体" w:cs="宋体"/>
                <w:sz w:val="20"/>
              </w:rPr>
              <w:t>感谢您的提问。</w:t>
            </w:r>
            <w:r>
              <w:rPr>
                <w:rFonts w:ascii="宋体" w:hAnsi="宋体" w:eastAsia="宋体" w:cs="宋体"/>
                <w:sz w:val="20"/>
              </w:rPr>
              <w:br w:type="textWrapping"/>
            </w:r>
            <w:r>
              <w:rPr>
                <w:rFonts w:ascii="宋体" w:hAnsi="宋体" w:eastAsia="宋体" w:cs="宋体"/>
                <w:b/>
                <w:sz w:val="20"/>
              </w:rPr>
              <w:t xml:space="preserve">    4.吴董事长好！监管层鼓励市值管理，公司在这方面有何规划？如何回报股东？</w:t>
            </w:r>
            <w:r>
              <w:rPr>
                <w:rFonts w:ascii="宋体" w:hAnsi="宋体" w:eastAsia="宋体" w:cs="宋体"/>
                <w:b/>
                <w:sz w:val="20"/>
              </w:rPr>
              <w:br w:type="textWrapping"/>
            </w:r>
            <w:r>
              <w:rPr>
                <w:rFonts w:ascii="宋体" w:hAnsi="宋体" w:eastAsia="宋体" w:cs="宋体"/>
                <w:sz w:val="20"/>
              </w:rPr>
              <w:t xml:space="preserve">    答:尊敬的投资者您好，公司重视市值管理，将专注于主营业务，通过提升经营效率和盈利能力来提升公司的内在价值，并根据公司盈利状况及资金需求状况实行积极稳定的现金分红政策来回报股东。同时公司也将继续加强与资本市场、中小投资者的沟通交流，回应市场的关注点，不断提高信息披露质量</w:t>
            </w:r>
            <w:r>
              <w:rPr>
                <w:rFonts w:hint="eastAsia" w:ascii="宋体" w:hAnsi="宋体" w:eastAsia="宋体" w:cs="宋体"/>
                <w:sz w:val="20"/>
              </w:rPr>
              <w:t>，</w:t>
            </w:r>
            <w:r>
              <w:rPr>
                <w:rFonts w:ascii="宋体" w:hAnsi="宋体" w:eastAsia="宋体" w:cs="宋体"/>
                <w:sz w:val="20"/>
              </w:rPr>
              <w:t>感谢您的提问。</w:t>
            </w:r>
            <w:r>
              <w:rPr>
                <w:rFonts w:ascii="宋体" w:hAnsi="宋体" w:eastAsia="宋体" w:cs="宋体"/>
                <w:sz w:val="20"/>
              </w:rPr>
              <w:br w:type="textWrapping"/>
            </w:r>
            <w:r>
              <w:rPr>
                <w:rFonts w:ascii="宋体" w:hAnsi="宋体" w:eastAsia="宋体" w:cs="宋体"/>
                <w:b/>
                <w:sz w:val="20"/>
              </w:rPr>
              <w:t xml:space="preserve">    5.吴董事长好，作为公司股东亏损严重。市场环境十月份以来，管理层政策已起到积极作用，市场指数快速回升，涨幅均超过20%，投资者信心明显增强。公司股票明显落后指数，公司内在因素么？公司是否能增加资本运营团队，更专业团队的去贯彻管理层支持并购及市值管理的要求呢！</w:t>
            </w:r>
            <w:r>
              <w:rPr>
                <w:rFonts w:ascii="宋体" w:hAnsi="宋体" w:eastAsia="宋体" w:cs="宋体"/>
                <w:b/>
                <w:sz w:val="20"/>
              </w:rPr>
              <w:br w:type="textWrapping"/>
            </w:r>
            <w:r>
              <w:rPr>
                <w:rFonts w:ascii="宋体" w:hAnsi="宋体" w:eastAsia="宋体" w:cs="宋体"/>
                <w:sz w:val="20"/>
              </w:rPr>
              <w:t xml:space="preserve">    答:尊敬的投资者您好，公司股票受多因素的影响，可能在一定阶段呈现与市场指数非正向变动的情况。谢谢您的建议，公司将持续关注资本市场的情况，重视市值管理工作</w:t>
            </w:r>
            <w:r>
              <w:rPr>
                <w:rFonts w:hint="eastAsia" w:ascii="宋体" w:hAnsi="宋体" w:eastAsia="宋体" w:cs="宋体"/>
                <w:sz w:val="20"/>
              </w:rPr>
              <w:t>，</w:t>
            </w:r>
            <w:r>
              <w:rPr>
                <w:rFonts w:hint="eastAsia" w:ascii="宋体" w:hAnsi="宋体" w:eastAsia="宋体" w:cs="宋体"/>
                <w:sz w:val="20"/>
                <w:lang w:val="en-US"/>
              </w:rPr>
              <w:t>感谢您的提问</w:t>
            </w:r>
            <w:r>
              <w:rPr>
                <w:rFonts w:ascii="宋体" w:hAnsi="宋体" w:eastAsia="宋体" w:cs="宋体"/>
                <w:sz w:val="20"/>
              </w:rPr>
              <w:t>。</w:t>
            </w:r>
            <w:r>
              <w:rPr>
                <w:rFonts w:ascii="宋体" w:hAnsi="宋体" w:eastAsia="宋体" w:cs="宋体"/>
                <w:sz w:val="20"/>
              </w:rPr>
              <w:br w:type="textWrapping"/>
            </w:r>
            <w:r>
              <w:rPr>
                <w:rFonts w:ascii="宋体" w:hAnsi="宋体" w:eastAsia="宋体" w:cs="宋体"/>
                <w:b/>
                <w:sz w:val="20"/>
              </w:rPr>
              <w:t xml:space="preserve">    6.公司21年以来，连续三年营收利润下滑。说不过去啊。董事长如何看待？今年继续下滑，明年也继续下滑么？回报股东，除了这次可怜的分红以外，有何其他措施或规划措施么？</w:t>
            </w:r>
            <w:r>
              <w:rPr>
                <w:rFonts w:ascii="宋体" w:hAnsi="宋体" w:eastAsia="宋体" w:cs="宋体"/>
                <w:b/>
                <w:sz w:val="20"/>
              </w:rPr>
              <w:br w:type="textWrapping"/>
            </w:r>
            <w:r>
              <w:rPr>
                <w:rFonts w:ascii="宋体" w:hAnsi="宋体" w:eastAsia="宋体" w:cs="宋体"/>
                <w:sz w:val="20"/>
              </w:rPr>
              <w:t xml:space="preserve">    答:尊敬的投资者您好，受国内建材下游需求疲软，地产投资、新开工及竣工端同比走弱，公司的经营业绩有所下滑。公司将通过积极拓展海外市场、研发新品等方式，努力提升盈利能力，感谢您的提问。</w:t>
            </w:r>
            <w:r>
              <w:rPr>
                <w:rFonts w:ascii="宋体" w:hAnsi="宋体" w:eastAsia="宋体" w:cs="宋体"/>
                <w:sz w:val="20"/>
              </w:rPr>
              <w:br w:type="textWrapping"/>
            </w:r>
            <w:r>
              <w:rPr>
                <w:rFonts w:ascii="宋体" w:hAnsi="宋体" w:eastAsia="宋体" w:cs="宋体"/>
                <w:b/>
                <w:sz w:val="20"/>
              </w:rPr>
              <w:t xml:space="preserve">    7.吴董事长，管理层鼓励公司回购股份，鼓励高管增持股份！在三年业绩连续下滑的情况下，建议公司尽快安排回购及增持措施，以给各位股东持股信心。请问董事长，有相关考虑么？</w:t>
            </w:r>
            <w:r>
              <w:rPr>
                <w:rFonts w:ascii="宋体" w:hAnsi="宋体" w:eastAsia="宋体" w:cs="宋体"/>
                <w:b/>
                <w:sz w:val="20"/>
              </w:rPr>
              <w:br w:type="textWrapping"/>
            </w:r>
            <w:r>
              <w:rPr>
                <w:rFonts w:ascii="宋体" w:hAnsi="宋体" w:eastAsia="宋体" w:cs="宋体"/>
                <w:sz w:val="20"/>
              </w:rPr>
              <w:t xml:space="preserve">    答:尊敬的投资者您好，谢谢您的建议，</w:t>
            </w:r>
            <w:r>
              <w:rPr>
                <w:rFonts w:hint="eastAsia" w:ascii="宋体" w:hAnsi="宋体" w:eastAsia="宋体" w:cs="宋体"/>
                <w:sz w:val="20"/>
              </w:rPr>
              <w:t>公司后续</w:t>
            </w:r>
            <w:r>
              <w:rPr>
                <w:rFonts w:ascii="宋体" w:hAnsi="宋体" w:eastAsia="宋体" w:cs="宋体"/>
                <w:sz w:val="20"/>
              </w:rPr>
              <w:t>如有回购及增持事项，</w:t>
            </w:r>
            <w:r>
              <w:rPr>
                <w:rFonts w:hint="eastAsia" w:ascii="宋体" w:hAnsi="宋体" w:eastAsia="宋体" w:cs="宋体"/>
                <w:sz w:val="20"/>
              </w:rPr>
              <w:t>会严格按照相关规定及时履行</w:t>
            </w:r>
            <w:bookmarkStart w:id="0" w:name="_GoBack"/>
            <w:bookmarkEnd w:id="0"/>
            <w:r>
              <w:rPr>
                <w:rFonts w:hint="eastAsia" w:ascii="宋体" w:hAnsi="宋体" w:eastAsia="宋体" w:cs="宋体"/>
                <w:sz w:val="20"/>
              </w:rPr>
              <w:t>信息披露义务，</w:t>
            </w:r>
            <w:r>
              <w:rPr>
                <w:rFonts w:ascii="宋体" w:hAnsi="宋体" w:eastAsia="宋体" w:cs="宋体"/>
                <w:sz w:val="20"/>
              </w:rPr>
              <w:t>请及时关注公司相关公告</w:t>
            </w:r>
            <w:r>
              <w:rPr>
                <w:rFonts w:hint="eastAsia" w:ascii="宋体" w:hAnsi="宋体" w:eastAsia="宋体" w:cs="宋体"/>
                <w:sz w:val="20"/>
              </w:rPr>
              <w:t>，感谢您的提问。</w:t>
            </w:r>
            <w:r>
              <w:rPr>
                <w:rFonts w:ascii="宋体" w:hAnsi="宋体" w:eastAsia="宋体" w:cs="宋体"/>
                <w:sz w:val="20"/>
              </w:rPr>
              <w:br w:type="textWrapping"/>
            </w:r>
            <w:r>
              <w:rPr>
                <w:rFonts w:ascii="宋体" w:hAnsi="宋体" w:eastAsia="宋体" w:cs="宋体"/>
                <w:b/>
                <w:sz w:val="20"/>
              </w:rPr>
              <w:t xml:space="preserve">    8.吴董事长和殷总均为共产党员，望带领天元智能成为民族企业的骄傲。更好的回报国家和股东。市场好转，监管层鼓励上市企业做优做强，也恳请二位领导抓住市场机遇，向优秀的企业学习，开阔眼界提升格局，实实在在的做些利国利民利己利工实在事。也恳请公司多沟通机构，董事长应多向机构展示公司的未来和个人能力，众人拾柴火焰高，团结合作，共建美好未来。作为股东，时时刻刻关注公司的发展。</w:t>
            </w:r>
            <w:r>
              <w:rPr>
                <w:rFonts w:ascii="宋体" w:hAnsi="宋体" w:eastAsia="宋体" w:cs="宋体"/>
                <w:b/>
                <w:sz w:val="20"/>
              </w:rPr>
              <w:br w:type="textWrapping"/>
            </w:r>
            <w:r>
              <w:rPr>
                <w:rFonts w:ascii="宋体" w:hAnsi="宋体" w:eastAsia="宋体" w:cs="宋体"/>
                <w:sz w:val="20"/>
              </w:rPr>
              <w:t xml:space="preserve">    答:尊敬的投资者您好，非常感谢您的建议。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pPr>
              <w:pStyle w:val="12"/>
              <w:spacing w:before="1"/>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pPr>
              <w:pStyle w:val="12"/>
              <w:spacing w:before="100" w:beforeAutospacing="1" w:line="360" w:lineRule="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pPr>
              <w:pStyle w:val="12"/>
              <w:spacing w:before="100" w:beforeAutospacing="1" w:line="360" w:lineRule="auto"/>
              <w:rPr>
                <w:rFonts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pPr>
              <w:pStyle w:val="12"/>
              <w:spacing w:before="100" w:beforeAutospacing="1"/>
              <w:rPr>
                <w:rFonts w:ascii="宋体" w:hAnsi="宋体" w:eastAsia="宋体" w:cs="宋体"/>
                <w:sz w:val="20"/>
                <w:szCs w:val="20"/>
              </w:rPr>
            </w:pPr>
            <w:r>
              <w:rPr>
                <w:rFonts w:ascii="宋体" w:hAnsi="宋体" w:eastAsia="宋体" w:cs="宋体"/>
                <w:sz w:val="20"/>
                <w:szCs w:val="20"/>
              </w:rPr>
              <w:t>2024年11月06日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M2MyYzMyMzBkM2M5N2Q4MDBmMTk5YWM3MjliYjk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61AEC"/>
    <w:rsid w:val="00275CB6"/>
    <w:rsid w:val="002800B5"/>
    <w:rsid w:val="00295B29"/>
    <w:rsid w:val="002D4073"/>
    <w:rsid w:val="002E7098"/>
    <w:rsid w:val="00301D32"/>
    <w:rsid w:val="00366FAD"/>
    <w:rsid w:val="0037105B"/>
    <w:rsid w:val="003975BA"/>
    <w:rsid w:val="003A464E"/>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643E0"/>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C4285"/>
    <w:rsid w:val="007D0A69"/>
    <w:rsid w:val="007D6DC4"/>
    <w:rsid w:val="007F517C"/>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B4645"/>
    <w:rsid w:val="00AD100E"/>
    <w:rsid w:val="00AE1E36"/>
    <w:rsid w:val="00AF74AA"/>
    <w:rsid w:val="00B03C2F"/>
    <w:rsid w:val="00B15064"/>
    <w:rsid w:val="00B2213F"/>
    <w:rsid w:val="00B340A3"/>
    <w:rsid w:val="00B410F5"/>
    <w:rsid w:val="00B6280C"/>
    <w:rsid w:val="00B671A4"/>
    <w:rsid w:val="00B72CD4"/>
    <w:rsid w:val="00B85B00"/>
    <w:rsid w:val="00BF132F"/>
    <w:rsid w:val="00C13878"/>
    <w:rsid w:val="00CA1705"/>
    <w:rsid w:val="00CD45B3"/>
    <w:rsid w:val="00CE1A54"/>
    <w:rsid w:val="00CF5FB6"/>
    <w:rsid w:val="00D02518"/>
    <w:rsid w:val="00D12DA5"/>
    <w:rsid w:val="00D17454"/>
    <w:rsid w:val="00D33FBC"/>
    <w:rsid w:val="00D51493"/>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353B4"/>
    <w:rsid w:val="00F92C89"/>
    <w:rsid w:val="00FB4A08"/>
    <w:rsid w:val="00FC0C2A"/>
    <w:rsid w:val="00FD7F8E"/>
    <w:rsid w:val="00FF11E4"/>
    <w:rsid w:val="04B072D4"/>
    <w:rsid w:val="05F575D4"/>
    <w:rsid w:val="064249C6"/>
    <w:rsid w:val="08641132"/>
    <w:rsid w:val="09186774"/>
    <w:rsid w:val="0945438F"/>
    <w:rsid w:val="09F239F2"/>
    <w:rsid w:val="0A71587A"/>
    <w:rsid w:val="0B792C38"/>
    <w:rsid w:val="0C28640C"/>
    <w:rsid w:val="0E90599A"/>
    <w:rsid w:val="0ED720CD"/>
    <w:rsid w:val="12070CAE"/>
    <w:rsid w:val="128D5F68"/>
    <w:rsid w:val="145F688C"/>
    <w:rsid w:val="14D47131"/>
    <w:rsid w:val="15680001"/>
    <w:rsid w:val="15DD2205"/>
    <w:rsid w:val="17072842"/>
    <w:rsid w:val="17A67110"/>
    <w:rsid w:val="1864189B"/>
    <w:rsid w:val="18D73A7D"/>
    <w:rsid w:val="19557370"/>
    <w:rsid w:val="1BD06B6A"/>
    <w:rsid w:val="1F782BDE"/>
    <w:rsid w:val="2015002F"/>
    <w:rsid w:val="204A6A53"/>
    <w:rsid w:val="23317869"/>
    <w:rsid w:val="25650CAE"/>
    <w:rsid w:val="26406598"/>
    <w:rsid w:val="28080056"/>
    <w:rsid w:val="28734C1A"/>
    <w:rsid w:val="28C72DDD"/>
    <w:rsid w:val="29EE0E64"/>
    <w:rsid w:val="2BC4020A"/>
    <w:rsid w:val="2D3D4FDD"/>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6A827A7"/>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 w:type="paragraph" w:customStyle="1" w:styleId="18">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7294-0504-49D4-B9E2-60D2510CC8B7}">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1608</Characters>
  <Lines>13</Lines>
  <Paragraphs>3</Paragraphs>
  <TotalTime>3</TotalTime>
  <ScaleCrop>false</ScaleCrop>
  <LinksUpToDate>false</LinksUpToDate>
  <CharactersWithSpaces>1886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2024-11-06T08:56:00Z</dcterms:created>
  <dc:creator>jie.huang</dc:creator>
  <cp:lastModifiedBy>大空易</cp:lastModifiedBy>
  <dcterms:modified xsi:type="dcterms:W3CDTF">2024-11-06T09:05:06Z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57D148DF2F764966BF4E1C38A6255FA2</vt:lpwstr>
  </property>
</Properties>
</file>