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8E" w:rsidRDefault="00276231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证券代码：</w:t>
      </w:r>
      <w:r>
        <w:rPr>
          <w:rFonts w:ascii="Times New Roman" w:eastAsia="宋体" w:hAnsi="Times New Roman" w:cs="Times New Roman"/>
        </w:rPr>
        <w:t xml:space="preserve">688130                                                                                     </w:t>
      </w:r>
      <w:r>
        <w:rPr>
          <w:rFonts w:ascii="Times New Roman" w:eastAsia="宋体" w:hAnsi="Times New Roman" w:cs="Times New Roman"/>
        </w:rPr>
        <w:t>证券简称：晶华微</w:t>
      </w:r>
    </w:p>
    <w:p w:rsidR="0006728E" w:rsidRDefault="0006728E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</w:p>
    <w:p w:rsidR="0006728E" w:rsidRDefault="00276231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  <w:t>杭州晶华微电子股份有限公司</w:t>
      </w:r>
    </w:p>
    <w:p w:rsidR="0006728E" w:rsidRDefault="00276231">
      <w:pPr>
        <w:spacing w:beforeLines="50" w:before="156" w:afterLines="50" w:after="156" w:line="400" w:lineRule="exact"/>
        <w:jc w:val="center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32"/>
          <w:szCs w:val="32"/>
        </w:rPr>
        <w:t>投资者关系活动记录表</w:t>
      </w:r>
      <w:r>
        <w:rPr>
          <w:rFonts w:ascii="Times New Roman" w:eastAsia="宋体" w:hAnsi="Times New Roman" w:cs="Times New Roman"/>
          <w:bCs/>
          <w:iCs/>
          <w:color w:val="000000"/>
          <w:sz w:val="24"/>
        </w:rPr>
        <w:t xml:space="preserve">  </w:t>
      </w:r>
    </w:p>
    <w:p w:rsidR="0006728E" w:rsidRDefault="00276231">
      <w:pPr>
        <w:spacing w:beforeLines="50" w:before="156" w:afterLines="50" w:after="156" w:line="400" w:lineRule="exact"/>
        <w:jc w:val="right"/>
        <w:rPr>
          <w:rFonts w:ascii="Times New Roman" w:eastAsia="宋体" w:hAnsi="Times New Roman" w:cs="Times New Roman"/>
          <w:bCs/>
          <w:iCs/>
          <w:color w:val="000000"/>
          <w:sz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444"/>
      </w:tblGrid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F052"/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:rsidR="0006728E" w:rsidRDefault="00913E4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276231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06728E" w:rsidRDefault="00276231">
            <w:pPr>
              <w:tabs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06728E">
        <w:trPr>
          <w:trHeight w:val="77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参与单位名称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913E45" w:rsidP="00913E45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太平洋证券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49450E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华商</w:t>
            </w:r>
            <w:r w:rsidRP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基金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、</w:t>
            </w:r>
            <w:r w:rsidR="009D2A9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华夏未来资本</w:t>
            </w:r>
          </w:p>
        </w:tc>
      </w:tr>
      <w:tr w:rsidR="0006728E">
        <w:trPr>
          <w:trHeight w:val="58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9D2A9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06728E">
        <w:trPr>
          <w:trHeight w:val="55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线下会议</w:t>
            </w:r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E45" w:rsidRDefault="00913E45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董事、总经理：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梁桂武</w:t>
            </w:r>
            <w:proofErr w:type="gramEnd"/>
          </w:p>
          <w:p w:rsidR="0006728E" w:rsidRDefault="0027623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副总经理、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董事会秘书：纪</w:t>
            </w:r>
            <w:proofErr w:type="gramStart"/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臻</w:t>
            </w:r>
            <w:proofErr w:type="gramEnd"/>
          </w:p>
        </w:tc>
      </w:tr>
      <w:tr w:rsidR="0006728E">
        <w:trPr>
          <w:trHeight w:val="13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06728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6728E" w:rsidRDefault="0006728E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06728E" w:rsidRDefault="0027623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:rsidR="0006728E" w:rsidRDefault="0006728E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一、介绍环节</w:t>
            </w:r>
          </w:p>
          <w:p w:rsidR="0006728E" w:rsidRDefault="00276231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简单介绍公司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 w:rsidR="00913E4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前三季度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产品业务及经营情况。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二、问答环节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：请介绍公司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前三季度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的经营情况。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年前三季度，尽管受国内半导体行业竞争加剧影响，产品单价有所调整，但是公司积极开拓市场，加大推广力度，公司实现营业收入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9,673.90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万元，同比增长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3.33%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。其中，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年第三季度公司实现营业收入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3,657.49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万元，同比增长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27.49%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，较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年第二季度环比增长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9.31%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，单季度销售业绩持续改善。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年前三季度，公司实现归属于上市公司股东的净利润同比下降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260.34%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，归属于上市公司股东的扣除非经常性损益的净利润同比下降，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主要系受营业成本和管理费用有所增加、利息收入减少以及未计提递延所得税等因素影响所致。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：请介绍下公司的分产品收入情况。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答：公司主营高性能模拟及数模混合集成电路的研发与销售，主要产品包括医疗健康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芯片、工业控制及仪表芯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片、智能感知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芯片等，应用于医疗健康、压力测量、工业控制、仪器仪表等众多领域。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年前三季度，公司主营业务中，医疗健康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芯片产品收入占比为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45.17%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，工业控制及仪表芯片产品收入占比为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53.62%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，智能感知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芯片产品收入占比为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1.21%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Q3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年度公司推出了哪些新产品？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年上半年，公司重点推出了带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HCT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功能的血糖仪专用芯片。该芯片是专为带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HCT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功能的血糖仪产品而设计的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器件，血糖测量精度满足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ISO15197:2013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规范。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年三季度，公司正式推出内置均衡功能并且保护齐全的多串电池监控芯片，分别为支持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6-10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串电池组的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SDM9110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，以及支持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10-17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串电池组的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SDM9117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，可应用于电动工具、平衡车、扫地机器人、电动旋翼机、电动自行车、电动轻型摩托车、电动摩托车、不间断电源系统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(UPS)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和电网储能等场景。</w:t>
            </w:r>
          </w:p>
          <w:p w:rsidR="00276231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4</w:t>
            </w:r>
            <w:r w:rsidRP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公司毛利率的情况和趋势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？</w:t>
            </w:r>
            <w:r w:rsidRP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06728E" w:rsidRDefault="00276231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76231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913E45" w:rsidRP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会结合市场和产品的实际情况等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因素</w:t>
            </w:r>
            <w:r w:rsidR="00913E45" w:rsidRP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综合考虑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毛利率变化。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年前三季度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公司主营业务毛利率为</w:t>
            </w:r>
            <w:r w:rsidR="00913E45" w:rsidRPr="00913E45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58.27%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:rsidR="0021474F" w:rsidRDefault="00DD26EF" w:rsidP="00DD26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5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：公司拟以不超过人民币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14,000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万元现金购买芯</w:t>
            </w:r>
            <w:proofErr w:type="gramStart"/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邦</w:t>
            </w:r>
            <w:proofErr w:type="gramEnd"/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科技属下将持有智能家电控制芯片业务资产的全资子公司深圳芯</w:t>
            </w:r>
            <w:proofErr w:type="gramStart"/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邦智芯</w:t>
            </w:r>
            <w:proofErr w:type="gramEnd"/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微电子有限公司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60%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至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70%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的股份，并取得控制权</w:t>
            </w:r>
            <w:r w:rsid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21474F"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请问本次交易事项的协同性如何体现。</w:t>
            </w:r>
            <w:r w:rsidR="0021474F"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1474F" w:rsidRDefault="0021474F" w:rsidP="00DD26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答：基于公司与芯</w:t>
            </w:r>
            <w:proofErr w:type="gramStart"/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邦</w:t>
            </w:r>
            <w:proofErr w:type="gramEnd"/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科技的智能家电控制芯片业务具有的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协同基础，通过本次股份收购事宜，将有助于公司丰富相关技术，扩充产品序列，拓展下游领域，整合供应链资源。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在技术方面，公司将利用标的资产在触摸控制、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MCU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、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LED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驱动等智能家电的人机交互领域的核心技术，积极整合双方的研发资源，拓展公司现有的基于高精度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ADC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的数模混合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SoC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技术的应用领域，增强公司整体的技术实力和产品竞争力；在产品方面，有助于公司拓展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MCU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产品，丰富公司现有产品序列，完善公司在消费电子、智能家居、白色家电</w:t>
            </w:r>
            <w:r w:rsidRP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的解决方案；在市场及客户方面，公司与标的公司将充分发挥各自的市场和客户优势，促进市场与客户协同，一方面提升公司在消费电子、智能家居市场覆盖度和占有率，另一方面有助于公司产品拓展白色家电市场；在供应链方面，通过与标的公司供应</w:t>
            </w:r>
            <w:proofErr w:type="gramStart"/>
            <w:r w:rsidRP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链资源</w:t>
            </w:r>
            <w:proofErr w:type="gramEnd"/>
            <w:r w:rsidRP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整合，发挥规模效应，进一步提升公司及标的公司原材料采购成本优势。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1474F" w:rsidRDefault="0021474F" w:rsidP="00DD26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6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：请问本次交易会</w:t>
            </w:r>
            <w:proofErr w:type="gramStart"/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否</w:t>
            </w:r>
            <w:proofErr w:type="gramEnd"/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设置业绩承诺。</w:t>
            </w: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D26EF" w:rsidRDefault="0021474F" w:rsidP="00DD26EF">
            <w:pPr>
              <w:spacing w:line="360" w:lineRule="auto"/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</w:pPr>
            <w:r w:rsidRPr="0021474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答：为维护上市公司及中小股东利益，在本次交易的后续推进中，公司将推进落实设置业绩承诺等保障机制。</w:t>
            </w:r>
          </w:p>
          <w:p w:rsidR="00DD26EF" w:rsidRDefault="00DD26EF" w:rsidP="00DD26EF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Q</w:t>
            </w:r>
            <w:r w:rsid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7</w:t>
            </w:r>
            <w:r w:rsidRPr="00DD26EF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上述收购事项目前的进展情况？</w:t>
            </w:r>
          </w:p>
          <w:p w:rsidR="0021474F" w:rsidRPr="00DD26EF" w:rsidRDefault="00201926" w:rsidP="00DD26EF">
            <w:pPr>
              <w:spacing w:line="360" w:lineRule="auto"/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 w:rsidR="00DD26E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目前仍处于协商谈判阶段，</w:t>
            </w:r>
            <w:r w:rsidR="00DD26EF" w:rsidRPr="00DD26E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公司将根据交易事项后续进展情况，按照《上海证券交易所科创板股票上市规则》等法律法规及《公司章程》的规定和要求，及时履行相应的决策程序和信息披露义务。</w:t>
            </w:r>
            <w:bookmarkStart w:id="0" w:name="_GoBack"/>
            <w:bookmarkEnd w:id="0"/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spacing w:line="480" w:lineRule="atLeast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06728E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8E" w:rsidRDefault="00276231">
            <w:pPr>
              <w:spacing w:line="480" w:lineRule="atLeast"/>
              <w:jc w:val="lef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8E" w:rsidRDefault="00276231">
            <w:pPr>
              <w:spacing w:line="480" w:lineRule="atLeast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13E45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1474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06728E" w:rsidRDefault="0006728E">
      <w:pPr>
        <w:rPr>
          <w:rFonts w:ascii="Times New Roman" w:eastAsia="宋体" w:hAnsi="Times New Roman" w:cs="Times New Roman"/>
        </w:rPr>
      </w:pPr>
    </w:p>
    <w:sectPr w:rsidR="000672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F2" w:rsidRDefault="004E12F2">
      <w:r>
        <w:separator/>
      </w:r>
    </w:p>
  </w:endnote>
  <w:endnote w:type="continuationSeparator" w:id="0">
    <w:p w:rsidR="004E12F2" w:rsidRDefault="004E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28E" w:rsidRDefault="002762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5</w:t>
    </w:r>
    <w:r>
      <w:fldChar w:fldCharType="end"/>
    </w:r>
  </w:p>
  <w:p w:rsidR="0006728E" w:rsidRDefault="000672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F2" w:rsidRDefault="004E12F2">
      <w:r>
        <w:separator/>
      </w:r>
    </w:p>
  </w:footnote>
  <w:footnote w:type="continuationSeparator" w:id="0">
    <w:p w:rsidR="004E12F2" w:rsidRDefault="004E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E"/>
    <w:rsid w:val="0006728E"/>
    <w:rsid w:val="00201926"/>
    <w:rsid w:val="0021474F"/>
    <w:rsid w:val="00276231"/>
    <w:rsid w:val="0049450E"/>
    <w:rsid w:val="004E12F2"/>
    <w:rsid w:val="004E50E4"/>
    <w:rsid w:val="00913E45"/>
    <w:rsid w:val="009D2A9F"/>
    <w:rsid w:val="00D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B6F2"/>
  <w15:docId w15:val="{A2FBE208-36EE-4D99-953D-B6475C1F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rPr>
      <w:b/>
      <w:bCs/>
    </w:rPr>
  </w:style>
  <w:style w:type="character" w:styleId="ad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3">
    <w:name w:val="修订3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修订4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rPr>
      <w:rFonts w:ascii="等线" w:eastAsia="等线" w:hAnsi="等线" w:cs="宋体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rPr>
      <w:rFonts w:ascii="等线" w:eastAsia="等线" w:hAnsi="等线" w:cs="宋体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rPr>
      <w:rFonts w:ascii="等线" w:eastAsia="等线" w:hAnsi="等线" w:cs="宋体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5B70-F2C7-473D-9687-9860ADF67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jizhen</cp:lastModifiedBy>
  <cp:revision>3</cp:revision>
  <cp:lastPrinted>2022-05-07T01:38:00Z</cp:lastPrinted>
  <dcterms:created xsi:type="dcterms:W3CDTF">2024-11-11T15:19:00Z</dcterms:created>
  <dcterms:modified xsi:type="dcterms:W3CDTF">2024-11-11T15:29:00Z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95d6028e16f141dfa50b5c7640f8a4c2_23</vt:lpwstr>
  </property>
</Properties>
</file>