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宋体" w:hAnsi="宋体" w:eastAsia="宋体" w:cs="宋体"/>
          <w:b/>
          <w:bCs/>
          <w:sz w:val="20"/>
          <w:szCs w:val="20"/>
          <w:lang w:val="en-US"/>
        </w:rPr>
      </w:pPr>
      <w:r>
        <w:rPr>
          <w:rFonts w:hint="eastAsia" w:ascii="宋体" w:hAnsi="宋体" w:eastAsia="宋体" w:cs="宋体"/>
          <w:b/>
          <w:bCs/>
          <w:sz w:val="20"/>
          <w:szCs w:val="20"/>
          <w:lang w:val="en-US"/>
        </w:rPr>
        <w:t>证券代码：</w:t>
      </w:r>
      <w:r>
        <w:rPr>
          <w:rFonts w:ascii="宋体" w:hAnsi="宋体" w:eastAsia="宋体" w:cs="宋体"/>
          <w:b/>
          <w:bCs/>
          <w:sz w:val="20"/>
          <w:szCs w:val="20"/>
          <w:lang w:val="en-US"/>
        </w:rPr>
        <w:t xml:space="preserve">600284   </w:t>
      </w:r>
      <w:r>
        <w:rPr>
          <w:rFonts w:ascii="宋体" w:hAnsi="宋体" w:eastAsia="宋体" w:cs="宋体"/>
          <w:b/>
          <w:bCs/>
          <w:sz w:val="21"/>
          <w:szCs w:val="21"/>
          <w:lang w:val="en-US"/>
        </w:rPr>
        <w:t xml:space="preserve">                            </w:t>
      </w:r>
      <w:r>
        <w:rPr>
          <w:rFonts w:hint="eastAsia" w:ascii="宋体" w:hAnsi="宋体" w:eastAsia="宋体" w:cs="宋体"/>
          <w:b/>
          <w:bCs/>
          <w:sz w:val="21"/>
          <w:szCs w:val="21"/>
          <w:lang w:val="en-US"/>
        </w:rPr>
        <w:t xml:space="preserve">     </w:t>
      </w:r>
      <w:r>
        <w:rPr>
          <w:rFonts w:ascii="宋体" w:hAnsi="宋体" w:eastAsia="宋体" w:cs="宋体"/>
          <w:b/>
          <w:bCs/>
          <w:sz w:val="21"/>
          <w:szCs w:val="21"/>
          <w:lang w:val="en-US"/>
        </w:rPr>
        <w:t xml:space="preserve">          </w:t>
      </w:r>
      <w:r>
        <w:rPr>
          <w:rFonts w:hint="eastAsia" w:ascii="宋体" w:hAnsi="宋体" w:eastAsia="宋体" w:cs="宋体"/>
          <w:b/>
          <w:bCs/>
          <w:sz w:val="20"/>
          <w:szCs w:val="20"/>
          <w:lang w:val="en-US"/>
        </w:rPr>
        <w:t>证券简称：浦东建设</w:t>
      </w:r>
    </w:p>
    <w:p>
      <w:pPr>
        <w:ind w:firstLine="440"/>
        <w:rPr>
          <w:lang w:val="en-US"/>
        </w:rPr>
      </w:pPr>
    </w:p>
    <w:p>
      <w:pPr>
        <w:jc w:val="center"/>
        <w:rPr>
          <w:rFonts w:ascii="宋体" w:hAnsi="宋体" w:eastAsia="宋体" w:cs="宋体"/>
          <w:b/>
          <w:bCs/>
          <w:sz w:val="44"/>
          <w:szCs w:val="44"/>
        </w:rPr>
      </w:pPr>
      <w:r>
        <w:rPr>
          <w:rFonts w:hint="eastAsia" w:ascii="宋体" w:hAnsi="宋体" w:eastAsia="宋体" w:cs="宋体"/>
          <w:b/>
          <w:bCs/>
          <w:sz w:val="44"/>
          <w:szCs w:val="44"/>
        </w:rPr>
        <w:t>上海浦东建设股份有限公司</w:t>
      </w:r>
    </w:p>
    <w:p>
      <w:pPr>
        <w:jc w:val="center"/>
        <w:rPr>
          <w:rFonts w:ascii="宋体" w:hAnsi="宋体" w:eastAsia="宋体" w:cs="宋体"/>
          <w:sz w:val="44"/>
          <w:szCs w:val="44"/>
        </w:rPr>
      </w:pPr>
      <w:r>
        <w:rPr>
          <w:rFonts w:hint="eastAsia" w:ascii="宋体" w:hAnsi="宋体" w:eastAsia="宋体" w:cs="宋体"/>
          <w:b/>
          <w:bCs/>
          <w:sz w:val="44"/>
          <w:szCs w:val="44"/>
        </w:rPr>
        <w:t>投资者关系活动记录表</w:t>
      </w:r>
    </w:p>
    <w:p>
      <w:pPr>
        <w:spacing w:before="51" w:after="32"/>
        <w:jc w:val="right"/>
        <w:rPr>
          <w:rFonts w:hint="eastAsia" w:ascii="宋体" w:hAnsi="宋体" w:eastAsia="宋体" w:cs="宋体"/>
          <w:sz w:val="20"/>
          <w:szCs w:val="20"/>
          <w:lang w:val="en-US" w:eastAsia="zh-CN"/>
        </w:rPr>
      </w:pPr>
      <w:r>
        <w:rPr>
          <w:rFonts w:hint="eastAsia" w:ascii="宋体" w:hAnsi="宋体" w:eastAsia="宋体" w:cs="宋体"/>
          <w:sz w:val="20"/>
          <w:szCs w:val="20"/>
        </w:rPr>
        <w:t>编号：</w:t>
      </w:r>
      <w:r>
        <w:rPr>
          <w:rFonts w:hint="eastAsia" w:ascii="宋体" w:hAnsi="宋体" w:eastAsia="宋体" w:cs="宋体"/>
          <w:sz w:val="20"/>
          <w:szCs w:val="20"/>
          <w:lang w:val="en-US"/>
        </w:rPr>
        <w:t>2024</w:t>
      </w:r>
      <w:r>
        <w:rPr>
          <w:rFonts w:hint="eastAsia" w:ascii="宋体" w:hAnsi="宋体" w:eastAsia="宋体" w:cs="宋体"/>
          <w:sz w:val="20"/>
          <w:szCs w:val="20"/>
        </w:rPr>
        <w:t>-</w:t>
      </w:r>
      <w:r>
        <w:rPr>
          <w:rFonts w:ascii="宋体" w:hAnsi="宋体" w:eastAsia="宋体" w:cs="宋体"/>
          <w:sz w:val="20"/>
          <w:szCs w:val="20"/>
        </w:rPr>
        <w:t>00</w:t>
      </w:r>
      <w:r>
        <w:rPr>
          <w:rFonts w:hint="eastAsia" w:ascii="宋体" w:hAnsi="宋体" w:eastAsia="宋体" w:cs="宋体"/>
          <w:sz w:val="20"/>
          <w:szCs w:val="20"/>
          <w:lang w:val="en-US" w:eastAsia="zh-CN"/>
        </w:rPr>
        <w:t>3</w:t>
      </w:r>
    </w:p>
    <w:tbl>
      <w:tblPr>
        <w:tblStyle w:val="9"/>
        <w:tblW w:w="90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411"/>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791" w:hRule="atLeast"/>
          <w:jc w:val="center"/>
        </w:trPr>
        <w:tc>
          <w:tcPr>
            <w:tcW w:w="2411" w:type="dxa"/>
            <w:vAlign w:val="center"/>
          </w:tcPr>
          <w:p>
            <w:pPr>
              <w:pStyle w:val="12"/>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6656" w:type="dxa"/>
          </w:tcPr>
          <w:p>
            <w:pPr>
              <w:pStyle w:val="12"/>
              <w:tabs>
                <w:tab w:val="left" w:pos="2418"/>
              </w:tabs>
              <w:spacing w:before="1" w:line="360" w:lineRule="auto"/>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pPr>
              <w:pStyle w:val="12"/>
              <w:tabs>
                <w:tab w:val="left" w:pos="2418"/>
              </w:tabs>
              <w:spacing w:line="360" w:lineRule="auto"/>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ascii="Wingdings 2" w:hAnsi="Wingdings 2" w:eastAsia="MS Gothic" w:cs="宋体"/>
                    <w:sz w:val="20"/>
                    <w:szCs w:val="20"/>
                  </w:rPr>
                  <w:t></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pPr>
              <w:pStyle w:val="12"/>
              <w:tabs>
                <w:tab w:val="left" w:pos="2418"/>
              </w:tabs>
              <w:spacing w:line="360" w:lineRule="auto"/>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pPr>
              <w:pStyle w:val="12"/>
              <w:spacing w:line="360" w:lineRule="auto"/>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pPr>
              <w:pStyle w:val="12"/>
              <w:spacing w:line="360" w:lineRule="auto"/>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684" w:hRule="atLeast"/>
          <w:jc w:val="center"/>
        </w:trPr>
        <w:tc>
          <w:tcPr>
            <w:tcW w:w="2411" w:type="dxa"/>
            <w:vAlign w:val="center"/>
          </w:tcPr>
          <w:p>
            <w:pPr>
              <w:pStyle w:val="12"/>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6656" w:type="dxa"/>
            <w:vAlign w:val="center"/>
          </w:tcPr>
          <w:p>
            <w:pPr>
              <w:pStyle w:val="12"/>
              <w:spacing w:before="100" w:beforeAutospacing="1"/>
              <w:rPr>
                <w:rFonts w:hint="eastAsia" w:cs="宋体" w:asciiTheme="minorEastAsia" w:hAnsiTheme="minorEastAsia" w:eastAsiaTheme="minorEastAsia"/>
                <w:sz w:val="20"/>
                <w:szCs w:val="20"/>
                <w:lang w:val="en-US" w:eastAsia="zh-CN"/>
              </w:rPr>
            </w:pPr>
            <w:r>
              <w:rPr>
                <w:rFonts w:hint="eastAsia" w:cs="宋体" w:asciiTheme="minorEastAsia" w:hAnsiTheme="minorEastAsia" w:eastAsiaTheme="minorEastAsia"/>
                <w:sz w:val="20"/>
                <w:szCs w:val="20"/>
                <w:lang w:val="en-US" w:eastAsia="zh-CN"/>
              </w:rPr>
              <w:t>投资者网上提问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11" w:type="dxa"/>
            <w:vAlign w:val="center"/>
          </w:tcPr>
          <w:p>
            <w:pPr>
              <w:pStyle w:val="12"/>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6656" w:type="dxa"/>
            <w:vAlign w:val="center"/>
          </w:tcPr>
          <w:p>
            <w:pPr>
              <w:spacing w:before="100" w:beforeAutospacing="1"/>
              <w:rPr>
                <w:sz w:val="20"/>
                <w:szCs w:val="20"/>
              </w:rPr>
            </w:pPr>
            <w:r>
              <w:rPr>
                <w:rFonts w:hint="eastAsia" w:asciiTheme="minorEastAsia" w:hAnsiTheme="minorEastAsia" w:eastAsiaTheme="minorEastAsia" w:cstheme="minorEastAsia"/>
                <w:sz w:val="20"/>
                <w:szCs w:val="20"/>
              </w:rPr>
              <w:t>2024年</w:t>
            </w:r>
            <w:r>
              <w:rPr>
                <w:rFonts w:hint="eastAsia" w:asciiTheme="minorEastAsia" w:hAnsiTheme="minorEastAsia" w:eastAsiaTheme="minorEastAsia" w:cstheme="minorEastAsia"/>
                <w:sz w:val="20"/>
                <w:szCs w:val="20"/>
                <w:lang w:val="en-US" w:eastAsia="zh-CN"/>
              </w:rPr>
              <w:t>11</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eastAsia="zh-CN"/>
              </w:rPr>
              <w:t>13</w:t>
            </w:r>
            <w:r>
              <w:rPr>
                <w:rFonts w:hint="eastAsia" w:asciiTheme="minorEastAsia" w:hAnsiTheme="minorEastAsia" w:eastAsiaTheme="minorEastAsia" w:cstheme="minorEastAsia"/>
                <w:sz w:val="20"/>
                <w:szCs w:val="20"/>
              </w:rPr>
              <w:t>日 15:00-16:30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411" w:type="dxa"/>
            <w:vAlign w:val="center"/>
          </w:tcPr>
          <w:p>
            <w:pPr>
              <w:pStyle w:val="12"/>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6656" w:type="dxa"/>
            <w:vAlign w:val="center"/>
          </w:tcPr>
          <w:p>
            <w:pPr>
              <w:pStyle w:val="12"/>
              <w:spacing w:before="100" w:beforeAutospacing="1"/>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“上证路演中心”网站（https://roadshow.sseinfo.com）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11" w:type="dxa"/>
            <w:vAlign w:val="center"/>
          </w:tcPr>
          <w:p>
            <w:pPr>
              <w:pStyle w:val="12"/>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6656" w:type="dxa"/>
            <w:vAlign w:val="center"/>
          </w:tcPr>
          <w:p>
            <w:pPr>
              <w:pStyle w:val="12"/>
              <w:spacing w:before="100" w:beforeAutospacing="1" w:line="360" w:lineRule="auto"/>
              <w:rPr>
                <w:rFonts w:ascii="宋体" w:hAnsi="宋体" w:eastAsia="宋体" w:cs="宋体"/>
                <w:sz w:val="20"/>
                <w:szCs w:val="20"/>
                <w:lang w:val="en-US"/>
              </w:rPr>
            </w:pPr>
            <w:r>
              <w:rPr>
                <w:rFonts w:ascii="宋体" w:hAnsi="宋体" w:eastAsia="宋体" w:cs="宋体"/>
                <w:sz w:val="20"/>
                <w:szCs w:val="20"/>
              </w:rPr>
              <w:t>董事长 杨明</w:t>
            </w:r>
            <w:r>
              <w:rPr>
                <w:rFonts w:hint="eastAsia" w:ascii="宋体" w:hAnsi="宋体" w:eastAsia="宋体" w:cs="宋体"/>
                <w:sz w:val="20"/>
                <w:szCs w:val="20"/>
                <w:lang w:val="en-US"/>
              </w:rPr>
              <w:t>先生</w:t>
            </w:r>
            <w:r>
              <w:rPr>
                <w:rFonts w:ascii="宋体" w:hAnsi="宋体" w:eastAsia="宋体" w:cs="宋体"/>
                <w:sz w:val="20"/>
                <w:szCs w:val="20"/>
              </w:rPr>
              <w:br w:type="textWrapping"/>
            </w:r>
            <w:r>
              <w:rPr>
                <w:rFonts w:ascii="宋体" w:hAnsi="宋体" w:eastAsia="宋体" w:cs="宋体"/>
                <w:sz w:val="20"/>
                <w:szCs w:val="20"/>
              </w:rPr>
              <w:t>董事、总经理 赵炜诚</w:t>
            </w:r>
            <w:r>
              <w:rPr>
                <w:rFonts w:hint="eastAsia" w:ascii="宋体" w:hAnsi="宋体" w:eastAsia="宋体" w:cs="宋体"/>
                <w:sz w:val="20"/>
                <w:szCs w:val="20"/>
                <w:lang w:val="en-US"/>
              </w:rPr>
              <w:t>先生</w:t>
            </w:r>
            <w:r>
              <w:rPr>
                <w:rFonts w:ascii="宋体" w:hAnsi="宋体" w:eastAsia="宋体" w:cs="宋体"/>
                <w:sz w:val="20"/>
                <w:szCs w:val="20"/>
              </w:rPr>
              <w:br w:type="textWrapping"/>
            </w:r>
            <w:r>
              <w:rPr>
                <w:rFonts w:ascii="宋体" w:hAnsi="宋体" w:eastAsia="宋体" w:cs="宋体"/>
                <w:sz w:val="20"/>
                <w:szCs w:val="20"/>
              </w:rPr>
              <w:t xml:space="preserve">独立董事 </w:t>
            </w:r>
            <w:r>
              <w:rPr>
                <w:rFonts w:hint="eastAsia" w:ascii="宋体" w:hAnsi="宋体" w:eastAsia="宋体" w:cs="宋体"/>
                <w:sz w:val="20"/>
                <w:szCs w:val="20"/>
                <w:lang w:eastAsia="zh-CN"/>
              </w:rPr>
              <w:t>沈斌</w:t>
            </w:r>
            <w:r>
              <w:rPr>
                <w:rFonts w:hint="eastAsia" w:ascii="宋体" w:hAnsi="宋体" w:eastAsia="宋体" w:cs="宋体"/>
                <w:sz w:val="20"/>
                <w:szCs w:val="20"/>
                <w:lang w:val="en-US" w:eastAsia="zh-CN"/>
              </w:rPr>
              <w:t>先生</w:t>
            </w:r>
            <w:r>
              <w:rPr>
                <w:rFonts w:ascii="宋体" w:hAnsi="宋体" w:eastAsia="宋体" w:cs="宋体"/>
                <w:sz w:val="20"/>
                <w:szCs w:val="20"/>
              </w:rPr>
              <w:br w:type="textWrapping"/>
            </w:r>
            <w:r>
              <w:rPr>
                <w:rFonts w:ascii="宋体" w:hAnsi="宋体" w:eastAsia="宋体" w:cs="宋体"/>
                <w:sz w:val="20"/>
                <w:szCs w:val="20"/>
              </w:rPr>
              <w:t>财务负责人 李蕾</w:t>
            </w:r>
            <w:r>
              <w:rPr>
                <w:rFonts w:hint="eastAsia" w:ascii="宋体" w:hAnsi="宋体" w:eastAsia="宋体" w:cs="宋体"/>
                <w:sz w:val="20"/>
                <w:szCs w:val="20"/>
                <w:lang w:val="en-US"/>
              </w:rPr>
              <w:t>女士</w:t>
            </w:r>
            <w:r>
              <w:rPr>
                <w:rFonts w:ascii="宋体" w:hAnsi="宋体" w:eastAsia="宋体" w:cs="宋体"/>
                <w:sz w:val="20"/>
                <w:szCs w:val="20"/>
              </w:rPr>
              <w:br w:type="textWrapping"/>
            </w:r>
            <w:r>
              <w:rPr>
                <w:rFonts w:ascii="宋体" w:hAnsi="宋体" w:eastAsia="宋体" w:cs="宋体"/>
                <w:sz w:val="20"/>
                <w:szCs w:val="20"/>
              </w:rPr>
              <w:t>董事会秘书 陈栋</w:t>
            </w:r>
            <w:r>
              <w:rPr>
                <w:rFonts w:hint="eastAsia" w:ascii="宋体" w:hAnsi="宋体" w:eastAsia="宋体" w:cs="宋体"/>
                <w:sz w:val="20"/>
                <w:szCs w:val="20"/>
                <w:lang w:val="en-US"/>
              </w:rPr>
              <w:t>先生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577" w:hRule="atLeast"/>
          <w:jc w:val="center"/>
        </w:trPr>
        <w:tc>
          <w:tcPr>
            <w:tcW w:w="2411" w:type="dxa"/>
          </w:tcPr>
          <w:p>
            <w:pPr>
              <w:pStyle w:val="12"/>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6656" w:type="dxa"/>
          </w:tcPr>
          <w:p>
            <w:pPr>
              <w:pStyle w:val="12"/>
              <w:spacing w:line="360" w:lineRule="auto"/>
              <w:jc w:val="both"/>
              <w:rPr>
                <w:rFonts w:ascii="宋体" w:hAnsi="宋体" w:eastAsia="宋体" w:cs="宋体"/>
                <w:b/>
                <w:sz w:val="20"/>
              </w:rPr>
            </w:pPr>
            <w:r>
              <w:rPr>
                <w:rFonts w:ascii="宋体" w:hAnsi="宋体" w:eastAsia="宋体" w:cs="宋体"/>
                <w:b/>
                <w:sz w:val="20"/>
                <w:szCs w:val="20"/>
              </w:rPr>
              <w:t>1.</w:t>
            </w:r>
            <w:r>
              <w:rPr>
                <w:rFonts w:ascii="宋体" w:hAnsi="宋体" w:eastAsia="宋体" w:cs="宋体"/>
                <w:b/>
                <w:sz w:val="20"/>
              </w:rPr>
              <w:t>公司</w:t>
            </w:r>
            <w:r>
              <w:rPr>
                <w:rFonts w:hint="eastAsia" w:ascii="宋体" w:hAnsi="宋体" w:eastAsia="宋体" w:cs="宋体"/>
                <w:b/>
                <w:sz w:val="20"/>
              </w:rPr>
              <w:t>三季报公告披露，预计2024年1-9月计提信用减值损失和资产减值损失共计人民币6,932.41万元,。为什么2023年报没有提示？此因素，对公司2024年度经营效益有多大影响？</w:t>
            </w:r>
          </w:p>
          <w:p>
            <w:pPr>
              <w:pStyle w:val="12"/>
              <w:spacing w:line="360" w:lineRule="auto"/>
              <w:ind w:firstLine="400" w:firstLineChars="200"/>
              <w:jc w:val="both"/>
              <w:rPr>
                <w:rFonts w:ascii="宋体" w:hAnsi="宋体" w:eastAsia="宋体" w:cs="宋体"/>
                <w:sz w:val="20"/>
              </w:rPr>
            </w:pPr>
            <w:r>
              <w:rPr>
                <w:rFonts w:hint="eastAsia" w:ascii="宋体" w:hAnsi="宋体" w:eastAsia="宋体" w:cs="宋体"/>
                <w:sz w:val="20"/>
              </w:rPr>
              <w:t>尊敬的投资者，您好！2023年度公司累计计提信用减值损失和资产减值损失金额未达法定披露标准。根据《企业会计准则》及公司会计政策的相关规定，公司及下属子公司对截至2024年9月30日存在减值迹象的资产进行减值测试，计提信用减值损失和资产减值损失共计人民币6,932.41万元（以最终审计结果为准）。上述计提更加真实、准确、公允地反映公司截至2024年9月30日的资产和财务状况。后续，公司将通过加强商务管理、应收账款催讨等措施，提高应收账款回收，降低坏账率。感谢您的关注。</w:t>
            </w:r>
          </w:p>
          <w:p>
            <w:pPr>
              <w:pStyle w:val="12"/>
              <w:spacing w:line="360" w:lineRule="auto"/>
              <w:jc w:val="both"/>
              <w:rPr>
                <w:rFonts w:ascii="宋体" w:hAnsi="宋体" w:eastAsia="宋体" w:cs="宋体"/>
                <w:sz w:val="20"/>
              </w:rPr>
            </w:pPr>
            <w:r>
              <w:rPr>
                <w:rFonts w:hint="eastAsia" w:ascii="宋体" w:hAnsi="宋体" w:eastAsia="宋体" w:cs="宋体"/>
                <w:b/>
                <w:sz w:val="20"/>
              </w:rPr>
              <w:t>2</w:t>
            </w:r>
            <w:r>
              <w:rPr>
                <w:rFonts w:ascii="宋体" w:hAnsi="宋体" w:eastAsia="宋体" w:cs="宋体"/>
                <w:b/>
                <w:sz w:val="20"/>
              </w:rPr>
              <w:t>.</w:t>
            </w:r>
            <w:r>
              <w:rPr>
                <w:rFonts w:hint="eastAsia" w:ascii="宋体" w:hAnsi="宋体" w:eastAsia="宋体" w:cs="宋体"/>
                <w:b/>
                <w:sz w:val="20"/>
              </w:rPr>
              <w:t>目前公司与浦东地区的上市公司相比，如浦东金桥、张江高科等，市值相差较远，有无改进提升空间？</w:t>
            </w:r>
          </w:p>
          <w:p>
            <w:pPr>
              <w:pStyle w:val="12"/>
              <w:spacing w:line="360" w:lineRule="auto"/>
              <w:ind w:firstLine="400" w:firstLineChars="200"/>
              <w:jc w:val="both"/>
              <w:rPr>
                <w:rFonts w:ascii="宋体" w:hAnsi="宋体" w:eastAsia="宋体" w:cs="宋体"/>
                <w:sz w:val="20"/>
              </w:rPr>
            </w:pPr>
            <w:r>
              <w:rPr>
                <w:rFonts w:hint="eastAsia" w:ascii="宋体" w:hAnsi="宋体" w:eastAsia="宋体" w:cs="宋体"/>
                <w:sz w:val="20"/>
              </w:rPr>
              <w:t>尊敬的投资者，您好！公司市值受国内外宏观经济、所在行业、经营业绩与市场情绪等多重复杂因素影响，具有不确定性。公司将学习市值管理先进企业的经验，以高质量发展为根本，通过科技金融两翼赋能主业，发挥全产业链协同联动优势，聚焦盈利能力建设，为广大股东创造长期价值回报。同时，公司将以投资者需求为导向，继续加强投资者关系管理，通过股东大会、业绩说明会、上证e互动、接待来访、座谈交流等方式与投资者进行互动交流，构建高效的投资者沟通桥梁，积极有效地向投资者传递公司经营发展的最新成果，努力让公司内在价值更好地反映在资本市场的市值表现上。感谢您对公司的关注！</w:t>
            </w:r>
          </w:p>
          <w:p>
            <w:pPr>
              <w:pStyle w:val="12"/>
              <w:spacing w:line="360" w:lineRule="auto"/>
              <w:jc w:val="both"/>
              <w:rPr>
                <w:rFonts w:ascii="宋体" w:hAnsi="宋体" w:eastAsia="宋体" w:cs="宋体"/>
                <w:b/>
                <w:sz w:val="20"/>
              </w:rPr>
            </w:pPr>
            <w:r>
              <w:rPr>
                <w:rFonts w:ascii="宋体" w:hAnsi="宋体" w:eastAsia="宋体" w:cs="宋体"/>
                <w:b/>
                <w:sz w:val="20"/>
              </w:rPr>
              <w:t>3.</w:t>
            </w:r>
            <w:r>
              <w:rPr>
                <w:rFonts w:hint="eastAsia" w:ascii="宋体" w:hAnsi="宋体" w:eastAsia="宋体" w:cs="宋体"/>
                <w:b/>
                <w:sz w:val="20"/>
              </w:rPr>
              <w:t>三季报如实施分红，每股净资产拉下来，与将来股票减持有何关联性？</w:t>
            </w:r>
            <w:r>
              <w:rPr>
                <w:rFonts w:hint="eastAsia" w:ascii="宋体" w:hAnsi="宋体" w:eastAsia="宋体" w:cs="宋体"/>
                <w:b/>
                <w:sz w:val="20"/>
                <w:lang w:eastAsia="zh-CN"/>
              </w:rPr>
              <w:t>近日</w:t>
            </w:r>
            <w:r>
              <w:rPr>
                <w:rFonts w:hint="eastAsia" w:ascii="宋体" w:hAnsi="宋体" w:eastAsia="宋体" w:cs="宋体"/>
                <w:b/>
                <w:sz w:val="20"/>
              </w:rPr>
              <w:t>上海市政府发布资产重组新政，公司2025-2027年有何重组或并购实施计划安排？</w:t>
            </w:r>
          </w:p>
          <w:p>
            <w:pPr>
              <w:pStyle w:val="12"/>
              <w:spacing w:line="360" w:lineRule="auto"/>
              <w:ind w:firstLine="400" w:firstLineChars="200"/>
              <w:jc w:val="both"/>
              <w:rPr>
                <w:rFonts w:ascii="宋体" w:hAnsi="宋体" w:eastAsia="宋体" w:cs="宋体"/>
                <w:sz w:val="20"/>
              </w:rPr>
            </w:pPr>
            <w:r>
              <w:rPr>
                <w:rFonts w:hint="eastAsia" w:ascii="宋体" w:hAnsi="宋体" w:eastAsia="宋体" w:cs="宋体"/>
                <w:sz w:val="20"/>
              </w:rPr>
              <w:t>尊敬的投资者，您好！基于对公司未来发展的预期和信心，为提升公司投资价值，积极回报股东，推动上市公司高质量发展，公司拟对2024年前三季度利润进行分配。公司实施现金分红，与控股股东未来股票减持没有必然的关联性。公司目前没有收到控股股东减持计划。公司正在学习上海市政府关于重组并购相关政策，目前没有应披露未披露重大信息。感谢您对公司的关注。</w:t>
            </w:r>
          </w:p>
          <w:p>
            <w:pPr>
              <w:pStyle w:val="12"/>
              <w:spacing w:line="360" w:lineRule="auto"/>
              <w:jc w:val="both"/>
              <w:rPr>
                <w:rFonts w:hint="eastAsia" w:ascii="宋体" w:hAnsi="宋体" w:eastAsia="宋体" w:cs="宋体"/>
                <w:b/>
                <w:sz w:val="20"/>
                <w:lang w:eastAsia="zh-CN"/>
              </w:rPr>
            </w:pPr>
            <w:r>
              <w:rPr>
                <w:rFonts w:ascii="宋体" w:hAnsi="宋体" w:eastAsia="宋体" w:cs="宋体"/>
                <w:b/>
                <w:sz w:val="20"/>
              </w:rPr>
              <w:t>4.</w:t>
            </w:r>
            <w:r>
              <w:rPr>
                <w:rFonts w:hint="eastAsia" w:ascii="宋体" w:hAnsi="宋体" w:eastAsia="宋体" w:cs="宋体"/>
                <w:b/>
                <w:sz w:val="20"/>
              </w:rPr>
              <w:t>能介绍下2024最后一个季度公司的规划吗</w:t>
            </w:r>
            <w:r>
              <w:rPr>
                <w:rFonts w:hint="eastAsia" w:ascii="宋体" w:hAnsi="宋体" w:eastAsia="宋体" w:cs="宋体"/>
                <w:b/>
                <w:sz w:val="20"/>
                <w:lang w:eastAsia="zh-CN"/>
              </w:rPr>
              <w:t>？</w:t>
            </w:r>
          </w:p>
          <w:p>
            <w:pPr>
              <w:pStyle w:val="12"/>
              <w:spacing w:line="360" w:lineRule="auto"/>
              <w:ind w:firstLine="400" w:firstLineChars="200"/>
              <w:jc w:val="both"/>
              <w:rPr>
                <w:rFonts w:hint="eastAsia" w:ascii="宋体" w:hAnsi="宋体" w:eastAsia="宋体" w:cs="宋体"/>
                <w:sz w:val="20"/>
              </w:rPr>
            </w:pPr>
            <w:r>
              <w:rPr>
                <w:rFonts w:hint="eastAsia" w:ascii="宋体" w:hAnsi="宋体" w:eastAsia="宋体" w:cs="宋体"/>
                <w:sz w:val="20"/>
              </w:rPr>
              <w:t>尊敬的投资者，您好！公司第四季度将主要围绕全年工作目标，做好市场开拓、在建项目施工、园区新客户拓展以及园区服务体系完善等工作，并实现经营业绩目标的层层传导。同时，公司将持续强化内部的管理提升，力争今年总体的经营工作平稳收官，并为明年的发展打下较为良好的基础。感谢您对公司的关注。</w:t>
            </w:r>
          </w:p>
          <w:p>
            <w:pPr>
              <w:pStyle w:val="12"/>
              <w:spacing w:line="360" w:lineRule="auto"/>
              <w:jc w:val="both"/>
              <w:rPr>
                <w:rFonts w:ascii="宋体" w:hAnsi="宋体" w:eastAsia="宋体" w:cs="宋体"/>
                <w:sz w:val="20"/>
              </w:rPr>
            </w:pPr>
            <w:r>
              <w:rPr>
                <w:rFonts w:ascii="宋体" w:hAnsi="宋体" w:eastAsia="宋体" w:cs="宋体"/>
                <w:b/>
                <w:sz w:val="20"/>
              </w:rPr>
              <w:t>5.</w:t>
            </w:r>
            <w:r>
              <w:rPr>
                <w:rFonts w:hint="eastAsia" w:ascii="宋体" w:hAnsi="宋体" w:eastAsia="宋体" w:cs="宋体"/>
                <w:b/>
                <w:sz w:val="20"/>
              </w:rPr>
              <w:t>请问公司为什么总是不断的</w:t>
            </w:r>
            <w:r>
              <w:rPr>
                <w:rFonts w:hint="eastAsia" w:ascii="宋体" w:hAnsi="宋体" w:eastAsia="宋体" w:cs="宋体"/>
                <w:b/>
                <w:sz w:val="20"/>
                <w:lang w:eastAsia="zh-CN"/>
              </w:rPr>
              <w:t>收</w:t>
            </w:r>
            <w:r>
              <w:rPr>
                <w:rFonts w:hint="eastAsia" w:ascii="宋体" w:hAnsi="宋体" w:eastAsia="宋体" w:cs="宋体"/>
                <w:b/>
                <w:sz w:val="20"/>
              </w:rPr>
              <w:t>到工程，利润却没有同比增加，而且动不动就计提大额资产减值是不是公司在清收工程款方面不积极，不主动。</w:t>
            </w:r>
          </w:p>
          <w:p>
            <w:pPr>
              <w:pStyle w:val="12"/>
              <w:spacing w:line="360" w:lineRule="auto"/>
              <w:ind w:firstLine="400" w:firstLineChars="200"/>
              <w:jc w:val="both"/>
              <w:rPr>
                <w:rFonts w:ascii="宋体" w:hAnsi="宋体" w:eastAsia="宋体" w:cs="宋体"/>
                <w:sz w:val="20"/>
              </w:rPr>
            </w:pPr>
            <w:r>
              <w:rPr>
                <w:rFonts w:hint="eastAsia" w:ascii="宋体" w:hAnsi="宋体" w:eastAsia="宋体" w:cs="宋体"/>
                <w:sz w:val="20"/>
              </w:rPr>
              <w:t>尊敬的投资者，您好！报告期内，公司施工主业</w:t>
            </w:r>
            <w:bookmarkStart w:id="0" w:name="_GoBack"/>
            <w:bookmarkEnd w:id="0"/>
            <w:r>
              <w:rPr>
                <w:rFonts w:hint="eastAsia" w:ascii="宋体" w:hAnsi="宋体" w:eastAsia="宋体" w:cs="宋体"/>
                <w:sz w:val="20"/>
              </w:rPr>
              <w:t>稳健增长，市场竞争力持续增强，工程施工业务克服外部压力，实现的工作量多于上年同期，业务利润较上年同期保持稳定；在园区综合开发方面，邹平路TOP芯联项目进入租赁爬坡期、本期折旧和运营成本增加，对公司整体业绩造成一定拖累，随着招商工作的全面推进，园区业务收益情况将得到优化调整。此外，公司基于谨慎性原则，严格根据《企业会计准则》及公司会计政策的相关规定对存在减值迹象的资产进行减值测试，计提信用减值损失和资产减值损失，以上计提有助于更加公允地反映公司财务状况和资产价值，使公司的会计信息更具合理性。后续，公司将通过加强商务管理、应收账款催讨等措施，提高应收账款回收，降低坏账率。感谢您对公司的关注！</w:t>
            </w:r>
          </w:p>
          <w:p>
            <w:pPr>
              <w:spacing w:line="360" w:lineRule="auto"/>
              <w:jc w:val="both"/>
              <w:rPr>
                <w:rFonts w:ascii="宋体" w:hAnsi="宋体" w:eastAsia="宋体" w:cs="宋体"/>
                <w:b/>
                <w:sz w:val="20"/>
              </w:rPr>
            </w:pPr>
            <w:r>
              <w:rPr>
                <w:rFonts w:ascii="宋体" w:hAnsi="宋体" w:eastAsia="宋体" w:cs="宋体"/>
                <w:b/>
                <w:sz w:val="20"/>
              </w:rPr>
              <w:t>6.</w:t>
            </w:r>
            <w:r>
              <w:rPr>
                <w:rFonts w:hint="eastAsia" w:ascii="宋体" w:hAnsi="宋体" w:eastAsia="宋体" w:cs="宋体"/>
                <w:b/>
                <w:sz w:val="20"/>
              </w:rPr>
              <w:t>您好，想请问下浦东近期城市规划上有哪些亮点？</w:t>
            </w:r>
          </w:p>
          <w:p>
            <w:pPr>
              <w:numPr>
                <w:ilvl w:val="255"/>
                <w:numId w:val="0"/>
              </w:numPr>
              <w:autoSpaceDE/>
              <w:autoSpaceDN/>
              <w:spacing w:line="360" w:lineRule="auto"/>
              <w:ind w:firstLine="400" w:firstLineChars="200"/>
              <w:jc w:val="both"/>
              <w:rPr>
                <w:rFonts w:ascii="宋体" w:hAnsi="宋体" w:eastAsia="宋体" w:cs="宋体"/>
                <w:sz w:val="20"/>
                <w:lang w:val="en-US"/>
              </w:rPr>
            </w:pPr>
            <w:r>
              <w:rPr>
                <w:rFonts w:hint="eastAsia" w:ascii="宋体" w:hAnsi="宋体" w:eastAsia="宋体" w:cs="宋体"/>
                <w:sz w:val="20"/>
              </w:rPr>
              <w:t>尊敬的投资者，您好！浦东新区2024年政府工作报告中提到，新区将践行人民城市理念，优化城市空间布局，提升城市治理水平，构建城市治理共同体。重点建设及规划的内容包括“三个圈层”建设、提升重点区域功能、打造便捷交通体系、实施城市更新行动、推进城市治理创新等。城市规划的详细内容请以政府发布的正式文件为准。感谢您对公司的关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37" w:hRule="atLeast"/>
          <w:jc w:val="center"/>
        </w:trPr>
        <w:tc>
          <w:tcPr>
            <w:tcW w:w="2411" w:type="dxa"/>
            <w:vAlign w:val="center"/>
          </w:tcPr>
          <w:p>
            <w:pPr>
              <w:pStyle w:val="12"/>
              <w:rPr>
                <w:rFonts w:ascii="宋体" w:hAnsi="宋体" w:eastAsia="宋体" w:cs="宋体"/>
                <w:b/>
                <w:bCs/>
                <w:sz w:val="20"/>
                <w:szCs w:val="20"/>
              </w:rPr>
            </w:pPr>
            <w:r>
              <w:rPr>
                <w:rFonts w:hint="eastAsia" w:ascii="宋体" w:hAnsi="宋体" w:eastAsia="宋体" w:cs="宋体"/>
                <w:b/>
                <w:bCs/>
                <w:sz w:val="20"/>
                <w:szCs w:val="20"/>
              </w:rPr>
              <w:t>附件清单（如有）</w:t>
            </w:r>
          </w:p>
        </w:tc>
        <w:tc>
          <w:tcPr>
            <w:tcW w:w="6656" w:type="dxa"/>
            <w:vAlign w:val="center"/>
          </w:tcPr>
          <w:p>
            <w:pPr>
              <w:pStyle w:val="12"/>
              <w:spacing w:before="100" w:beforeAutospacing="1"/>
              <w:rPr>
                <w:rFonts w:ascii="宋体" w:hAnsi="宋体" w:eastAsia="宋体" w:cs="宋体"/>
                <w:sz w:val="20"/>
                <w:szCs w:val="20"/>
              </w:rPr>
            </w:pPr>
            <w:r>
              <w:rPr>
                <w:rFonts w:hint="eastAsia" w:ascii="宋体" w:hAnsi="宋体" w:eastAsia="宋体" w:cs="宋体"/>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11" w:type="dxa"/>
            <w:vAlign w:val="center"/>
          </w:tcPr>
          <w:p>
            <w:pPr>
              <w:pStyle w:val="12"/>
              <w:rPr>
                <w:rFonts w:ascii="宋体" w:hAnsi="宋体" w:eastAsia="宋体" w:cs="宋体"/>
                <w:b/>
                <w:bCs/>
                <w:sz w:val="20"/>
                <w:szCs w:val="20"/>
              </w:rPr>
            </w:pPr>
            <w:r>
              <w:rPr>
                <w:rFonts w:hint="eastAsia" w:ascii="宋体" w:hAnsi="宋体" w:eastAsia="宋体" w:cs="宋体"/>
                <w:b/>
                <w:bCs/>
                <w:sz w:val="20"/>
                <w:szCs w:val="20"/>
              </w:rPr>
              <w:t>日期</w:t>
            </w:r>
          </w:p>
        </w:tc>
        <w:tc>
          <w:tcPr>
            <w:tcW w:w="6656" w:type="dxa"/>
            <w:vAlign w:val="center"/>
          </w:tcPr>
          <w:p>
            <w:pPr>
              <w:pStyle w:val="12"/>
              <w:spacing w:before="100" w:beforeAutospacing="1"/>
              <w:rPr>
                <w:rFonts w:ascii="宋体" w:hAnsi="宋体" w:eastAsia="宋体" w:cs="宋体"/>
                <w:sz w:val="20"/>
                <w:szCs w:val="20"/>
              </w:rPr>
            </w:pPr>
            <w:r>
              <w:rPr>
                <w:rFonts w:ascii="宋体" w:hAnsi="宋体" w:eastAsia="宋体" w:cs="宋体"/>
                <w:sz w:val="20"/>
                <w:szCs w:val="20"/>
              </w:rPr>
              <w:t>2024年</w:t>
            </w:r>
            <w:r>
              <w:rPr>
                <w:rFonts w:hint="eastAsia" w:ascii="宋体" w:hAnsi="宋体" w:eastAsia="宋体" w:cs="宋体"/>
                <w:sz w:val="20"/>
                <w:szCs w:val="20"/>
                <w:lang w:val="en-US" w:eastAsia="zh-CN"/>
              </w:rPr>
              <w:t>11</w:t>
            </w:r>
            <w:r>
              <w:rPr>
                <w:rFonts w:ascii="宋体" w:hAnsi="宋体" w:eastAsia="宋体" w:cs="宋体"/>
                <w:sz w:val="20"/>
                <w:szCs w:val="20"/>
              </w:rPr>
              <w:t>月1</w:t>
            </w:r>
            <w:r>
              <w:rPr>
                <w:rFonts w:hint="eastAsia" w:ascii="宋体" w:hAnsi="宋体" w:eastAsia="宋体" w:cs="宋体"/>
                <w:sz w:val="20"/>
                <w:szCs w:val="20"/>
                <w:lang w:val="en-US" w:eastAsia="zh-CN"/>
              </w:rPr>
              <w:t>3</w:t>
            </w:r>
            <w:r>
              <w:rPr>
                <w:rFonts w:ascii="宋体" w:hAnsi="宋体" w:eastAsia="宋体" w:cs="宋体"/>
                <w:sz w:val="20"/>
                <w:szCs w:val="20"/>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11" w:type="dxa"/>
            <w:vAlign w:val="center"/>
          </w:tcPr>
          <w:p>
            <w:pPr>
              <w:pStyle w:val="12"/>
              <w:rPr>
                <w:rFonts w:ascii="宋体" w:hAnsi="宋体" w:eastAsia="宋体" w:cs="宋体"/>
                <w:b/>
                <w:bCs/>
                <w:sz w:val="20"/>
                <w:szCs w:val="20"/>
              </w:rPr>
            </w:pPr>
            <w:r>
              <w:rPr>
                <w:rFonts w:hint="eastAsia" w:ascii="宋体" w:hAnsi="宋体" w:eastAsia="宋体" w:cs="宋体"/>
                <w:b/>
                <w:bCs/>
                <w:sz w:val="20"/>
                <w:szCs w:val="20"/>
              </w:rPr>
              <w:t>备注</w:t>
            </w:r>
          </w:p>
        </w:tc>
        <w:tc>
          <w:tcPr>
            <w:tcW w:w="6656" w:type="dxa"/>
            <w:vAlign w:val="center"/>
          </w:tcPr>
          <w:p>
            <w:pPr>
              <w:pStyle w:val="12"/>
              <w:spacing w:before="100" w:beforeAutospacing="1"/>
              <w:rPr>
                <w:rFonts w:ascii="宋体" w:hAnsi="宋体" w:eastAsia="宋体" w:cs="宋体"/>
                <w:sz w:val="20"/>
                <w:szCs w:val="20"/>
              </w:rPr>
            </w:pPr>
            <w:r>
              <w:rPr>
                <w:rFonts w:hint="eastAsia" w:ascii="宋体" w:hAnsi="宋体" w:eastAsia="宋体" w:cs="宋体"/>
                <w:sz w:val="20"/>
                <w:szCs w:val="20"/>
              </w:rPr>
              <w:t>本次活动未涉及未公开重大信息披露等情况</w:t>
            </w:r>
          </w:p>
        </w:tc>
      </w:tr>
    </w:tbl>
    <w:p>
      <w:pPr>
        <w:ind w:firstLine="560"/>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YTA2MjFhNWM0MWY4YjQ5MDBlYTU1NDJmNmViNWQifQ=="/>
  </w:docVars>
  <w:rsids>
    <w:rsidRoot w:val="00301D32"/>
    <w:rsid w:val="00025D04"/>
    <w:rsid w:val="00026CC3"/>
    <w:rsid w:val="00036089"/>
    <w:rsid w:val="00037DA5"/>
    <w:rsid w:val="00053CFA"/>
    <w:rsid w:val="000633EC"/>
    <w:rsid w:val="00063804"/>
    <w:rsid w:val="000665A2"/>
    <w:rsid w:val="000877AB"/>
    <w:rsid w:val="000B7C08"/>
    <w:rsid w:val="000D12CF"/>
    <w:rsid w:val="000D2D88"/>
    <w:rsid w:val="000E4B20"/>
    <w:rsid w:val="001077CE"/>
    <w:rsid w:val="0011418F"/>
    <w:rsid w:val="00172C24"/>
    <w:rsid w:val="001E59D1"/>
    <w:rsid w:val="001E5EA4"/>
    <w:rsid w:val="00200617"/>
    <w:rsid w:val="002042A7"/>
    <w:rsid w:val="00205911"/>
    <w:rsid w:val="002146AD"/>
    <w:rsid w:val="00275CB6"/>
    <w:rsid w:val="002800B5"/>
    <w:rsid w:val="00295B29"/>
    <w:rsid w:val="002A37EB"/>
    <w:rsid w:val="002D4073"/>
    <w:rsid w:val="002D585A"/>
    <w:rsid w:val="002E7098"/>
    <w:rsid w:val="003010AF"/>
    <w:rsid w:val="00301D32"/>
    <w:rsid w:val="00317B1B"/>
    <w:rsid w:val="00366FAD"/>
    <w:rsid w:val="0037105B"/>
    <w:rsid w:val="003975BA"/>
    <w:rsid w:val="003A74E6"/>
    <w:rsid w:val="003B73DD"/>
    <w:rsid w:val="003D011C"/>
    <w:rsid w:val="003D56CD"/>
    <w:rsid w:val="003E22D6"/>
    <w:rsid w:val="004108C7"/>
    <w:rsid w:val="00412DC2"/>
    <w:rsid w:val="00440041"/>
    <w:rsid w:val="00451268"/>
    <w:rsid w:val="004515AD"/>
    <w:rsid w:val="00451857"/>
    <w:rsid w:val="00453516"/>
    <w:rsid w:val="00457548"/>
    <w:rsid w:val="00460B83"/>
    <w:rsid w:val="00470DB2"/>
    <w:rsid w:val="00483EE2"/>
    <w:rsid w:val="004925E7"/>
    <w:rsid w:val="00495B11"/>
    <w:rsid w:val="004F6FF3"/>
    <w:rsid w:val="00571B49"/>
    <w:rsid w:val="005743AE"/>
    <w:rsid w:val="005B4E19"/>
    <w:rsid w:val="005D64CA"/>
    <w:rsid w:val="005E5717"/>
    <w:rsid w:val="005E6DB2"/>
    <w:rsid w:val="0061433E"/>
    <w:rsid w:val="00626B40"/>
    <w:rsid w:val="0062751D"/>
    <w:rsid w:val="006354AA"/>
    <w:rsid w:val="00661AFA"/>
    <w:rsid w:val="006726BF"/>
    <w:rsid w:val="00677B77"/>
    <w:rsid w:val="0068718A"/>
    <w:rsid w:val="00695DFC"/>
    <w:rsid w:val="006A1F07"/>
    <w:rsid w:val="006A2739"/>
    <w:rsid w:val="006B069C"/>
    <w:rsid w:val="006B5C95"/>
    <w:rsid w:val="006D5AA6"/>
    <w:rsid w:val="006D71E3"/>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7E131F"/>
    <w:rsid w:val="0085336E"/>
    <w:rsid w:val="00853463"/>
    <w:rsid w:val="00893F25"/>
    <w:rsid w:val="00895035"/>
    <w:rsid w:val="008B2B14"/>
    <w:rsid w:val="008C6AED"/>
    <w:rsid w:val="008C7604"/>
    <w:rsid w:val="008E1B27"/>
    <w:rsid w:val="008F6542"/>
    <w:rsid w:val="00903379"/>
    <w:rsid w:val="00906975"/>
    <w:rsid w:val="00917F0B"/>
    <w:rsid w:val="00917F8B"/>
    <w:rsid w:val="00960964"/>
    <w:rsid w:val="00965E4D"/>
    <w:rsid w:val="009B1D5C"/>
    <w:rsid w:val="009C2E31"/>
    <w:rsid w:val="009D1774"/>
    <w:rsid w:val="009E1955"/>
    <w:rsid w:val="00A527AA"/>
    <w:rsid w:val="00A5684D"/>
    <w:rsid w:val="00A75C61"/>
    <w:rsid w:val="00A9601B"/>
    <w:rsid w:val="00AD100E"/>
    <w:rsid w:val="00AE1E36"/>
    <w:rsid w:val="00AF74AA"/>
    <w:rsid w:val="00B03C2F"/>
    <w:rsid w:val="00B15064"/>
    <w:rsid w:val="00B15669"/>
    <w:rsid w:val="00B340A3"/>
    <w:rsid w:val="00B410F5"/>
    <w:rsid w:val="00B6280C"/>
    <w:rsid w:val="00B671A4"/>
    <w:rsid w:val="00B72CD4"/>
    <w:rsid w:val="00B85B00"/>
    <w:rsid w:val="00BC73F9"/>
    <w:rsid w:val="00BD4C1B"/>
    <w:rsid w:val="00BF132F"/>
    <w:rsid w:val="00C13878"/>
    <w:rsid w:val="00C166ED"/>
    <w:rsid w:val="00C16B7B"/>
    <w:rsid w:val="00C23829"/>
    <w:rsid w:val="00C36CD4"/>
    <w:rsid w:val="00CA1705"/>
    <w:rsid w:val="00CB00B0"/>
    <w:rsid w:val="00CE1A54"/>
    <w:rsid w:val="00CF5FB6"/>
    <w:rsid w:val="00D02518"/>
    <w:rsid w:val="00D17454"/>
    <w:rsid w:val="00D33FBC"/>
    <w:rsid w:val="00D7535C"/>
    <w:rsid w:val="00D76302"/>
    <w:rsid w:val="00DA5CE2"/>
    <w:rsid w:val="00DE10E8"/>
    <w:rsid w:val="00E16FDA"/>
    <w:rsid w:val="00E25423"/>
    <w:rsid w:val="00E35F58"/>
    <w:rsid w:val="00E45BD9"/>
    <w:rsid w:val="00E66FFC"/>
    <w:rsid w:val="00E759D6"/>
    <w:rsid w:val="00E84A8C"/>
    <w:rsid w:val="00E976DE"/>
    <w:rsid w:val="00EC0F83"/>
    <w:rsid w:val="00ED30C6"/>
    <w:rsid w:val="00EE3187"/>
    <w:rsid w:val="00EF499B"/>
    <w:rsid w:val="00F113E0"/>
    <w:rsid w:val="00F14977"/>
    <w:rsid w:val="00F16662"/>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E443B2C"/>
    <w:rsid w:val="1F3A2287"/>
    <w:rsid w:val="1F782BDE"/>
    <w:rsid w:val="204A6A53"/>
    <w:rsid w:val="23317869"/>
    <w:rsid w:val="25650CAE"/>
    <w:rsid w:val="26406598"/>
    <w:rsid w:val="28080056"/>
    <w:rsid w:val="28734C1A"/>
    <w:rsid w:val="28C72DDD"/>
    <w:rsid w:val="29EE0E64"/>
    <w:rsid w:val="2B6F5CC4"/>
    <w:rsid w:val="2BC4020A"/>
    <w:rsid w:val="2EF90F16"/>
    <w:rsid w:val="2F125C63"/>
    <w:rsid w:val="2F31727D"/>
    <w:rsid w:val="302C3D0A"/>
    <w:rsid w:val="3104598F"/>
    <w:rsid w:val="33DE31BB"/>
    <w:rsid w:val="389C49C0"/>
    <w:rsid w:val="389C6F76"/>
    <w:rsid w:val="39BC78F4"/>
    <w:rsid w:val="3B35486F"/>
    <w:rsid w:val="3EF1250A"/>
    <w:rsid w:val="3FB52FB7"/>
    <w:rsid w:val="40567DB0"/>
    <w:rsid w:val="40FF5CD2"/>
    <w:rsid w:val="42DB40B0"/>
    <w:rsid w:val="43B71B0A"/>
    <w:rsid w:val="44FA0589"/>
    <w:rsid w:val="45A663E3"/>
    <w:rsid w:val="469F09AF"/>
    <w:rsid w:val="4B756271"/>
    <w:rsid w:val="4C8E1CA8"/>
    <w:rsid w:val="4D6D36A4"/>
    <w:rsid w:val="510903EF"/>
    <w:rsid w:val="53F137F4"/>
    <w:rsid w:val="54086FAE"/>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446028"/>
    <w:rsid w:val="73076EC0"/>
    <w:rsid w:val="74210CA6"/>
    <w:rsid w:val="746F4E76"/>
    <w:rsid w:val="788C25F5"/>
    <w:rsid w:val="79F72AA9"/>
    <w:rsid w:val="7A144529"/>
    <w:rsid w:val="7BF31A17"/>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 w:type="paragraph" w:customStyle="1" w:styleId="18">
    <w:name w:val="Revision"/>
    <w:hidden/>
    <w:unhideWhenUsed/>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D5B89-5451-4C4B-B560-037EDB3B84DB}">
  <ds:schemaRefs/>
</ds:datastoreItem>
</file>

<file path=docProps/app.xml><?xml version="1.0" encoding="utf-8"?>
<Properties xmlns="http://schemas.openxmlformats.org/officeDocument/2006/extended-properties" xmlns:vt="http://schemas.openxmlformats.org/officeDocument/2006/docPropsVTypes">
  <Template>Normal</Template>
  <Pages>3</Pages>
  <Words>410</Words>
  <Characters>2341</Characters>
  <Lines>19</Lines>
  <Paragraphs>5</Paragraphs>
  <TotalTime>0</TotalTime>
  <ScaleCrop>false</ScaleCrop>
  <LinksUpToDate>false</LinksUpToDate>
  <CharactersWithSpaces>2746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Ding</cp:lastModifiedBy>
  <dcterms:modified xsi:type="dcterms:W3CDTF">2024-11-14T06:54:08Z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AFF5B6830A5448318AD30C3B7CD649D8</vt:lpwstr>
  </property>
</Properties>
</file>