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350E9">
      <w:pPr>
        <w:spacing w:line="351" w:lineRule="auto"/>
        <w:ind w:firstLine="420" w:firstLineChars="200"/>
        <w:rPr>
          <w:rFonts w:hint="eastAsia" w:ascii="宋体" w:hAnsi="宋体" w:eastAsia="宋体" w:cs="宋体"/>
        </w:rPr>
      </w:pPr>
      <w:r>
        <w:rPr>
          <w:rFonts w:hint="eastAsia" w:ascii="宋体" w:hAnsi="宋体" w:eastAsia="宋体" w:cs="宋体"/>
        </w:rPr>
        <w:t xml:space="preserve">证券代码：688143     </w:t>
      </w:r>
      <w:r>
        <w:t xml:space="preserve">                                                                    </w:t>
      </w:r>
      <w:r>
        <w:rPr>
          <w:rFonts w:hint="eastAsia" w:ascii="宋体" w:hAnsi="宋体" w:eastAsia="宋体" w:cs="宋体"/>
        </w:rPr>
        <w:t>证券简称：长盈通</w:t>
      </w:r>
    </w:p>
    <w:p w14:paraId="62CCA50B">
      <w:pPr>
        <w:spacing w:line="351" w:lineRule="auto"/>
        <w:ind w:firstLine="420" w:firstLineChars="200"/>
      </w:pPr>
      <w:r>
        <w:t xml:space="preserve"> </w:t>
      </w:r>
    </w:p>
    <w:p w14:paraId="4869B427">
      <w:pPr>
        <w:spacing w:before="130" w:line="218" w:lineRule="auto"/>
        <w:jc w:val="center"/>
        <w:rPr>
          <w:rFonts w:ascii="黑体" w:hAnsi="黑体" w:eastAsia="黑体" w:cs="黑体"/>
          <w:sz w:val="40"/>
          <w:szCs w:val="40"/>
        </w:rPr>
      </w:pPr>
      <w:r>
        <w:rPr>
          <w:rFonts w:ascii="黑体" w:hAnsi="黑体" w:eastAsia="黑体" w:cs="黑体"/>
          <w:spacing w:val="1"/>
          <w:sz w:val="40"/>
          <w:szCs w:val="40"/>
          <w14:textOutline w14:w="7277" w14:cap="flat" w14:cmpd="sng" w14:algn="ctr">
            <w14:solidFill>
              <w14:srgbClr w14:val="000000"/>
            </w14:solidFill>
            <w14:prstDash w14:val="solid"/>
            <w14:miter w14:val="0"/>
          </w14:textOutline>
        </w:rPr>
        <w:t>武</w:t>
      </w:r>
      <w:r>
        <w:rPr>
          <w:rFonts w:ascii="黑体" w:hAnsi="黑体" w:eastAsia="黑体" w:cs="黑体"/>
          <w:sz w:val="40"/>
          <w:szCs w:val="40"/>
          <w14:textOutline w14:w="7277" w14:cap="flat" w14:cmpd="sng" w14:algn="ctr">
            <w14:solidFill>
              <w14:srgbClr w14:val="000000"/>
            </w14:solidFill>
            <w14:prstDash w14:val="solid"/>
            <w14:miter w14:val="0"/>
          </w14:textOutline>
        </w:rPr>
        <w:t>汉长盈通光电技术股份有限公司</w:t>
      </w:r>
    </w:p>
    <w:p w14:paraId="0E47CA8A">
      <w:pPr>
        <w:spacing w:before="151" w:line="219" w:lineRule="auto"/>
        <w:jc w:val="center"/>
        <w:rPr>
          <w:rFonts w:ascii="黑体" w:hAnsi="黑体" w:eastAsia="黑体" w:cs="黑体"/>
          <w:sz w:val="40"/>
          <w:szCs w:val="40"/>
        </w:rPr>
      </w:pPr>
      <w:r>
        <w:rPr>
          <w:rFonts w:ascii="黑体" w:hAnsi="黑体" w:eastAsia="黑体" w:cs="黑体"/>
          <w:spacing w:val="1"/>
          <w:sz w:val="40"/>
          <w:szCs w:val="40"/>
          <w14:textOutline w14:w="7277" w14:cap="flat" w14:cmpd="sng" w14:algn="ctr">
            <w14:solidFill>
              <w14:srgbClr w14:val="000000"/>
            </w14:solidFill>
            <w14:prstDash w14:val="solid"/>
            <w14:miter w14:val="0"/>
          </w14:textOutline>
        </w:rPr>
        <w:t>投</w:t>
      </w:r>
      <w:r>
        <w:rPr>
          <w:rFonts w:ascii="黑体" w:hAnsi="黑体" w:eastAsia="黑体" w:cs="黑体"/>
          <w:sz w:val="40"/>
          <w:szCs w:val="40"/>
          <w14:textOutline w14:w="7277" w14:cap="flat" w14:cmpd="sng" w14:algn="ctr">
            <w14:solidFill>
              <w14:srgbClr w14:val="000000"/>
            </w14:solidFill>
            <w14:prstDash w14:val="solid"/>
            <w14:miter w14:val="0"/>
          </w14:textOutline>
        </w:rPr>
        <w:t>资者关系活动记录表</w:t>
      </w:r>
    </w:p>
    <w:p w14:paraId="0B2A07CF">
      <w:pPr>
        <w:wordWrap/>
        <w:spacing w:before="71" w:line="218" w:lineRule="auto"/>
        <w:ind w:right="384" w:firstLine="476" w:firstLineChars="200"/>
        <w:jc w:val="right"/>
        <w:rPr>
          <w:rFonts w:hint="default" w:ascii="黑体" w:hAnsi="黑体" w:eastAsia="黑体" w:cs="黑体"/>
          <w:spacing w:val="-1"/>
          <w:sz w:val="24"/>
          <w:szCs w:val="24"/>
          <w:lang w:val="en-US" w:eastAsia="zh-CN"/>
        </w:rPr>
      </w:pPr>
      <w:r>
        <w:rPr>
          <w:rFonts w:ascii="黑体" w:hAnsi="黑体" w:eastAsia="黑体" w:cs="黑体"/>
          <w:spacing w:val="-1"/>
          <w:sz w:val="24"/>
          <w:szCs w:val="24"/>
        </w:rPr>
        <w:t>编号:202</w:t>
      </w:r>
      <w:r>
        <w:rPr>
          <w:rFonts w:hint="eastAsia" w:ascii="黑体" w:hAnsi="黑体" w:eastAsia="黑体" w:cs="黑体"/>
          <w:spacing w:val="-1"/>
          <w:sz w:val="24"/>
          <w:szCs w:val="24"/>
          <w:lang w:eastAsia="zh-CN"/>
        </w:rPr>
        <w:t>4-00</w:t>
      </w:r>
      <w:r>
        <w:rPr>
          <w:rFonts w:hint="eastAsia" w:ascii="黑体" w:hAnsi="黑体" w:eastAsia="黑体" w:cs="黑体"/>
          <w:spacing w:val="-1"/>
          <w:sz w:val="24"/>
          <w:szCs w:val="24"/>
          <w:lang w:val="en-US" w:eastAsia="zh-CN"/>
        </w:rPr>
        <w:t>7</w:t>
      </w:r>
    </w:p>
    <w:p w14:paraId="761B5448">
      <w:pPr>
        <w:wordWrap/>
        <w:spacing w:before="71" w:line="218" w:lineRule="auto"/>
        <w:ind w:right="384"/>
        <w:jc w:val="both"/>
        <w:rPr>
          <w:rFonts w:hint="default" w:ascii="黑体" w:hAnsi="黑体" w:eastAsia="黑体" w:cs="黑体"/>
          <w:spacing w:val="-1"/>
          <w:sz w:val="24"/>
          <w:szCs w:val="24"/>
          <w:lang w:val="en-US" w:eastAsia="zh-CN"/>
        </w:rPr>
      </w:pPr>
    </w:p>
    <w:tbl>
      <w:tblPr>
        <w:tblStyle w:val="7"/>
        <w:tblpPr w:leftFromText="180" w:rightFromText="180" w:vertAnchor="text" w:tblpX="2" w:tblpY="1"/>
        <w:tblOverlap w:val="never"/>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5"/>
        <w:gridCol w:w="2792"/>
        <w:gridCol w:w="3256"/>
      </w:tblGrid>
      <w:tr w14:paraId="1878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3025" w:type="dxa"/>
          </w:tcPr>
          <w:p w14:paraId="70C74278">
            <w:pPr>
              <w:spacing w:line="240" w:lineRule="auto"/>
            </w:pPr>
          </w:p>
          <w:p w14:paraId="0825DB00">
            <w:pPr>
              <w:spacing w:line="240" w:lineRule="auto"/>
            </w:pPr>
          </w:p>
          <w:p w14:paraId="3B013AC2">
            <w:pPr>
              <w:spacing w:line="240" w:lineRule="auto"/>
            </w:pPr>
          </w:p>
          <w:p w14:paraId="05769941">
            <w:pPr>
              <w:spacing w:line="240" w:lineRule="auto"/>
            </w:pPr>
          </w:p>
          <w:p w14:paraId="3245D160">
            <w:pPr>
              <w:spacing w:line="240" w:lineRule="auto"/>
            </w:pPr>
          </w:p>
          <w:p w14:paraId="1D8E45F7">
            <w:pPr>
              <w:spacing w:before="78" w:line="240" w:lineRule="auto"/>
              <w:ind w:left="434"/>
              <w:rPr>
                <w:rFonts w:ascii="黑体" w:hAnsi="黑体" w:eastAsia="黑体" w:cs="黑体"/>
                <w:sz w:val="24"/>
                <w:szCs w:val="24"/>
              </w:rPr>
            </w:pPr>
            <w:r>
              <w:rPr>
                <w:rFonts w:ascii="黑体" w:hAnsi="黑体" w:eastAsia="黑体" w:cs="黑体"/>
                <w:spacing w:val="1"/>
                <w:sz w:val="24"/>
                <w:szCs w:val="24"/>
                <w14:textOutline w14:w="4356" w14:cap="flat" w14:cmpd="sng" w14:algn="ctr">
                  <w14:solidFill>
                    <w14:srgbClr w14:val="000000"/>
                  </w14:solidFill>
                  <w14:prstDash w14:val="solid"/>
                  <w14:miter w14:val="0"/>
                </w14:textOutline>
              </w:rPr>
              <w:t>投</w:t>
            </w:r>
            <w:r>
              <w:rPr>
                <w:rFonts w:ascii="黑体" w:hAnsi="黑体" w:eastAsia="黑体" w:cs="黑体"/>
                <w:sz w:val="24"/>
                <w:szCs w:val="24"/>
                <w14:textOutline w14:w="4356" w14:cap="flat" w14:cmpd="sng" w14:algn="ctr">
                  <w14:solidFill>
                    <w14:srgbClr w14:val="000000"/>
                  </w14:solidFill>
                  <w14:prstDash w14:val="solid"/>
                  <w14:miter w14:val="0"/>
                </w14:textOutline>
              </w:rPr>
              <w:t>资者关系活动类别</w:t>
            </w:r>
          </w:p>
        </w:tc>
        <w:tc>
          <w:tcPr>
            <w:tcW w:w="2792" w:type="dxa"/>
            <w:tcBorders>
              <w:right w:val="nil"/>
            </w:tcBorders>
          </w:tcPr>
          <w:p w14:paraId="34FE66C0">
            <w:pPr>
              <w:spacing w:before="195" w:line="240" w:lineRule="auto"/>
              <w:ind w:left="23"/>
              <w:rPr>
                <w:rFonts w:ascii="宋体" w:hAnsi="宋体" w:eastAsia="宋体" w:cs="宋体"/>
              </w:rPr>
            </w:pPr>
            <w:r>
              <w:rPr>
                <w:rFonts w:ascii="Times New Roman" w:hAnsi="Times New Roman" w:eastAsia="Times New Roman" w:cs="Times New Roman"/>
                <w:spacing w:val="-4"/>
              </w:rPr>
              <w:t>□</w:t>
            </w:r>
            <w:r>
              <w:rPr>
                <w:rFonts w:ascii="宋体" w:hAnsi="宋体" w:eastAsia="宋体" w:cs="宋体"/>
                <w:spacing w:val="-3"/>
              </w:rPr>
              <w:t>实</w:t>
            </w:r>
            <w:r>
              <w:rPr>
                <w:rFonts w:ascii="宋体" w:hAnsi="宋体" w:eastAsia="宋体" w:cs="宋体"/>
                <w:spacing w:val="-2"/>
              </w:rPr>
              <w:t>地调研</w:t>
            </w:r>
          </w:p>
          <w:p w14:paraId="616746C5">
            <w:pPr>
              <w:spacing w:line="240" w:lineRule="auto"/>
            </w:pPr>
          </w:p>
          <w:p w14:paraId="5456B932">
            <w:pPr>
              <w:spacing w:before="68" w:line="240" w:lineRule="auto"/>
              <w:ind w:left="23"/>
              <w:rPr>
                <w:rFonts w:ascii="宋体" w:hAnsi="宋体" w:eastAsia="宋体" w:cs="宋体"/>
              </w:rPr>
            </w:pPr>
            <w:r>
              <w:rPr>
                <w:rFonts w:ascii="Times New Roman" w:hAnsi="Times New Roman" w:eastAsia="Times New Roman" w:cs="Times New Roman"/>
                <w:spacing w:val="-4"/>
              </w:rPr>
              <w:t>□</w:t>
            </w:r>
            <w:r>
              <w:rPr>
                <w:rFonts w:ascii="宋体" w:hAnsi="宋体" w:eastAsia="宋体" w:cs="宋体"/>
                <w:spacing w:val="-3"/>
              </w:rPr>
              <w:t>媒</w:t>
            </w:r>
            <w:r>
              <w:rPr>
                <w:rFonts w:ascii="宋体" w:hAnsi="宋体" w:eastAsia="宋体" w:cs="宋体"/>
                <w:spacing w:val="-2"/>
              </w:rPr>
              <w:t>体采访</w:t>
            </w:r>
          </w:p>
          <w:p w14:paraId="43EF9433">
            <w:pPr>
              <w:spacing w:line="240" w:lineRule="auto"/>
            </w:pPr>
          </w:p>
          <w:p w14:paraId="3C1FD31B">
            <w:pPr>
              <w:spacing w:before="68" w:line="240" w:lineRule="auto"/>
              <w:ind w:left="23"/>
              <w:rPr>
                <w:rFonts w:ascii="宋体" w:hAnsi="宋体" w:eastAsia="宋体" w:cs="宋体"/>
              </w:rPr>
            </w:pPr>
            <w:r>
              <w:rPr>
                <w:rFonts w:ascii="Times New Roman" w:hAnsi="Times New Roman" w:eastAsia="Times New Roman" w:cs="Times New Roman"/>
                <w:spacing w:val="-3"/>
              </w:rPr>
              <w:t>□</w:t>
            </w:r>
            <w:r>
              <w:rPr>
                <w:rFonts w:ascii="宋体" w:hAnsi="宋体" w:eastAsia="宋体" w:cs="宋体"/>
                <w:spacing w:val="-2"/>
              </w:rPr>
              <w:t>新闻发布会</w:t>
            </w:r>
          </w:p>
          <w:p w14:paraId="3C36FC44">
            <w:pPr>
              <w:spacing w:line="240" w:lineRule="auto"/>
            </w:pPr>
          </w:p>
          <w:p w14:paraId="11FBD1F4">
            <w:pPr>
              <w:spacing w:before="68" w:line="240" w:lineRule="auto"/>
              <w:ind w:left="23"/>
              <w:rPr>
                <w:rFonts w:ascii="宋体" w:hAnsi="宋体" w:eastAsia="宋体" w:cs="宋体"/>
              </w:rPr>
            </w:pPr>
            <w:r>
              <w:rPr>
                <w:rFonts w:ascii="Times New Roman" w:hAnsi="Times New Roman" w:eastAsia="Times New Roman" w:cs="Times New Roman"/>
                <w:spacing w:val="-3"/>
              </w:rPr>
              <w:t>□</w:t>
            </w:r>
            <w:r>
              <w:rPr>
                <w:rFonts w:ascii="宋体" w:hAnsi="宋体" w:eastAsia="宋体" w:cs="宋体"/>
                <w:spacing w:val="-2"/>
              </w:rPr>
              <w:t>投资者交流</w:t>
            </w:r>
          </w:p>
          <w:p w14:paraId="06086C45">
            <w:pPr>
              <w:spacing w:line="240" w:lineRule="auto"/>
            </w:pPr>
          </w:p>
          <w:p w14:paraId="7B0FDB23">
            <w:pPr>
              <w:spacing w:before="68" w:line="360" w:lineRule="auto"/>
              <w:ind w:left="23"/>
              <w:rPr>
                <w:rFonts w:hint="default" w:ascii="宋体" w:hAnsi="宋体" w:eastAsia="宋体" w:cs="宋体"/>
                <w:lang w:val="en-US" w:eastAsia="zh-CN"/>
              </w:rPr>
            </w:pPr>
            <w:r>
              <w:rPr>
                <w:rFonts w:ascii="Times New Roman" w:hAnsi="Times New Roman" w:eastAsia="Times New Roman" w:cs="Times New Roman"/>
                <w:spacing w:val="-3"/>
              </w:rPr>
              <w:t>□</w:t>
            </w:r>
            <w:r>
              <w:rPr>
                <w:rFonts w:ascii="宋体" w:hAnsi="宋体" w:eastAsia="宋体" w:cs="宋体"/>
                <w:spacing w:val="-1"/>
              </w:rPr>
              <w:t>其他</w:t>
            </w:r>
          </w:p>
        </w:tc>
        <w:tc>
          <w:tcPr>
            <w:tcW w:w="3256" w:type="dxa"/>
            <w:tcBorders>
              <w:left w:val="nil"/>
            </w:tcBorders>
          </w:tcPr>
          <w:p w14:paraId="06B18DC4">
            <w:pPr>
              <w:spacing w:before="194" w:line="240" w:lineRule="auto"/>
              <w:ind w:left="462"/>
              <w:rPr>
                <w:rFonts w:ascii="宋体" w:hAnsi="宋体" w:eastAsia="宋体" w:cs="宋体"/>
              </w:rPr>
            </w:pPr>
            <w:r>
              <w:rPr>
                <w:rFonts w:ascii="Times New Roman" w:hAnsi="Times New Roman" w:eastAsia="Times New Roman" w:cs="Times New Roman"/>
                <w:spacing w:val="-3"/>
              </w:rPr>
              <w:t>□</w:t>
            </w:r>
            <w:r>
              <w:rPr>
                <w:rFonts w:ascii="宋体" w:hAnsi="宋体" w:eastAsia="宋体" w:cs="宋体"/>
                <w:spacing w:val="-2"/>
              </w:rPr>
              <w:t>分析师会议</w:t>
            </w:r>
          </w:p>
          <w:p w14:paraId="46E4BE1F">
            <w:pPr>
              <w:spacing w:line="240" w:lineRule="auto"/>
            </w:pPr>
          </w:p>
          <w:p w14:paraId="0B657A90">
            <w:pPr>
              <w:spacing w:before="68" w:line="240" w:lineRule="auto"/>
              <w:ind w:left="462"/>
              <w:rPr>
                <w:rFonts w:ascii="宋体" w:hAnsi="宋体" w:eastAsia="宋体" w:cs="宋体"/>
              </w:rPr>
            </w:pPr>
            <w:r>
              <w:rPr>
                <w:rFonts w:ascii="Times New Roman" w:hAnsi="Times New Roman" w:eastAsia="Times New Roman" w:cs="Times New Roman"/>
                <w:spacing w:val="-1"/>
              </w:rPr>
              <w:t>■</w:t>
            </w:r>
            <w:r>
              <w:rPr>
                <w:rFonts w:ascii="宋体" w:hAnsi="宋体" w:eastAsia="宋体" w:cs="宋体"/>
                <w:spacing w:val="-2"/>
              </w:rPr>
              <w:t>业绩说明会</w:t>
            </w:r>
          </w:p>
          <w:p w14:paraId="5016F8DA">
            <w:pPr>
              <w:spacing w:line="240" w:lineRule="auto"/>
            </w:pPr>
          </w:p>
          <w:p w14:paraId="4E9C0543">
            <w:pPr>
              <w:spacing w:before="68" w:line="240" w:lineRule="auto"/>
              <w:ind w:left="462"/>
              <w:rPr>
                <w:rFonts w:ascii="宋体" w:hAnsi="宋体" w:eastAsia="宋体" w:cs="宋体"/>
              </w:rPr>
            </w:pPr>
            <w:r>
              <w:rPr>
                <w:rFonts w:ascii="Times New Roman" w:hAnsi="Times New Roman" w:eastAsia="Times New Roman" w:cs="Times New Roman"/>
                <w:spacing w:val="-4"/>
              </w:rPr>
              <w:t>□</w:t>
            </w:r>
            <w:r>
              <w:rPr>
                <w:rFonts w:ascii="宋体" w:hAnsi="宋体" w:eastAsia="宋体" w:cs="宋体"/>
                <w:spacing w:val="-3"/>
              </w:rPr>
              <w:t>路</w:t>
            </w:r>
            <w:r>
              <w:rPr>
                <w:rFonts w:ascii="宋体" w:hAnsi="宋体" w:eastAsia="宋体" w:cs="宋体"/>
                <w:spacing w:val="-2"/>
              </w:rPr>
              <w:t>演活动</w:t>
            </w:r>
          </w:p>
          <w:p w14:paraId="15E6004C">
            <w:pPr>
              <w:spacing w:line="240" w:lineRule="auto"/>
            </w:pPr>
          </w:p>
          <w:p w14:paraId="1DE6BD12">
            <w:pPr>
              <w:spacing w:before="68" w:line="240" w:lineRule="auto"/>
              <w:ind w:left="462"/>
              <w:rPr>
                <w:rFonts w:ascii="宋体" w:hAnsi="宋体" w:eastAsia="宋体" w:cs="宋体"/>
              </w:rPr>
            </w:pPr>
            <w:r>
              <w:rPr>
                <w:rFonts w:ascii="Times New Roman" w:hAnsi="Times New Roman" w:eastAsia="Times New Roman" w:cs="Times New Roman"/>
                <w:spacing w:val="-3"/>
              </w:rPr>
              <w:t>□</w:t>
            </w:r>
            <w:r>
              <w:rPr>
                <w:rFonts w:ascii="宋体" w:hAnsi="宋体" w:eastAsia="宋体" w:cs="宋体"/>
                <w:spacing w:val="-3"/>
              </w:rPr>
              <w:t>电</w:t>
            </w:r>
            <w:r>
              <w:rPr>
                <w:rFonts w:ascii="宋体" w:hAnsi="宋体" w:eastAsia="宋体" w:cs="宋体"/>
                <w:spacing w:val="-2"/>
              </w:rPr>
              <w:t>话沟通</w:t>
            </w:r>
          </w:p>
        </w:tc>
      </w:tr>
      <w:tr w14:paraId="68DB4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025" w:type="dxa"/>
          </w:tcPr>
          <w:p w14:paraId="40E528CC">
            <w:pPr>
              <w:spacing w:before="183" w:line="220" w:lineRule="auto"/>
              <w:ind w:left="1287"/>
              <w:rPr>
                <w:rFonts w:ascii="黑体" w:hAnsi="黑体" w:eastAsia="黑体" w:cs="黑体"/>
                <w:sz w:val="24"/>
                <w:szCs w:val="24"/>
              </w:rPr>
            </w:pPr>
            <w:r>
              <w:rPr>
                <w:rFonts w:ascii="黑体" w:hAnsi="黑体" w:eastAsia="黑体" w:cs="黑体"/>
                <w:spacing w:val="-4"/>
                <w:sz w:val="24"/>
                <w:szCs w:val="24"/>
                <w14:textOutline w14:w="4356" w14:cap="flat" w14:cmpd="sng" w14:algn="ctr">
                  <w14:solidFill>
                    <w14:srgbClr w14:val="000000"/>
                  </w14:solidFill>
                  <w14:prstDash w14:val="solid"/>
                  <w14:miter w14:val="0"/>
                </w14:textOutline>
              </w:rPr>
              <w:t>时间</w:t>
            </w:r>
          </w:p>
        </w:tc>
        <w:tc>
          <w:tcPr>
            <w:tcW w:w="6048" w:type="dxa"/>
            <w:gridSpan w:val="2"/>
          </w:tcPr>
          <w:p w14:paraId="5EB67531">
            <w:pPr>
              <w:spacing w:before="197" w:line="240" w:lineRule="auto"/>
              <w:jc w:val="left"/>
              <w:rPr>
                <w:rFonts w:hint="default" w:ascii="宋体" w:hAnsi="宋体" w:eastAsia="宋体" w:cs="宋体"/>
                <w:spacing w:val="-1"/>
                <w:lang w:val="en-US" w:eastAsia="zh-CN"/>
              </w:rPr>
            </w:pPr>
            <w:r>
              <w:rPr>
                <w:rFonts w:ascii="宋体" w:hAnsi="宋体" w:eastAsia="宋体" w:cs="宋体"/>
                <w:spacing w:val="-1"/>
              </w:rPr>
              <w:t>202</w:t>
            </w:r>
            <w:r>
              <w:rPr>
                <w:rFonts w:hint="eastAsia" w:ascii="宋体" w:hAnsi="宋体" w:eastAsia="宋体" w:cs="宋体"/>
                <w:spacing w:val="-1"/>
              </w:rPr>
              <w:t>4年</w:t>
            </w:r>
            <w:r>
              <w:rPr>
                <w:rFonts w:hint="eastAsia" w:ascii="宋体" w:hAnsi="宋体" w:eastAsia="宋体" w:cs="宋体"/>
                <w:spacing w:val="-1"/>
                <w:lang w:val="en-US" w:eastAsia="zh-CN"/>
              </w:rPr>
              <w:t>11</w:t>
            </w:r>
            <w:r>
              <w:rPr>
                <w:rFonts w:hint="eastAsia" w:ascii="宋体" w:hAnsi="宋体" w:eastAsia="宋体" w:cs="宋体"/>
                <w:spacing w:val="-1"/>
              </w:rPr>
              <w:t>月</w:t>
            </w:r>
            <w:r>
              <w:rPr>
                <w:rFonts w:hint="eastAsia" w:ascii="宋体" w:hAnsi="宋体" w:eastAsia="宋体" w:cs="宋体"/>
                <w:spacing w:val="-1"/>
                <w:lang w:val="en-US" w:eastAsia="zh-CN"/>
              </w:rPr>
              <w:t>14</w:t>
            </w:r>
            <w:r>
              <w:rPr>
                <w:rFonts w:hint="eastAsia" w:ascii="宋体" w:hAnsi="宋体" w:eastAsia="宋体" w:cs="宋体"/>
                <w:spacing w:val="-1"/>
              </w:rPr>
              <w:t xml:space="preserve">日 </w:t>
            </w:r>
            <w:r>
              <w:rPr>
                <w:rFonts w:ascii="宋体" w:hAnsi="宋体" w:eastAsia="宋体" w:cs="宋体"/>
                <w:spacing w:val="-1"/>
              </w:rPr>
              <w:t>1</w:t>
            </w:r>
            <w:r>
              <w:rPr>
                <w:rFonts w:hint="eastAsia" w:ascii="宋体" w:hAnsi="宋体" w:eastAsia="宋体" w:cs="宋体"/>
                <w:spacing w:val="-1"/>
                <w:lang w:val="en-US" w:eastAsia="zh-CN"/>
              </w:rPr>
              <w:t>6</w:t>
            </w:r>
            <w:r>
              <w:rPr>
                <w:rFonts w:ascii="宋体" w:hAnsi="宋体" w:eastAsia="宋体" w:cs="宋体"/>
                <w:spacing w:val="-1"/>
              </w:rPr>
              <w:t>:</w:t>
            </w:r>
            <w:r>
              <w:rPr>
                <w:rFonts w:hint="eastAsia" w:ascii="宋体" w:hAnsi="宋体" w:eastAsia="宋体" w:cs="宋体"/>
                <w:spacing w:val="-1"/>
                <w:lang w:val="en-US" w:eastAsia="zh-CN"/>
              </w:rPr>
              <w:t>0</w:t>
            </w:r>
            <w:r>
              <w:rPr>
                <w:rFonts w:ascii="宋体" w:hAnsi="宋体" w:eastAsia="宋体" w:cs="宋体"/>
                <w:spacing w:val="-1"/>
              </w:rPr>
              <w:t>0</w:t>
            </w:r>
            <w:r>
              <w:rPr>
                <w:rFonts w:hint="eastAsia" w:ascii="宋体" w:hAnsi="宋体" w:eastAsia="宋体" w:cs="宋体"/>
                <w:spacing w:val="-1"/>
              </w:rPr>
              <w:t>-</w:t>
            </w:r>
            <w:r>
              <w:rPr>
                <w:rFonts w:ascii="宋体" w:hAnsi="宋体" w:eastAsia="宋体" w:cs="宋体"/>
                <w:spacing w:val="-1"/>
              </w:rPr>
              <w:t>1</w:t>
            </w:r>
            <w:r>
              <w:rPr>
                <w:rFonts w:hint="eastAsia" w:ascii="宋体" w:hAnsi="宋体" w:eastAsia="宋体" w:cs="宋体"/>
                <w:spacing w:val="-1"/>
                <w:lang w:val="en-US" w:eastAsia="zh-CN"/>
              </w:rPr>
              <w:t>7</w:t>
            </w:r>
            <w:r>
              <w:rPr>
                <w:rFonts w:ascii="宋体" w:hAnsi="宋体" w:eastAsia="宋体" w:cs="宋体"/>
                <w:spacing w:val="-1"/>
              </w:rPr>
              <w:t>:</w:t>
            </w:r>
            <w:r>
              <w:rPr>
                <w:rFonts w:hint="eastAsia" w:ascii="宋体" w:hAnsi="宋体" w:eastAsia="宋体" w:cs="宋体"/>
                <w:spacing w:val="-1"/>
                <w:lang w:val="en-US" w:eastAsia="zh-CN"/>
              </w:rPr>
              <w:t>0</w:t>
            </w:r>
            <w:r>
              <w:rPr>
                <w:rFonts w:ascii="宋体" w:hAnsi="宋体" w:eastAsia="宋体" w:cs="宋体"/>
                <w:spacing w:val="-1"/>
              </w:rPr>
              <w:t>0</w:t>
            </w:r>
          </w:p>
        </w:tc>
      </w:tr>
      <w:tr w14:paraId="2109E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3025" w:type="dxa"/>
          </w:tcPr>
          <w:p w14:paraId="7687D37B">
            <w:pPr>
              <w:spacing w:before="180" w:line="220" w:lineRule="auto"/>
              <w:ind w:left="1279"/>
              <w:rPr>
                <w:rFonts w:ascii="黑体" w:hAnsi="黑体" w:eastAsia="黑体" w:cs="黑体"/>
                <w:sz w:val="24"/>
                <w:szCs w:val="24"/>
              </w:rPr>
            </w:pPr>
            <w:r>
              <w:rPr>
                <w:rFonts w:ascii="黑体" w:hAnsi="黑体" w:eastAsia="黑体" w:cs="黑体"/>
                <w:spacing w:val="-2"/>
                <w:sz w:val="24"/>
                <w:szCs w:val="24"/>
                <w14:textOutline w14:w="4356" w14:cap="flat" w14:cmpd="sng" w14:algn="ctr">
                  <w14:solidFill>
                    <w14:srgbClr w14:val="000000"/>
                  </w14:solidFill>
                  <w14:prstDash w14:val="solid"/>
                  <w14:miter w14:val="0"/>
                </w14:textOutline>
              </w:rPr>
              <w:t>地点</w:t>
            </w:r>
          </w:p>
        </w:tc>
        <w:tc>
          <w:tcPr>
            <w:tcW w:w="6048" w:type="dxa"/>
            <w:gridSpan w:val="2"/>
          </w:tcPr>
          <w:p w14:paraId="1476AE17">
            <w:pPr>
              <w:spacing w:before="197" w:line="240" w:lineRule="auto"/>
              <w:jc w:val="left"/>
              <w:rPr>
                <w:rFonts w:hint="eastAsia" w:ascii="宋体" w:hAnsi="宋体" w:eastAsia="宋体" w:cs="宋体"/>
                <w:spacing w:val="-1"/>
              </w:rPr>
            </w:pPr>
            <w:r>
              <w:rPr>
                <w:rFonts w:hint="eastAsia" w:ascii="宋体" w:hAnsi="宋体" w:eastAsia="宋体" w:cs="宋体"/>
                <w:spacing w:val="-1"/>
              </w:rPr>
              <w:t>上海证券交易所上证路演中心</w:t>
            </w:r>
          </w:p>
          <w:p w14:paraId="57C1FB11">
            <w:pPr>
              <w:spacing w:before="197" w:line="240" w:lineRule="auto"/>
              <w:jc w:val="left"/>
              <w:rPr>
                <w:rFonts w:ascii="宋体" w:hAnsi="宋体" w:eastAsia="宋体" w:cs="宋体"/>
                <w:spacing w:val="-1"/>
              </w:rPr>
            </w:pPr>
            <w:r>
              <w:rPr>
                <w:rFonts w:hint="eastAsia" w:ascii="宋体" w:hAnsi="宋体" w:eastAsia="宋体" w:cs="宋体"/>
                <w:spacing w:val="-1"/>
              </w:rPr>
              <w:t>（http://roadshow.sseinfo.com）</w:t>
            </w:r>
          </w:p>
        </w:tc>
      </w:tr>
      <w:tr w14:paraId="4D574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3025" w:type="dxa"/>
          </w:tcPr>
          <w:p w14:paraId="3ED65076">
            <w:pPr>
              <w:spacing w:before="192" w:line="218" w:lineRule="auto"/>
              <w:ind w:left="320"/>
              <w:rPr>
                <w:rFonts w:ascii="黑体" w:hAnsi="黑体" w:eastAsia="黑体" w:cs="黑体"/>
                <w:spacing w:val="-1"/>
                <w:sz w:val="24"/>
                <w:szCs w:val="24"/>
                <w14:textOutline w14:w="4356" w14:cap="flat" w14:cmpd="sng" w14:algn="ctr">
                  <w14:solidFill>
                    <w14:srgbClr w14:val="000000"/>
                  </w14:solidFill>
                  <w14:prstDash w14:val="solid"/>
                  <w14:miter w14:val="0"/>
                </w14:textOutline>
              </w:rPr>
            </w:pPr>
          </w:p>
          <w:p w14:paraId="20F99582">
            <w:pPr>
              <w:spacing w:before="192" w:line="218" w:lineRule="auto"/>
              <w:ind w:left="320"/>
              <w:rPr>
                <w:rFonts w:ascii="黑体" w:hAnsi="黑体" w:eastAsia="黑体" w:cs="黑体"/>
                <w:spacing w:val="-1"/>
                <w:sz w:val="24"/>
                <w:szCs w:val="24"/>
                <w14:textOutline w14:w="4356" w14:cap="flat" w14:cmpd="sng" w14:algn="ctr">
                  <w14:solidFill>
                    <w14:srgbClr w14:val="000000"/>
                  </w14:solidFill>
                  <w14:prstDash w14:val="solid"/>
                  <w14:miter w14:val="0"/>
                </w14:textOutline>
              </w:rPr>
            </w:pPr>
          </w:p>
          <w:p w14:paraId="4167F854">
            <w:pPr>
              <w:spacing w:before="192" w:line="218" w:lineRule="auto"/>
              <w:ind w:left="320"/>
              <w:rPr>
                <w:rFonts w:ascii="黑体" w:hAnsi="黑体" w:eastAsia="黑体" w:cs="黑体"/>
                <w:sz w:val="24"/>
                <w:szCs w:val="24"/>
              </w:rPr>
            </w:pPr>
            <w:r>
              <w:rPr>
                <w:rFonts w:ascii="黑体" w:hAnsi="黑体" w:eastAsia="黑体" w:cs="黑体"/>
                <w:spacing w:val="-1"/>
                <w:sz w:val="24"/>
                <w:szCs w:val="24"/>
                <w14:textOutline w14:w="4356" w14:cap="flat" w14:cmpd="sng" w14:algn="ctr">
                  <w14:solidFill>
                    <w14:srgbClr w14:val="000000"/>
                  </w14:solidFill>
                  <w14:prstDash w14:val="solid"/>
                  <w14:miter w14:val="0"/>
                </w14:textOutline>
              </w:rPr>
              <w:t>上市公司接</w:t>
            </w:r>
            <w:r>
              <w:rPr>
                <w:rFonts w:ascii="黑体" w:hAnsi="黑体" w:eastAsia="黑体" w:cs="黑体"/>
                <w:sz w:val="24"/>
                <w:szCs w:val="24"/>
                <w14:textOutline w14:w="4356" w14:cap="flat" w14:cmpd="sng" w14:algn="ctr">
                  <w14:solidFill>
                    <w14:srgbClr w14:val="000000"/>
                  </w14:solidFill>
                  <w14:prstDash w14:val="solid"/>
                  <w14:miter w14:val="0"/>
                </w14:textOutline>
              </w:rPr>
              <w:t>待人员姓名</w:t>
            </w:r>
          </w:p>
        </w:tc>
        <w:tc>
          <w:tcPr>
            <w:tcW w:w="6048" w:type="dxa"/>
            <w:gridSpan w:val="2"/>
          </w:tcPr>
          <w:p w14:paraId="56F77795">
            <w:pPr>
              <w:spacing w:before="197" w:line="240" w:lineRule="auto"/>
              <w:jc w:val="left"/>
              <w:rPr>
                <w:rFonts w:hint="default" w:ascii="宋体" w:hAnsi="宋体" w:eastAsia="宋体" w:cs="宋体"/>
                <w:spacing w:val="-1"/>
                <w:lang w:val="en-US" w:eastAsia="zh-CN"/>
              </w:rPr>
            </w:pPr>
            <w:r>
              <w:rPr>
                <w:rFonts w:hint="default" w:ascii="宋体" w:hAnsi="宋体" w:eastAsia="宋体" w:cs="宋体"/>
                <w:spacing w:val="-1"/>
                <w:lang w:val="en-US" w:eastAsia="zh-CN"/>
              </w:rPr>
              <w:t>董事长兼总经理：皮亚斌</w:t>
            </w:r>
          </w:p>
          <w:p w14:paraId="046E02A4">
            <w:pPr>
              <w:spacing w:before="197" w:line="240" w:lineRule="auto"/>
              <w:jc w:val="left"/>
              <w:rPr>
                <w:rFonts w:hint="default" w:ascii="宋体" w:hAnsi="宋体" w:eastAsia="宋体" w:cs="宋体"/>
                <w:spacing w:val="-1"/>
                <w:lang w:val="en-US" w:eastAsia="zh-CN"/>
              </w:rPr>
            </w:pPr>
            <w:r>
              <w:rPr>
                <w:rFonts w:hint="default" w:ascii="宋体" w:hAnsi="宋体" w:eastAsia="宋体" w:cs="宋体"/>
                <w:spacing w:val="-1"/>
                <w:lang w:val="en-US" w:eastAsia="zh-CN"/>
              </w:rPr>
              <w:t>董事会秘书、财务总监：曹文明</w:t>
            </w:r>
          </w:p>
          <w:p w14:paraId="69DE1297">
            <w:pPr>
              <w:spacing w:before="197" w:line="240" w:lineRule="auto"/>
              <w:jc w:val="left"/>
              <w:rPr>
                <w:rFonts w:hint="default" w:ascii="宋体" w:hAnsi="宋体" w:eastAsia="宋体" w:cs="宋体"/>
                <w:spacing w:val="-1"/>
                <w:lang w:val="en-US" w:eastAsia="zh-CN"/>
              </w:rPr>
            </w:pPr>
            <w:r>
              <w:rPr>
                <w:rFonts w:hint="default" w:ascii="宋体" w:hAnsi="宋体" w:eastAsia="宋体" w:cs="宋体"/>
                <w:spacing w:val="-1"/>
                <w:lang w:val="en-US" w:eastAsia="zh-CN"/>
              </w:rPr>
              <w:t>独立董事：李奔</w:t>
            </w:r>
          </w:p>
          <w:p w14:paraId="174DBD32">
            <w:pPr>
              <w:spacing w:before="197" w:line="240" w:lineRule="auto"/>
              <w:jc w:val="left"/>
              <w:rPr>
                <w:rFonts w:hint="default" w:ascii="宋体" w:hAnsi="宋体" w:eastAsia="宋体" w:cs="宋体"/>
                <w:spacing w:val="-1"/>
                <w:lang w:val="en-US" w:eastAsia="zh-CN"/>
              </w:rPr>
            </w:pPr>
            <w:r>
              <w:rPr>
                <w:rFonts w:hint="default" w:ascii="宋体" w:hAnsi="宋体" w:eastAsia="宋体" w:cs="宋体"/>
                <w:spacing w:val="-1"/>
                <w:lang w:val="en-US" w:eastAsia="zh-CN"/>
              </w:rPr>
              <w:t>研发中心总经理：廉正刚</w:t>
            </w:r>
          </w:p>
          <w:p w14:paraId="08C366F0">
            <w:pPr>
              <w:spacing w:before="197" w:line="240" w:lineRule="auto"/>
              <w:jc w:val="left"/>
              <w:rPr>
                <w:rFonts w:hint="default" w:ascii="宋体" w:hAnsi="宋体" w:eastAsia="宋体" w:cs="宋体"/>
                <w:spacing w:val="-1"/>
                <w:lang w:val="en-US" w:eastAsia="zh-CN"/>
              </w:rPr>
            </w:pPr>
            <w:r>
              <w:rPr>
                <w:rFonts w:hint="eastAsia" w:ascii="宋体" w:hAnsi="宋体" w:eastAsia="宋体" w:cs="宋体"/>
                <w:spacing w:val="-1"/>
                <w:lang w:val="en-US" w:eastAsia="zh-CN"/>
              </w:rPr>
              <w:t>保荐代表人：黎江</w:t>
            </w:r>
          </w:p>
        </w:tc>
      </w:tr>
      <w:tr w14:paraId="264DC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3025" w:type="dxa"/>
          </w:tcPr>
          <w:p w14:paraId="63F1F6B6">
            <w:pPr>
              <w:spacing w:before="78" w:line="254" w:lineRule="auto"/>
              <w:ind w:right="64"/>
              <w:jc w:val="center"/>
              <w:rPr>
                <w:rFonts w:ascii="黑体" w:hAnsi="黑体" w:eastAsia="黑体" w:cs="黑体"/>
                <w:spacing w:val="1"/>
                <w:sz w:val="24"/>
                <w:szCs w:val="24"/>
                <w14:textOutline w14:w="4356" w14:cap="flat" w14:cmpd="sng" w14:algn="ctr">
                  <w14:solidFill>
                    <w14:srgbClr w14:val="000000"/>
                  </w14:solidFill>
                  <w14:prstDash w14:val="solid"/>
                  <w14:miter w14:val="0"/>
                </w14:textOutline>
              </w:rPr>
            </w:pPr>
          </w:p>
          <w:p w14:paraId="0C64482C">
            <w:pPr>
              <w:spacing w:before="78" w:line="254" w:lineRule="auto"/>
              <w:ind w:right="64"/>
              <w:jc w:val="both"/>
              <w:rPr>
                <w:rFonts w:ascii="黑体" w:hAnsi="黑体" w:eastAsia="黑体" w:cs="黑体"/>
                <w:spacing w:val="1"/>
                <w:sz w:val="24"/>
                <w:szCs w:val="24"/>
                <w14:textOutline w14:w="4356" w14:cap="flat" w14:cmpd="sng" w14:algn="ctr">
                  <w14:solidFill>
                    <w14:srgbClr w14:val="000000"/>
                  </w14:solidFill>
                  <w14:prstDash w14:val="solid"/>
                  <w14:miter w14:val="0"/>
                </w14:textOutline>
              </w:rPr>
            </w:pPr>
          </w:p>
          <w:p w14:paraId="279E2F69">
            <w:pPr>
              <w:spacing w:before="78" w:line="254" w:lineRule="auto"/>
              <w:ind w:right="64"/>
              <w:jc w:val="center"/>
              <w:rPr>
                <w:rFonts w:ascii="黑体" w:hAnsi="黑体" w:eastAsia="黑体" w:cs="黑体"/>
                <w:spacing w:val="1"/>
                <w:sz w:val="24"/>
                <w:szCs w:val="24"/>
                <w14:textOutline w14:w="4356" w14:cap="flat" w14:cmpd="sng" w14:algn="ctr">
                  <w14:solidFill>
                    <w14:srgbClr w14:val="000000"/>
                  </w14:solidFill>
                  <w14:prstDash w14:val="solid"/>
                  <w14:miter w14:val="0"/>
                </w14:textOutline>
              </w:rPr>
            </w:pPr>
          </w:p>
          <w:p w14:paraId="44CF2C23">
            <w:pPr>
              <w:spacing w:before="78" w:line="254" w:lineRule="auto"/>
              <w:ind w:right="64"/>
              <w:jc w:val="center"/>
              <w:rPr>
                <w:rFonts w:ascii="黑体" w:hAnsi="黑体" w:eastAsia="黑体" w:cs="黑体"/>
                <w:sz w:val="24"/>
                <w:szCs w:val="24"/>
                <w14:textOutline w14:w="4356" w14:cap="flat" w14:cmpd="sng" w14:algn="ctr">
                  <w14:solidFill>
                    <w14:srgbClr w14:val="000000"/>
                  </w14:solidFill>
                  <w14:prstDash w14:val="solid"/>
                  <w14:miter w14:val="0"/>
                </w14:textOutline>
              </w:rPr>
            </w:pPr>
            <w:r>
              <w:rPr>
                <w:rFonts w:ascii="黑体" w:hAnsi="黑体" w:eastAsia="黑体" w:cs="黑体"/>
                <w:spacing w:val="1"/>
                <w:sz w:val="24"/>
                <w:szCs w:val="24"/>
                <w14:textOutline w14:w="4356" w14:cap="flat" w14:cmpd="sng" w14:algn="ctr">
                  <w14:solidFill>
                    <w14:srgbClr w14:val="000000"/>
                  </w14:solidFill>
                  <w14:prstDash w14:val="solid"/>
                  <w14:miter w14:val="0"/>
                </w14:textOutline>
              </w:rPr>
              <w:t>投资者</w:t>
            </w:r>
            <w:r>
              <w:rPr>
                <w:rFonts w:ascii="黑体" w:hAnsi="黑体" w:eastAsia="黑体" w:cs="黑体"/>
                <w:sz w:val="24"/>
                <w:szCs w:val="24"/>
                <w14:textOutline w14:w="4356" w14:cap="flat" w14:cmpd="sng" w14:algn="ctr">
                  <w14:solidFill>
                    <w14:srgbClr w14:val="000000"/>
                  </w14:solidFill>
                  <w14:prstDash w14:val="solid"/>
                  <w14:miter w14:val="0"/>
                </w14:textOutline>
              </w:rPr>
              <w:t>关系活动</w:t>
            </w:r>
          </w:p>
          <w:p w14:paraId="57523C29">
            <w:pPr>
              <w:spacing w:before="78" w:line="254" w:lineRule="auto"/>
              <w:ind w:right="64"/>
              <w:jc w:val="center"/>
              <w:rPr>
                <w:rFonts w:ascii="黑体" w:hAnsi="黑体" w:eastAsia="黑体" w:cs="黑体"/>
                <w:sz w:val="24"/>
                <w:szCs w:val="24"/>
              </w:rPr>
            </w:pPr>
            <w:r>
              <w:rPr>
                <w:rFonts w:ascii="黑体" w:hAnsi="黑体" w:eastAsia="黑体" w:cs="黑体"/>
                <w:sz w:val="24"/>
                <w:szCs w:val="24"/>
                <w14:textOutline w14:w="4356" w14:cap="flat" w14:cmpd="sng" w14:algn="ctr">
                  <w14:solidFill>
                    <w14:srgbClr w14:val="000000"/>
                  </w14:solidFill>
                  <w14:prstDash w14:val="solid"/>
                  <w14:miter w14:val="0"/>
                </w14:textOutline>
              </w:rPr>
              <w:t>主要内容介绍</w:t>
            </w:r>
          </w:p>
        </w:tc>
        <w:tc>
          <w:tcPr>
            <w:tcW w:w="6048" w:type="dxa"/>
            <w:gridSpan w:val="2"/>
            <w:vAlign w:val="center"/>
          </w:tcPr>
          <w:p w14:paraId="2EEC9E07">
            <w:pPr>
              <w:spacing w:before="197"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公司于2024年11月14日16:00-17:00在上海证券交易所上证路演中心（http://roadshow.sseinfo.com）采用网络文字互动的方式举行 2024 年第三季度业绩说明会，与投资者进行互动交流和沟通，具体问题及回复如下：</w:t>
            </w:r>
          </w:p>
          <w:p w14:paraId="26880B20">
            <w:pPr>
              <w:numPr>
                <w:ilvl w:val="0"/>
                <w:numId w:val="1"/>
              </w:numPr>
              <w:spacing w:before="197" w:line="360" w:lineRule="auto"/>
              <w:ind w:firstLine="418" w:firstLineChars="200"/>
              <w:jc w:val="left"/>
              <w:rPr>
                <w:rFonts w:hint="eastAsia" w:ascii="宋体" w:hAnsi="宋体" w:eastAsia="宋体" w:cs="宋体"/>
                <w:b/>
                <w:bCs/>
                <w:spacing w:val="-1"/>
                <w:lang w:val="en-US" w:eastAsia="zh-CN"/>
              </w:rPr>
            </w:pPr>
            <w:r>
              <w:rPr>
                <w:rFonts w:hint="eastAsia" w:ascii="宋体" w:hAnsi="宋体" w:eastAsia="宋体" w:cs="宋体"/>
                <w:b/>
                <w:bCs/>
                <w:spacing w:val="-1"/>
                <w:lang w:val="en-US" w:eastAsia="zh-CN"/>
              </w:rPr>
              <w:t>请问公司对四季度经营情况如何展望？</w:t>
            </w:r>
          </w:p>
          <w:p w14:paraId="328FB3B6">
            <w:pPr>
              <w:numPr>
                <w:ilvl w:val="0"/>
                <w:numId w:val="0"/>
              </w:numPr>
              <w:spacing w:before="197" w:line="360" w:lineRule="auto"/>
              <w:ind w:firstLine="416" w:firstLineChars="20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答：公司对自身发展充满信心，同时也会积极做好各项业务的经营管理，争取为广大投资者创造更大价值。</w:t>
            </w:r>
          </w:p>
          <w:p w14:paraId="6C7BE85E">
            <w:pPr>
              <w:numPr>
                <w:ilvl w:val="0"/>
                <w:numId w:val="1"/>
              </w:numPr>
              <w:spacing w:before="197" w:line="360" w:lineRule="auto"/>
              <w:ind w:left="0" w:leftChars="0" w:firstLine="418" w:firstLineChars="200"/>
              <w:jc w:val="left"/>
              <w:rPr>
                <w:rFonts w:hint="eastAsia" w:ascii="宋体" w:hAnsi="宋体" w:eastAsia="宋体" w:cs="宋体"/>
                <w:b/>
                <w:bCs/>
                <w:spacing w:val="-1"/>
                <w:lang w:val="en-US" w:eastAsia="zh-CN"/>
              </w:rPr>
            </w:pPr>
            <w:r>
              <w:rPr>
                <w:rFonts w:hint="eastAsia" w:ascii="宋体" w:hAnsi="宋体" w:eastAsia="宋体" w:cs="宋体"/>
                <w:b/>
                <w:bCs/>
                <w:spacing w:val="-1"/>
                <w:lang w:val="en-US" w:eastAsia="zh-CN"/>
              </w:rPr>
              <w:t>贵公司收购的生一升是做什么的？</w:t>
            </w:r>
          </w:p>
          <w:p w14:paraId="10F995FD">
            <w:pPr>
              <w:numPr>
                <w:ilvl w:val="0"/>
                <w:numId w:val="0"/>
              </w:numPr>
              <w:spacing w:before="197"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答：武汉生一升光电科技有限公司为高速光模块上游供应商，主要从事各类中高速光器件产品的研发、生产、销售和服务，是数据通信领域器件优质解决方案提供商，详情请见公司对外披露的公告。</w:t>
            </w:r>
          </w:p>
          <w:p w14:paraId="784ECDA1">
            <w:pPr>
              <w:numPr>
                <w:ilvl w:val="0"/>
                <w:numId w:val="1"/>
              </w:numPr>
              <w:spacing w:before="197" w:line="360" w:lineRule="auto"/>
              <w:ind w:left="0" w:leftChars="0" w:firstLine="422" w:firstLineChars="200"/>
              <w:jc w:val="left"/>
              <w:rPr>
                <w:rFonts w:hint="eastAsia" w:ascii="宋体" w:hAnsi="宋体" w:eastAsia="宋体" w:cs="宋体"/>
                <w:b/>
                <w:bCs/>
                <w:lang w:val="en-US" w:eastAsia="zh-CN"/>
              </w:rPr>
            </w:pPr>
            <w:r>
              <w:rPr>
                <w:rFonts w:hint="eastAsia" w:ascii="宋体" w:hAnsi="宋体" w:eastAsia="宋体" w:cs="宋体"/>
                <w:b/>
                <w:bCs/>
                <w:lang w:val="en-US" w:eastAsia="zh-CN"/>
              </w:rPr>
              <w:t>公司此次拟收购生一升主要是出于哪些方面的考虑？</w:t>
            </w:r>
          </w:p>
          <w:p w14:paraId="057F5063">
            <w:pPr>
              <w:numPr>
                <w:ilvl w:val="0"/>
                <w:numId w:val="0"/>
              </w:numPr>
              <w:spacing w:before="197" w:line="360" w:lineRule="auto"/>
              <w:ind w:firstLine="420" w:firstLineChars="200"/>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答：标的公司与公司属于同行业，对公司主营业务可起到协同效应。本次</w:t>
            </w:r>
            <w:bookmarkStart w:id="0" w:name="_GoBack"/>
            <w:bookmarkEnd w:id="0"/>
            <w:r>
              <w:rPr>
                <w:rFonts w:hint="eastAsia" w:ascii="宋体" w:hAnsi="宋体" w:eastAsia="宋体" w:cs="宋体"/>
                <w:b w:val="0"/>
                <w:bCs w:val="0"/>
                <w:lang w:val="en-US" w:eastAsia="zh-CN"/>
              </w:rPr>
              <w:t>交易后，公司将与生一升在光纤陀螺光子芯片制造和以数据中心为代表的光通信领域形成较好的互补关系，实现业务、技术和市场端的有效整合，强化在光纤陀螺和光通信领域的综合研发实力，有助于扩大经营规模和提升经营业绩。</w:t>
            </w:r>
          </w:p>
          <w:p w14:paraId="78D673F6">
            <w:pPr>
              <w:numPr>
                <w:ilvl w:val="0"/>
                <w:numId w:val="1"/>
              </w:numPr>
              <w:spacing w:before="197" w:line="360" w:lineRule="auto"/>
              <w:ind w:left="0" w:leftChars="0" w:firstLine="420" w:firstLineChars="200"/>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大股东辛军减持的进展如何？</w:t>
            </w:r>
          </w:p>
          <w:p w14:paraId="03D9E404">
            <w:pPr>
              <w:numPr>
                <w:numId w:val="0"/>
              </w:numPr>
              <w:spacing w:before="197" w:line="360" w:lineRule="auto"/>
              <w:ind w:firstLine="420" w:firstLineChars="200"/>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答：尊敬的投资者您好，公司股东增减持等相关事项将严格依照相关法律法规操作，并就相关进展及时履行信息披露义务。感谢您对公司的关注。</w:t>
            </w:r>
          </w:p>
        </w:tc>
      </w:tr>
      <w:tr w14:paraId="26FF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025" w:type="dxa"/>
            <w:vAlign w:val="center"/>
          </w:tcPr>
          <w:p w14:paraId="69243116">
            <w:pPr>
              <w:spacing w:line="360" w:lineRule="auto"/>
              <w:jc w:val="center"/>
              <w:rPr>
                <w:rFonts w:hint="eastAsia" w:ascii="黑体" w:hAnsi="黑体" w:eastAsia="黑体" w:cs="黑体"/>
                <w:spacing w:val="11"/>
                <w:sz w:val="24"/>
                <w:szCs w:val="24"/>
                <w:lang w:eastAsia="zh-CN"/>
                <w14:textOutline w14:w="4356" w14:cap="flat" w14:cmpd="sng" w14:algn="ctr">
                  <w14:solidFill>
                    <w14:srgbClr w14:val="000000"/>
                  </w14:solidFill>
                  <w14:prstDash w14:val="solid"/>
                  <w14:miter w14:val="0"/>
                </w14:textOutline>
              </w:rPr>
            </w:pPr>
            <w:r>
              <w:rPr>
                <w:rFonts w:hint="eastAsia" w:ascii="黑体" w:hAnsi="黑体" w:eastAsia="黑体" w:cs="黑体"/>
                <w:spacing w:val="11"/>
                <w:sz w:val="24"/>
                <w:szCs w:val="24"/>
                <w:lang w:eastAsia="zh-CN"/>
                <w14:textOutline w14:w="4356" w14:cap="flat" w14:cmpd="sng" w14:algn="ctr">
                  <w14:solidFill>
                    <w14:srgbClr w14:val="000000"/>
                  </w14:solidFill>
                  <w14:prstDash w14:val="solid"/>
                  <w14:miter w14:val="0"/>
                </w14:textOutline>
              </w:rPr>
              <w:t>风险提示</w:t>
            </w:r>
          </w:p>
        </w:tc>
        <w:tc>
          <w:tcPr>
            <w:tcW w:w="6048" w:type="dxa"/>
            <w:gridSpan w:val="2"/>
            <w:vAlign w:val="center"/>
          </w:tcPr>
          <w:p w14:paraId="1DDC255E">
            <w:pPr>
              <w:spacing w:before="197" w:line="360" w:lineRule="auto"/>
              <w:ind w:firstLine="420" w:firstLineChars="200"/>
              <w:jc w:val="left"/>
              <w:rPr>
                <w:rFonts w:hint="default" w:ascii="宋体" w:hAnsi="宋体" w:eastAsia="宋体" w:cs="宋体"/>
                <w:spacing w:val="-1"/>
                <w:lang w:val="en-US" w:eastAsia="zh-CN"/>
              </w:rPr>
            </w:pPr>
            <w:r>
              <w:rPr>
                <w:rFonts w:hint="eastAsia"/>
              </w:rPr>
              <w:t>以上如涉及对行业的预测、公司发展战略规划等相关内容，不能视作公司或公司管理层对行业、公司发展或业绩的承诺和保证，敬请广大投资者注意投资风险。</w:t>
            </w:r>
          </w:p>
        </w:tc>
      </w:tr>
      <w:tr w14:paraId="0064E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3025" w:type="dxa"/>
            <w:vAlign w:val="center"/>
          </w:tcPr>
          <w:p w14:paraId="3B2000AF">
            <w:pPr>
              <w:spacing w:line="360" w:lineRule="auto"/>
              <w:jc w:val="center"/>
            </w:pPr>
            <w:r>
              <w:rPr>
                <w:rFonts w:ascii="黑体" w:hAnsi="黑体" w:eastAsia="黑体" w:cs="黑体"/>
                <w:spacing w:val="11"/>
                <w:sz w:val="24"/>
                <w:szCs w:val="24"/>
                <w14:textOutline w14:w="4356" w14:cap="flat" w14:cmpd="sng" w14:algn="ctr">
                  <w14:solidFill>
                    <w14:srgbClr w14:val="000000"/>
                  </w14:solidFill>
                  <w14:prstDash w14:val="solid"/>
                  <w14:miter w14:val="0"/>
                </w14:textOutline>
              </w:rPr>
              <w:t>附件清单(如有</w:t>
            </w:r>
            <w:r>
              <w:rPr>
                <w:rFonts w:ascii="黑体" w:hAnsi="黑体" w:eastAsia="黑体" w:cs="黑体"/>
                <w:spacing w:val="9"/>
                <w:sz w:val="24"/>
                <w:szCs w:val="24"/>
                <w14:textOutline w14:w="4356" w14:cap="flat" w14:cmpd="sng" w14:algn="ctr">
                  <w14:solidFill>
                    <w14:srgbClr w14:val="000000"/>
                  </w14:solidFill>
                  <w14:prstDash w14:val="solid"/>
                  <w14:miter w14:val="0"/>
                </w14:textOutline>
              </w:rPr>
              <w:t>)</w:t>
            </w:r>
          </w:p>
        </w:tc>
        <w:tc>
          <w:tcPr>
            <w:tcW w:w="6048" w:type="dxa"/>
            <w:gridSpan w:val="2"/>
            <w:vAlign w:val="center"/>
          </w:tcPr>
          <w:p w14:paraId="0728BCB6">
            <w:pPr>
              <w:spacing w:before="131" w:line="360" w:lineRule="auto"/>
              <w:jc w:val="center"/>
              <w:rPr>
                <w:rFonts w:ascii="宋体" w:hAnsi="宋体" w:eastAsia="宋体" w:cs="宋体"/>
                <w:spacing w:val="-11"/>
                <w14:textOutline w14:w="3835" w14:cap="flat" w14:cmpd="sng" w14:algn="ctr">
                  <w14:solidFill>
                    <w14:srgbClr w14:val="000000"/>
                  </w14:solidFill>
                  <w14:prstDash w14:val="solid"/>
                  <w14:miter w14:val="0"/>
                </w14:textOutline>
              </w:rPr>
            </w:pPr>
            <w:r>
              <w:rPr>
                <w:rFonts w:ascii="宋体" w:hAnsi="宋体" w:eastAsia="宋体" w:cs="仿宋"/>
              </w:rPr>
              <w:t>无</w:t>
            </w:r>
          </w:p>
        </w:tc>
      </w:tr>
    </w:tbl>
    <w:p w14:paraId="224F47C8">
      <w:pPr>
        <w:rPr>
          <w:rFonts w:eastAsiaTheme="minorEastAsia"/>
        </w:rPr>
      </w:pP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3A6C1"/>
    <w:multiLevelType w:val="singleLevel"/>
    <w:tmpl w:val="3183A6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00000"/>
    <w:rsid w:val="00135135"/>
    <w:rsid w:val="01324950"/>
    <w:rsid w:val="0192652E"/>
    <w:rsid w:val="03442157"/>
    <w:rsid w:val="039D18E6"/>
    <w:rsid w:val="053142BB"/>
    <w:rsid w:val="05872C94"/>
    <w:rsid w:val="05E11832"/>
    <w:rsid w:val="06897EFF"/>
    <w:rsid w:val="07362980"/>
    <w:rsid w:val="08A355AC"/>
    <w:rsid w:val="08F6426D"/>
    <w:rsid w:val="0A1C72DC"/>
    <w:rsid w:val="0A397E8E"/>
    <w:rsid w:val="0A851326"/>
    <w:rsid w:val="0AFD3C00"/>
    <w:rsid w:val="0CFE12E6"/>
    <w:rsid w:val="0D0C2411"/>
    <w:rsid w:val="0E975183"/>
    <w:rsid w:val="0F851C14"/>
    <w:rsid w:val="10040034"/>
    <w:rsid w:val="10134CDE"/>
    <w:rsid w:val="11131439"/>
    <w:rsid w:val="12C0745B"/>
    <w:rsid w:val="134F427F"/>
    <w:rsid w:val="14060DE1"/>
    <w:rsid w:val="147953C7"/>
    <w:rsid w:val="16E106D8"/>
    <w:rsid w:val="1835288A"/>
    <w:rsid w:val="19362169"/>
    <w:rsid w:val="194F441F"/>
    <w:rsid w:val="19516138"/>
    <w:rsid w:val="19C071A3"/>
    <w:rsid w:val="1BEF47DD"/>
    <w:rsid w:val="1EE241F9"/>
    <w:rsid w:val="1F1D69E5"/>
    <w:rsid w:val="1FBE07C2"/>
    <w:rsid w:val="214C2AFA"/>
    <w:rsid w:val="228F780E"/>
    <w:rsid w:val="229150BE"/>
    <w:rsid w:val="233E3694"/>
    <w:rsid w:val="23641680"/>
    <w:rsid w:val="23B51EDC"/>
    <w:rsid w:val="248024EA"/>
    <w:rsid w:val="25C1725E"/>
    <w:rsid w:val="26C32B62"/>
    <w:rsid w:val="26C62652"/>
    <w:rsid w:val="27856069"/>
    <w:rsid w:val="28212236"/>
    <w:rsid w:val="28920A3E"/>
    <w:rsid w:val="28A14B5C"/>
    <w:rsid w:val="290E32B8"/>
    <w:rsid w:val="29B652B8"/>
    <w:rsid w:val="2A23570F"/>
    <w:rsid w:val="2ADD5B6E"/>
    <w:rsid w:val="2AE43300"/>
    <w:rsid w:val="2AF711EA"/>
    <w:rsid w:val="2C976C2A"/>
    <w:rsid w:val="2D320A41"/>
    <w:rsid w:val="2D350C49"/>
    <w:rsid w:val="2E2C2222"/>
    <w:rsid w:val="2F2F3A7C"/>
    <w:rsid w:val="2F930E6C"/>
    <w:rsid w:val="302F1349"/>
    <w:rsid w:val="30C10112"/>
    <w:rsid w:val="32560D2E"/>
    <w:rsid w:val="329E6C16"/>
    <w:rsid w:val="33095DA0"/>
    <w:rsid w:val="33266952"/>
    <w:rsid w:val="33F64577"/>
    <w:rsid w:val="34032FA0"/>
    <w:rsid w:val="369139EC"/>
    <w:rsid w:val="36CE3589"/>
    <w:rsid w:val="374970B3"/>
    <w:rsid w:val="37EF1A09"/>
    <w:rsid w:val="388971ED"/>
    <w:rsid w:val="38F026C3"/>
    <w:rsid w:val="394A2C6F"/>
    <w:rsid w:val="399D36E6"/>
    <w:rsid w:val="3B223EA3"/>
    <w:rsid w:val="3B245CEB"/>
    <w:rsid w:val="3BF27D19"/>
    <w:rsid w:val="3C2105FF"/>
    <w:rsid w:val="3D1E48C0"/>
    <w:rsid w:val="3D842BF3"/>
    <w:rsid w:val="3DEE4529"/>
    <w:rsid w:val="3E325A16"/>
    <w:rsid w:val="3EA62D02"/>
    <w:rsid w:val="40250D1A"/>
    <w:rsid w:val="403345F4"/>
    <w:rsid w:val="405D772B"/>
    <w:rsid w:val="407E5A1A"/>
    <w:rsid w:val="416C5E78"/>
    <w:rsid w:val="421A3B26"/>
    <w:rsid w:val="427E7D5A"/>
    <w:rsid w:val="429A2A33"/>
    <w:rsid w:val="440178DB"/>
    <w:rsid w:val="445D7CFA"/>
    <w:rsid w:val="45015A35"/>
    <w:rsid w:val="450464A6"/>
    <w:rsid w:val="4568104C"/>
    <w:rsid w:val="45CF69D6"/>
    <w:rsid w:val="46401EDF"/>
    <w:rsid w:val="46D50FE2"/>
    <w:rsid w:val="47C06F1E"/>
    <w:rsid w:val="48793B3B"/>
    <w:rsid w:val="49836786"/>
    <w:rsid w:val="4C0A4C0B"/>
    <w:rsid w:val="4C9A446B"/>
    <w:rsid w:val="4CE76CFB"/>
    <w:rsid w:val="4E242C6D"/>
    <w:rsid w:val="4F9A62A6"/>
    <w:rsid w:val="4FEF2EE4"/>
    <w:rsid w:val="50654D4A"/>
    <w:rsid w:val="51907421"/>
    <w:rsid w:val="51DC1CF3"/>
    <w:rsid w:val="53EC4BF7"/>
    <w:rsid w:val="540939FA"/>
    <w:rsid w:val="544E58B1"/>
    <w:rsid w:val="569C2904"/>
    <w:rsid w:val="575A5803"/>
    <w:rsid w:val="575C2093"/>
    <w:rsid w:val="59DA7BF6"/>
    <w:rsid w:val="5A767910"/>
    <w:rsid w:val="5B433C96"/>
    <w:rsid w:val="5B7C6A27"/>
    <w:rsid w:val="5BE62F99"/>
    <w:rsid w:val="5C5166BA"/>
    <w:rsid w:val="5D3A2070"/>
    <w:rsid w:val="5D5D412B"/>
    <w:rsid w:val="5D621292"/>
    <w:rsid w:val="5F7C1524"/>
    <w:rsid w:val="600032FB"/>
    <w:rsid w:val="612B4FB0"/>
    <w:rsid w:val="6142679E"/>
    <w:rsid w:val="617C580C"/>
    <w:rsid w:val="62DE42A4"/>
    <w:rsid w:val="64B90B25"/>
    <w:rsid w:val="67167E77"/>
    <w:rsid w:val="677B47B7"/>
    <w:rsid w:val="67B0620F"/>
    <w:rsid w:val="67DA7730"/>
    <w:rsid w:val="68D32A1B"/>
    <w:rsid w:val="69164798"/>
    <w:rsid w:val="69225C92"/>
    <w:rsid w:val="69E71C90"/>
    <w:rsid w:val="69FF1CFF"/>
    <w:rsid w:val="6A406A37"/>
    <w:rsid w:val="6A4946F9"/>
    <w:rsid w:val="6AD044B3"/>
    <w:rsid w:val="6BAB2C01"/>
    <w:rsid w:val="6C5D623A"/>
    <w:rsid w:val="6DD95D94"/>
    <w:rsid w:val="6FE31CDE"/>
    <w:rsid w:val="700F1FCA"/>
    <w:rsid w:val="72A62E3B"/>
    <w:rsid w:val="72C830E4"/>
    <w:rsid w:val="73267CCD"/>
    <w:rsid w:val="737261B5"/>
    <w:rsid w:val="73EA0CFB"/>
    <w:rsid w:val="751C42F4"/>
    <w:rsid w:val="75A373B3"/>
    <w:rsid w:val="765B5EE0"/>
    <w:rsid w:val="767713F3"/>
    <w:rsid w:val="76FE7F7C"/>
    <w:rsid w:val="77634A8A"/>
    <w:rsid w:val="77766529"/>
    <w:rsid w:val="785C7CED"/>
    <w:rsid w:val="78646FCD"/>
    <w:rsid w:val="78FB2499"/>
    <w:rsid w:val="79A13C0A"/>
    <w:rsid w:val="7A6510DB"/>
    <w:rsid w:val="7D155CB7"/>
    <w:rsid w:val="7E7B3986"/>
    <w:rsid w:val="7EF7251E"/>
    <w:rsid w:val="7FCA4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pPr>
    <w:rPr>
      <w:sz w:val="18"/>
      <w:szCs w:val="18"/>
    </w:rPr>
  </w:style>
  <w:style w:type="paragraph" w:styleId="3">
    <w:name w:val="header"/>
    <w:basedOn w:val="1"/>
    <w:link w:val="11"/>
    <w:autoRedefine/>
    <w:qFormat/>
    <w:uiPriority w:val="0"/>
    <w:pPr>
      <w:tabs>
        <w:tab w:val="center" w:pos="4153"/>
        <w:tab w:val="right" w:pos="8306"/>
      </w:tabs>
      <w:jc w:val="center"/>
    </w:pPr>
    <w:rPr>
      <w:sz w:val="18"/>
      <w:szCs w:val="18"/>
    </w:rPr>
  </w:style>
  <w:style w:type="character" w:styleId="6">
    <w:name w:val="Strong"/>
    <w:basedOn w:val="5"/>
    <w:autoRedefine/>
    <w:qFormat/>
    <w:uiPriority w:val="0"/>
    <w:rPr>
      <w:b/>
    </w:rPr>
  </w:style>
  <w:style w:type="table" w:customStyle="1" w:styleId="7">
    <w:name w:val="Table Normal1"/>
    <w:autoRedefine/>
    <w:unhideWhenUsed/>
    <w:qFormat/>
    <w:uiPriority w:val="0"/>
    <w:tblPr>
      <w:tblCellMar>
        <w:top w:w="0" w:type="dxa"/>
        <w:left w:w="0" w:type="dxa"/>
        <w:bottom w:w="0" w:type="dxa"/>
        <w:right w:w="0" w:type="dxa"/>
      </w:tblCellMar>
    </w:tblPr>
  </w:style>
  <w:style w:type="paragraph" w:customStyle="1" w:styleId="8">
    <w:name w:val="Normal1"/>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9">
    <w:name w:val="列出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Times New Roman"/>
      <w:color w:val="auto"/>
      <w:kern w:val="2"/>
    </w:rPr>
  </w:style>
  <w:style w:type="paragraph" w:customStyle="1" w:styleId="10">
    <w:name w:val="List Paragraph"/>
    <w:basedOn w:val="1"/>
    <w:autoRedefine/>
    <w:qFormat/>
    <w:uiPriority w:val="99"/>
    <w:pPr>
      <w:ind w:firstLine="420" w:firstLineChars="200"/>
    </w:pPr>
  </w:style>
  <w:style w:type="character" w:customStyle="1" w:styleId="11">
    <w:name w:val="页眉 字符"/>
    <w:basedOn w:val="5"/>
    <w:link w:val="3"/>
    <w:autoRedefine/>
    <w:qFormat/>
    <w:uiPriority w:val="0"/>
    <w:rPr>
      <w:rFonts w:ascii="Arial" w:hAnsi="Arial" w:eastAsia="Arial" w:cs="Arial"/>
      <w:snapToGrid w:val="0"/>
      <w:color w:val="000000"/>
      <w:sz w:val="18"/>
      <w:szCs w:val="18"/>
    </w:rPr>
  </w:style>
  <w:style w:type="character" w:customStyle="1" w:styleId="12">
    <w:name w:val="页脚 字符"/>
    <w:basedOn w:val="5"/>
    <w:link w:val="2"/>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681</Words>
  <Characters>779</Characters>
  <Lines>7</Lines>
  <Paragraphs>2</Paragraphs>
  <TotalTime>38</TotalTime>
  <ScaleCrop>false</ScaleCrop>
  <LinksUpToDate>false</LinksUpToDate>
  <CharactersWithSpaces>856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2024-01-19T01:08:00Z</dcterms:created>
  <dc:creator>Data</dc:creator>
  <cp:lastModifiedBy>Chensyuan_</cp:lastModifiedBy>
  <cp:lastPrinted>2024-05-30T07:51:00Z</cp:lastPrinted>
  <dcterms:modified xsi:type="dcterms:W3CDTF">2024-11-14T09:09:04Z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2023-08-25T10:23:00Z</vt:filetime>
  </property>
  <property fmtid="{D5CDD505-2E9C-101B-9397-08002B2CF9AE}" pid="4" name="UsrData">
    <vt:lpwstr>64e8108ff7cc97001fbc8a0c</vt:lpwstr>
  </property>
  <property fmtid="{D5CDD505-2E9C-101B-9397-08002B2CF9AE}" pid="5" name="KSOProductBuildVer">
    <vt:lpwstr>2052-12.1.0.18912</vt:lpwstr>
  </property>
  <property fmtid="{D5CDD505-2E9C-101B-9397-08002B2CF9AE}" pid="6" name="ICV">
    <vt:lpwstr>CFAA3A98E5E742E99AAF34E08F8D5FEA_13</vt:lpwstr>
  </property>
</Properties>
</file>