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87918">
      <w:pPr>
        <w:spacing w:beforeLines="50" w:afterLines="50" w:line="400" w:lineRule="exact"/>
        <w:rPr>
          <w:bCs/>
          <w:iCs/>
          <w:color w:val="000000"/>
          <w:sz w:val="24"/>
        </w:rPr>
      </w:pPr>
      <w:r>
        <w:rPr>
          <w:rFonts w:hAnsi="宋体"/>
          <w:bCs/>
          <w:iCs/>
          <w:color w:val="000000"/>
          <w:sz w:val="24"/>
        </w:rPr>
        <w:t>证券代码：</w:t>
      </w:r>
      <w:r>
        <w:rPr>
          <w:color w:val="000000"/>
          <w:sz w:val="24"/>
        </w:rPr>
        <w:t xml:space="preserve">600169                            </w:t>
      </w:r>
      <w:r>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太原重工</w:t>
      </w:r>
    </w:p>
    <w:p w14:paraId="0D7D70F2">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太原重工股份有限公司</w:t>
      </w:r>
      <w:r>
        <w:rPr>
          <w:rFonts w:hint="eastAsia" w:ascii="宋体" w:hAnsi="宋体"/>
          <w:b/>
          <w:bCs/>
          <w:iCs/>
          <w:color w:val="000000"/>
          <w:sz w:val="32"/>
          <w:szCs w:val="32"/>
        </w:rPr>
        <w:t>投资者关系活动记录表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0012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3543D8B4">
            <w:pPr>
              <w:spacing w:line="420" w:lineRule="exact"/>
              <w:rPr>
                <w:bCs/>
                <w:iCs/>
                <w:color w:val="000000"/>
                <w:kern w:val="0"/>
                <w:sz w:val="24"/>
              </w:rPr>
            </w:pPr>
            <w:r>
              <w:rPr>
                <w:rFonts w:hint="eastAsia" w:ascii="宋体" w:hAnsi="宋体"/>
                <w:bCs/>
                <w:iCs/>
                <w:color w:val="000000"/>
                <w:sz w:val="24"/>
              </w:rPr>
              <w:t xml:space="preserve">                                                     </w:t>
            </w:r>
            <w:r>
              <w:rPr>
                <w:rFonts w:hAnsi="宋体"/>
                <w:bCs/>
                <w:iCs/>
                <w:color w:val="000000"/>
                <w:kern w:val="0"/>
                <w:sz w:val="24"/>
              </w:rPr>
              <w:t>投资者关系活动类别</w:t>
            </w:r>
          </w:p>
          <w:p w14:paraId="5F6E5628">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35A05F9">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7CF2E05B">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5482D25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26D0FDA5">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304EB841">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4CA4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40F07DE">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701DB86F">
            <w:pPr>
              <w:spacing w:line="420" w:lineRule="exact"/>
              <w:rPr>
                <w:bCs/>
                <w:iCs/>
                <w:color w:val="000000"/>
                <w:sz w:val="24"/>
                <w:lang w:val="en-GB"/>
              </w:rPr>
            </w:pPr>
            <w:r>
              <w:rPr>
                <w:rFonts w:hint="eastAsia"/>
                <w:bCs/>
                <w:iCs/>
                <w:color w:val="000000"/>
                <w:sz w:val="24"/>
                <w:lang w:val="en-GB"/>
              </w:rPr>
              <w:t>投资者网上提问</w:t>
            </w:r>
          </w:p>
        </w:tc>
      </w:tr>
      <w:tr w14:paraId="0223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49687C24">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23578167">
            <w:pPr>
              <w:spacing w:line="420" w:lineRule="exact"/>
              <w:rPr>
                <w:bCs/>
                <w:iCs/>
                <w:color w:val="000000"/>
                <w:sz w:val="24"/>
              </w:rPr>
            </w:pPr>
            <w:r>
              <w:rPr>
                <w:bCs/>
                <w:iCs/>
                <w:color w:val="000000"/>
                <w:sz w:val="24"/>
              </w:rPr>
              <w:t>2024年</w:t>
            </w:r>
            <w:r>
              <w:rPr>
                <w:rFonts w:hint="eastAsia"/>
                <w:bCs/>
                <w:iCs/>
                <w:color w:val="000000"/>
                <w:sz w:val="24"/>
                <w:lang w:val="en-US" w:eastAsia="zh-CN"/>
              </w:rPr>
              <w:t>11</w:t>
            </w:r>
            <w:r>
              <w:rPr>
                <w:bCs/>
                <w:iCs/>
                <w:color w:val="000000"/>
                <w:sz w:val="24"/>
              </w:rPr>
              <w:t>月</w:t>
            </w:r>
            <w:r>
              <w:rPr>
                <w:rFonts w:hint="eastAsia"/>
                <w:bCs/>
                <w:iCs/>
                <w:color w:val="000000"/>
                <w:sz w:val="24"/>
                <w:lang w:val="en-US" w:eastAsia="zh-CN"/>
              </w:rPr>
              <w:t>19</w:t>
            </w:r>
            <w:r>
              <w:rPr>
                <w:bCs/>
                <w:iCs/>
                <w:color w:val="000000"/>
                <w:sz w:val="24"/>
              </w:rPr>
              <w:t>日 (周</w:t>
            </w:r>
            <w:r>
              <w:rPr>
                <w:rFonts w:hint="eastAsia"/>
                <w:bCs/>
                <w:iCs/>
                <w:color w:val="000000"/>
                <w:sz w:val="24"/>
                <w:lang w:val="en-US" w:eastAsia="zh-CN"/>
              </w:rPr>
              <w:t>二</w:t>
            </w:r>
            <w:r>
              <w:rPr>
                <w:bCs/>
                <w:iCs/>
                <w:color w:val="000000"/>
                <w:sz w:val="24"/>
              </w:rPr>
              <w:t>) 下午 1</w:t>
            </w:r>
            <w:r>
              <w:rPr>
                <w:rFonts w:hint="eastAsia"/>
                <w:bCs/>
                <w:iCs/>
                <w:color w:val="000000"/>
                <w:sz w:val="24"/>
                <w:lang w:val="en-US" w:eastAsia="zh-CN"/>
              </w:rPr>
              <w:t>5</w:t>
            </w:r>
            <w:r>
              <w:rPr>
                <w:bCs/>
                <w:iCs/>
                <w:color w:val="000000"/>
                <w:sz w:val="24"/>
              </w:rPr>
              <w:t>:00~1</w:t>
            </w:r>
            <w:r>
              <w:rPr>
                <w:rFonts w:hint="eastAsia"/>
                <w:bCs/>
                <w:iCs/>
                <w:color w:val="000000"/>
                <w:sz w:val="24"/>
                <w:lang w:val="en-US" w:eastAsia="zh-CN"/>
              </w:rPr>
              <w:t>6</w:t>
            </w:r>
            <w:r>
              <w:rPr>
                <w:bCs/>
                <w:iCs/>
                <w:color w:val="000000"/>
                <w:sz w:val="24"/>
              </w:rPr>
              <w:t>:00</w:t>
            </w:r>
          </w:p>
        </w:tc>
      </w:tr>
      <w:tr w14:paraId="49F9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81E2914">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0E69AF68">
            <w:pPr>
              <w:spacing w:line="420" w:lineRule="exact"/>
              <w:rPr>
                <w:bCs/>
                <w:iCs/>
                <w:color w:val="000000"/>
                <w:sz w:val="24"/>
              </w:rPr>
            </w:pPr>
            <w:r>
              <w:rPr>
                <w:rFonts w:ascii="宋体" w:hAnsi="宋体"/>
                <w:sz w:val="24"/>
              </w:rPr>
              <w:t>公司通过</w:t>
            </w:r>
            <w:r>
              <w:rPr>
                <w:rFonts w:hint="eastAsia" w:ascii="宋体" w:hAnsi="宋体"/>
                <w:bCs/>
                <w:sz w:val="24"/>
              </w:rPr>
              <w:t>上海证券交易所上证路演中心（http://roadshow.sseinfo.com）采用网络远程的方式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2383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0C9FB73">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0B0F5FA8">
            <w:pPr>
              <w:spacing w:line="420" w:lineRule="exact"/>
              <w:rPr>
                <w:rFonts w:ascii="宋体" w:hAnsi="宋体"/>
                <w:bCs/>
                <w:sz w:val="24"/>
              </w:rPr>
            </w:pPr>
            <w:r>
              <w:rPr>
                <w:rFonts w:ascii="宋体" w:hAnsi="宋体"/>
                <w:bCs/>
                <w:sz w:val="24"/>
              </w:rPr>
              <w:t>1、总经理王省林</w:t>
            </w:r>
          </w:p>
          <w:p w14:paraId="2394AA7D">
            <w:pPr>
              <w:spacing w:line="420" w:lineRule="exact"/>
              <w:rPr>
                <w:rFonts w:ascii="宋体" w:hAnsi="宋体"/>
                <w:bCs/>
                <w:sz w:val="24"/>
              </w:rPr>
            </w:pPr>
            <w:r>
              <w:rPr>
                <w:rFonts w:ascii="宋体" w:hAnsi="宋体"/>
                <w:bCs/>
                <w:sz w:val="24"/>
              </w:rPr>
              <w:t>2、财务总监段志红</w:t>
            </w:r>
          </w:p>
          <w:p w14:paraId="2992C762">
            <w:pPr>
              <w:spacing w:line="420" w:lineRule="exact"/>
              <w:rPr>
                <w:rFonts w:ascii="宋体" w:hAnsi="宋体"/>
                <w:bCs/>
                <w:sz w:val="24"/>
              </w:rPr>
            </w:pPr>
            <w:r>
              <w:rPr>
                <w:rFonts w:ascii="宋体" w:hAnsi="宋体"/>
                <w:bCs/>
                <w:sz w:val="24"/>
              </w:rPr>
              <w:t>3、董事会秘书赵晓强</w:t>
            </w:r>
          </w:p>
          <w:p w14:paraId="41931CFF">
            <w:pPr>
              <w:spacing w:line="420" w:lineRule="exact"/>
              <w:rPr>
                <w:rFonts w:hint="default" w:ascii="宋体" w:hAnsi="宋体" w:eastAsia="宋体"/>
                <w:bCs/>
                <w:sz w:val="24"/>
                <w:lang w:val="en-US" w:eastAsia="zh-CN"/>
              </w:rPr>
            </w:pPr>
            <w:r>
              <w:rPr>
                <w:rFonts w:hint="eastAsia" w:ascii="宋体" w:hAnsi="宋体"/>
                <w:bCs/>
                <w:sz w:val="24"/>
                <w:lang w:val="en-US" w:eastAsia="zh-CN"/>
              </w:rPr>
              <w:t>4、独立董事姚小民</w:t>
            </w:r>
          </w:p>
        </w:tc>
      </w:tr>
      <w:tr w14:paraId="4CB0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02892B0">
            <w:pPr>
              <w:spacing w:line="420" w:lineRule="exact"/>
              <w:rPr>
                <w:bCs/>
                <w:iCs/>
                <w:color w:val="000000"/>
                <w:kern w:val="0"/>
                <w:sz w:val="24"/>
              </w:rPr>
            </w:pPr>
            <w:r>
              <w:rPr>
                <w:rFonts w:hAnsi="宋体"/>
                <w:bCs/>
                <w:iCs/>
                <w:color w:val="000000"/>
                <w:kern w:val="0"/>
                <w:sz w:val="24"/>
              </w:rPr>
              <w:t>投资者关系活动主要内容介绍</w:t>
            </w:r>
          </w:p>
          <w:p w14:paraId="3201E6C9">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87B7A44">
            <w:pPr>
              <w:spacing w:beforeLines="50" w:line="460" w:lineRule="exact"/>
              <w:ind w:firstLine="482" w:firstLineChars="200"/>
              <w:rPr>
                <w:rFonts w:ascii="宋体" w:hAnsi="宋体"/>
                <w:b/>
                <w:sz w:val="24"/>
              </w:rPr>
            </w:pPr>
            <w:r>
              <w:rPr>
                <w:rFonts w:ascii="宋体" w:hAnsi="宋体"/>
                <w:b/>
                <w:sz w:val="24"/>
              </w:rPr>
              <w:t>投资者提出的问题及公司回复情况</w:t>
            </w:r>
          </w:p>
          <w:p w14:paraId="7A3BC524">
            <w:pPr>
              <w:spacing w:line="460" w:lineRule="exact"/>
              <w:ind w:firstLine="480" w:firstLineChars="200"/>
              <w:rPr>
                <w:rFonts w:ascii="宋体" w:hAnsi="宋体"/>
                <w:sz w:val="24"/>
              </w:rPr>
            </w:pPr>
            <w:r>
              <w:rPr>
                <w:rFonts w:ascii="宋体" w:hAnsi="宋体" w:cs="宋体"/>
                <w:sz w:val="24"/>
              </w:rPr>
              <w:t>公司就投资者在本次说明会中提出的问题进行了回复：</w:t>
            </w:r>
          </w:p>
          <w:p w14:paraId="56D18686">
            <w:pPr>
              <w:pStyle w:val="8"/>
              <w:spacing w:line="460" w:lineRule="exact"/>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上交所近期推出《推动提高沪市上市公司ESG信息披露质量三年行动方案（2024-2026年）》，请问公司在ESG践行工作上，都有哪些进展？</w:t>
            </w:r>
          </w:p>
          <w:p w14:paraId="033E6E21">
            <w:pPr>
              <w:pStyle w:val="8"/>
              <w:spacing w:line="460" w:lineRule="exact"/>
              <w:ind w:left="-2" w:leftChars="-1" w:firstLine="480"/>
              <w:rPr>
                <w:rFonts w:ascii="宋体" w:hAnsi="宋体"/>
                <w:sz w:val="24"/>
                <w:szCs w:val="24"/>
              </w:rPr>
            </w:pPr>
            <w:r>
              <w:rPr>
                <w:rFonts w:hint="eastAsia" w:ascii="宋体" w:hAnsi="宋体"/>
                <w:sz w:val="24"/>
                <w:szCs w:val="24"/>
              </w:rPr>
              <w:t>您好，公司一贯重视环境、社会及治理方面的工作，相继发布了太原重工2021-2023年度社会责任报告，并于2024年8月27日发布了《2023年度环境、社会及治理（ESG）报告》。下一步，公司将在促进公司高质量发展的同时，持之以恒积极履行社会责任。感谢您对公司的关注。</w:t>
            </w:r>
          </w:p>
          <w:p w14:paraId="379C1E65">
            <w:pPr>
              <w:pStyle w:val="8"/>
              <w:spacing w:line="460" w:lineRule="exact"/>
              <w:ind w:firstLine="482" w:firstLineChars="200"/>
              <w:rPr>
                <w:rFonts w:hint="eastAsia" w:ascii="宋体" w:hAnsi="宋体" w:eastAsia="宋体"/>
                <w:b/>
                <w:sz w:val="24"/>
                <w:szCs w:val="24"/>
                <w:lang w:eastAsia="zh-CN"/>
              </w:rPr>
            </w:pPr>
            <w:r>
              <w:rPr>
                <w:rFonts w:ascii="宋体" w:hAnsi="宋体"/>
                <w:b/>
                <w:sz w:val="24"/>
                <w:szCs w:val="24"/>
              </w:rPr>
              <w:t>2、</w:t>
            </w:r>
            <w:r>
              <w:rPr>
                <w:rFonts w:hint="eastAsia" w:ascii="宋体" w:hAnsi="宋体"/>
                <w:b/>
                <w:sz w:val="24"/>
                <w:szCs w:val="24"/>
              </w:rPr>
              <w:t>请问贵公司市值管理有相关计划吗</w:t>
            </w:r>
            <w:r>
              <w:rPr>
                <w:rFonts w:hint="eastAsia" w:ascii="宋体" w:hAnsi="宋体"/>
                <w:b/>
                <w:sz w:val="24"/>
                <w:szCs w:val="24"/>
                <w:lang w:eastAsia="zh-CN"/>
              </w:rPr>
              <w:t>？</w:t>
            </w:r>
          </w:p>
          <w:p w14:paraId="6589FDE0">
            <w:pPr>
              <w:pStyle w:val="8"/>
              <w:spacing w:line="460" w:lineRule="exact"/>
              <w:rPr>
                <w:rFonts w:hint="eastAsia" w:ascii="宋体" w:hAnsi="宋体"/>
                <w:sz w:val="24"/>
                <w:szCs w:val="24"/>
              </w:rPr>
            </w:pPr>
            <w:r>
              <w:rPr>
                <w:rFonts w:hint="eastAsia" w:ascii="宋体" w:hAnsi="宋体"/>
                <w:sz w:val="24"/>
                <w:szCs w:val="24"/>
              </w:rPr>
              <w:t>您好，良好的市值表现是公司和投资者的共同愿望。公司将继续聚焦主业，以规范运作为基础，以提升经济效益为目标，重视公司市值成长，以期回报广大投资者的信任。感谢您对公司的关注。</w:t>
            </w:r>
          </w:p>
          <w:p w14:paraId="79CC1E59">
            <w:pPr>
              <w:pStyle w:val="8"/>
              <w:spacing w:line="460" w:lineRule="exact"/>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太重集团向明智能装备有限公司，国家高新技术企业、国家专精特新“小巨人”、国家“双百行动”标杆企业、全省智能制造骨干企业。请问：向明智能装备公司在很多主营业务方面和太原重工相似，是公司的子公司吗，若不是子公司，是否有同业竞争的关系，有无资产注入的可能性？</w:t>
            </w:r>
          </w:p>
          <w:p w14:paraId="2C3D5C48">
            <w:pPr>
              <w:pStyle w:val="8"/>
              <w:spacing w:line="460" w:lineRule="exact"/>
              <w:ind w:firstLine="480" w:firstLineChars="200"/>
              <w:rPr>
                <w:rFonts w:hint="eastAsia" w:ascii="宋体" w:hAnsi="宋体"/>
                <w:sz w:val="24"/>
                <w:szCs w:val="24"/>
              </w:rPr>
            </w:pPr>
            <w:r>
              <w:rPr>
                <w:rFonts w:hint="eastAsia" w:ascii="宋体" w:hAnsi="宋体"/>
                <w:sz w:val="24"/>
                <w:szCs w:val="24"/>
              </w:rPr>
              <w:t>您好，太重集团向明智能装备股份有限公司是公司控股股东太重集团的控股子公司，为公司的关联方，不存在同业竞争的关系，感谢您对公司的关注。</w:t>
            </w:r>
          </w:p>
          <w:p w14:paraId="751971D4">
            <w:pPr>
              <w:pStyle w:val="8"/>
              <w:spacing w:line="460" w:lineRule="exact"/>
              <w:ind w:firstLine="482" w:firstLineChars="200"/>
              <w:rPr>
                <w:rFonts w:ascii="宋体" w:hAnsi="宋体"/>
                <w:b/>
                <w:sz w:val="24"/>
                <w:szCs w:val="24"/>
              </w:rPr>
            </w:pPr>
            <w:r>
              <w:rPr>
                <w:rFonts w:ascii="宋体" w:hAnsi="宋体"/>
                <w:b/>
                <w:sz w:val="24"/>
                <w:szCs w:val="24"/>
              </w:rPr>
              <w:t>4、</w:t>
            </w:r>
            <w:r>
              <w:rPr>
                <w:rFonts w:hint="eastAsia" w:ascii="宋体" w:hAnsi="宋体"/>
                <w:b/>
                <w:sz w:val="24"/>
                <w:szCs w:val="24"/>
              </w:rPr>
              <w:t>公司聚焦“高端化、智能化、绿色化、国产化”产品定位，构建“3+5+3”太重特色产品体系，围绕国家“双碳”政策背景和新能源发展趋势，打造出纯电、氢燃料、甲醇动力等多种新能源动力装备，让绿色成为太重装备的鲜明底色。请您介绍一下公司公司的特色产品体系？</w:t>
            </w:r>
          </w:p>
          <w:p w14:paraId="1150B8A1">
            <w:pPr>
              <w:pStyle w:val="8"/>
              <w:spacing w:line="460" w:lineRule="exact"/>
              <w:rPr>
                <w:rFonts w:hint="eastAsia" w:ascii="宋体" w:hAnsi="宋体"/>
                <w:sz w:val="24"/>
                <w:szCs w:val="24"/>
              </w:rPr>
            </w:pPr>
            <w:r>
              <w:rPr>
                <w:rFonts w:hint="eastAsia" w:ascii="宋体" w:hAnsi="宋体"/>
                <w:sz w:val="24"/>
                <w:szCs w:val="24"/>
              </w:rPr>
              <w:t>您好，公司瞄准高端化、智能化、绿色化、国产化产品定位，通过做强传统产品，做优战新产品，做精批量产品，做好未来产品，持续提升产品的智能化、绿色化水平，感谢您对公司的关注。</w:t>
            </w:r>
          </w:p>
          <w:p w14:paraId="341B05A6">
            <w:pPr>
              <w:pStyle w:val="8"/>
              <w:spacing w:line="460" w:lineRule="exact"/>
              <w:ind w:firstLine="482" w:firstLineChars="200"/>
              <w:rPr>
                <w:rFonts w:hint="eastAsia" w:ascii="宋体" w:hAnsi="宋体" w:eastAsia="宋体"/>
                <w:b/>
                <w:sz w:val="24"/>
                <w:szCs w:val="24"/>
                <w:lang w:eastAsia="zh-CN"/>
              </w:rPr>
            </w:pPr>
            <w:r>
              <w:rPr>
                <w:rFonts w:ascii="宋体" w:hAnsi="宋体"/>
                <w:b/>
                <w:sz w:val="24"/>
                <w:szCs w:val="24"/>
              </w:rPr>
              <w:t>5、</w:t>
            </w:r>
            <w:r>
              <w:rPr>
                <w:rFonts w:hint="eastAsia" w:ascii="宋体" w:hAnsi="宋体"/>
                <w:b/>
                <w:sz w:val="24"/>
                <w:szCs w:val="24"/>
              </w:rPr>
              <w:t>公司接下来面临的最大挑战是什么？</w:t>
            </w:r>
          </w:p>
          <w:p w14:paraId="0E6D25A9">
            <w:pPr>
              <w:pStyle w:val="8"/>
              <w:spacing w:line="460" w:lineRule="exact"/>
              <w:ind w:left="-2" w:leftChars="-1" w:firstLine="480"/>
              <w:rPr>
                <w:rFonts w:ascii="宋体" w:hAnsi="宋体"/>
                <w:sz w:val="24"/>
                <w:szCs w:val="24"/>
              </w:rPr>
            </w:pPr>
            <w:r>
              <w:rPr>
                <w:rFonts w:hint="eastAsia" w:ascii="宋体" w:hAnsi="宋体"/>
                <w:sz w:val="24"/>
                <w:szCs w:val="24"/>
              </w:rPr>
              <w:t>您好，公司聚焦“六新”突破，传统产品加快提升附加值，转型产品优化拓展产品结构，批量产品实现规模化布局，不断推动先进制造业高质量发展。感谢您对公司的关注。</w:t>
            </w:r>
            <w:bookmarkStart w:id="0" w:name="_GoBack"/>
            <w:bookmarkEnd w:id="0"/>
          </w:p>
          <w:p w14:paraId="4EEC1C7B">
            <w:pPr>
              <w:pStyle w:val="8"/>
              <w:spacing w:line="460" w:lineRule="exact"/>
              <w:ind w:firstLine="120" w:firstLineChars="50"/>
              <w:rPr>
                <w:rFonts w:ascii="宋体" w:hAnsi="宋体"/>
                <w:bCs/>
                <w:iCs/>
                <w:color w:val="000000"/>
                <w:sz w:val="24"/>
              </w:rPr>
            </w:pPr>
          </w:p>
        </w:tc>
      </w:tr>
    </w:tbl>
    <w:p w14:paraId="0FA594C2"/>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C0C3">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D8B2">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wN2M5ZmU3MzUyYWE4YjEyMzM1MWE4ODcxZmM0ZGEifQ=="/>
  </w:docVars>
  <w:rsids>
    <w:rsidRoot w:val="006861C7"/>
    <w:rsid w:val="000268C0"/>
    <w:rsid w:val="000363B5"/>
    <w:rsid w:val="000375D7"/>
    <w:rsid w:val="00043015"/>
    <w:rsid w:val="00046DDE"/>
    <w:rsid w:val="00047EB9"/>
    <w:rsid w:val="00060A74"/>
    <w:rsid w:val="00065075"/>
    <w:rsid w:val="00067110"/>
    <w:rsid w:val="0009298A"/>
    <w:rsid w:val="000A2808"/>
    <w:rsid w:val="000A3BAC"/>
    <w:rsid w:val="000C26FD"/>
    <w:rsid w:val="000C2D85"/>
    <w:rsid w:val="000E5700"/>
    <w:rsid w:val="000F0C4B"/>
    <w:rsid w:val="000F0E22"/>
    <w:rsid w:val="00105A04"/>
    <w:rsid w:val="001169A9"/>
    <w:rsid w:val="00122DC0"/>
    <w:rsid w:val="00125EB2"/>
    <w:rsid w:val="00142A4C"/>
    <w:rsid w:val="00144279"/>
    <w:rsid w:val="001452FF"/>
    <w:rsid w:val="00165B08"/>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1A61"/>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86D6B"/>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4830"/>
    <w:rsid w:val="00FC6884"/>
    <w:rsid w:val="00FE62F3"/>
    <w:rsid w:val="00FF71D2"/>
    <w:rsid w:val="12BC1BA1"/>
    <w:rsid w:val="1B2418A5"/>
    <w:rsid w:val="1F8118CE"/>
    <w:rsid w:val="1FBFC074"/>
    <w:rsid w:val="2B1F7D54"/>
    <w:rsid w:val="36FB9E1F"/>
    <w:rsid w:val="3BFA3B96"/>
    <w:rsid w:val="3CEF3472"/>
    <w:rsid w:val="3E9A01F4"/>
    <w:rsid w:val="3EFF16E9"/>
    <w:rsid w:val="5D011713"/>
    <w:rsid w:val="675903F8"/>
    <w:rsid w:val="690F61A0"/>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_Style 6"/>
    <w:basedOn w:val="1"/>
    <w:autoRedefine/>
    <w:qFormat/>
    <w:uiPriority w:val="34"/>
    <w:pPr>
      <w:ind w:firstLine="420" w:firstLineChars="200"/>
    </w:pPr>
    <w:rPr>
      <w:rFonts w:ascii="Calibri" w:hAnsi="Calibri"/>
      <w:szCs w:val="22"/>
    </w:rPr>
  </w:style>
  <w:style w:type="paragraph" w:customStyle="1" w:styleId="9">
    <w:name w:val="Char Char Char"/>
    <w:basedOn w:val="1"/>
    <w:autoRedefine/>
    <w:qFormat/>
    <w:uiPriority w:val="0"/>
    <w:rPr>
      <w:szCs w:val="21"/>
    </w:rPr>
  </w:style>
  <w:style w:type="paragraph" w:customStyle="1" w:styleId="10">
    <w:name w:val="Char Char Char Char Char Char Char Char Char Char Char Char Char Char Char Char"/>
    <w:basedOn w:val="1"/>
    <w:autoRedefine/>
    <w:qFormat/>
    <w:uiPriority w:val="0"/>
  </w:style>
  <w:style w:type="paragraph" w:customStyle="1" w:styleId="11">
    <w:name w:val="Char Char Char1"/>
    <w:basedOn w:val="1"/>
    <w:autoRedefine/>
    <w:qFormat/>
    <w:uiPriority w:val="0"/>
  </w:style>
  <w:style w:type="character" w:customStyle="1" w:styleId="12">
    <w:name w:val="页脚 Char"/>
    <w:basedOn w:val="7"/>
    <w:link w:val="3"/>
    <w:autoRedefine/>
    <w:qFormat/>
    <w:uiPriority w:val="0"/>
    <w:rPr>
      <w:kern w:val="2"/>
      <w:sz w:val="18"/>
      <w:szCs w:val="18"/>
    </w:rPr>
  </w:style>
  <w:style w:type="character" w:customStyle="1" w:styleId="13">
    <w:name w:val="页眉 Char"/>
    <w:basedOn w:val="7"/>
    <w:link w:val="4"/>
    <w:autoRedefine/>
    <w:qFormat/>
    <w:uiPriority w:val="0"/>
    <w:rPr>
      <w:kern w:val="2"/>
      <w:sz w:val="18"/>
      <w:szCs w:val="18"/>
    </w:rPr>
  </w:style>
  <w:style w:type="character" w:customStyle="1" w:styleId="14">
    <w:name w:val="批注框文本 Char"/>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972</Words>
  <Characters>1048</Characters>
  <Lines>25</Lines>
  <Paragraphs>7</Paragraphs>
  <TotalTime>9</TotalTime>
  <ScaleCrop>false</ScaleCrop>
  <LinksUpToDate>false</LinksUpToDate>
  <CharactersWithSpaces>1179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ZQB</cp:lastModifiedBy>
  <cp:lastPrinted>2014-02-21T05:34:00Z</cp:lastPrinted>
  <dcterms:modified xsi:type="dcterms:W3CDTF">2024-11-19T08:22:30Z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3378DF92D5494EA79182626F58817F75</vt:lpwstr>
  </property>
</Properties>
</file>