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C55B4">
      <w:pPr>
        <w:jc w:val="left"/>
        <w:rPr>
          <w:rFonts w:ascii="宋体" w:hAnsi="宋体" w:cs="宋体"/>
          <w:bCs/>
          <w:iCs/>
          <w:color w:val="000000"/>
          <w:sz w:val="24"/>
        </w:rPr>
      </w:pPr>
      <w:r>
        <w:rPr>
          <w:rFonts w:hint="eastAsia" w:ascii="宋体" w:hAnsi="宋体" w:cs="宋体"/>
          <w:bCs/>
          <w:iCs/>
          <w:color w:val="000000"/>
          <w:sz w:val="24"/>
        </w:rPr>
        <w:t>证券代码：</w:t>
      </w:r>
      <w:r>
        <w:rPr>
          <w:bCs/>
          <w:iCs/>
          <w:color w:val="000000"/>
          <w:sz w:val="24"/>
        </w:rPr>
        <w:t>603390</w:t>
      </w:r>
      <w:r>
        <w:rPr>
          <w:rFonts w:hint="eastAsia" w:ascii="宋体" w:hAnsi="宋体" w:cs="宋体"/>
          <w:bCs/>
          <w:iCs/>
          <w:color w:val="000000"/>
          <w:sz w:val="24"/>
        </w:rPr>
        <w:t xml:space="preserve">                                  证券简称：通达电气</w:t>
      </w:r>
    </w:p>
    <w:p w14:paraId="1926562B">
      <w:pPr>
        <w:spacing w:before="468" w:beforeLines="150" w:after="156" w:afterLines="50" w:line="400" w:lineRule="exact"/>
        <w:jc w:val="center"/>
        <w:rPr>
          <w:rFonts w:ascii="宋体" w:hAnsi="宋体" w:cs="宋体"/>
          <w:b/>
          <w:bCs/>
          <w:iCs/>
          <w:color w:val="000000"/>
          <w:sz w:val="32"/>
          <w:szCs w:val="32"/>
        </w:rPr>
      </w:pPr>
      <w:r>
        <w:rPr>
          <w:rFonts w:hint="eastAsia" w:ascii="宋体" w:hAnsi="宋体" w:cs="宋体"/>
          <w:b/>
          <w:bCs/>
          <w:iCs/>
          <w:color w:val="000000"/>
          <w:sz w:val="32"/>
          <w:szCs w:val="32"/>
        </w:rPr>
        <w:t>广州通达汽车电气股份有限公司</w:t>
      </w:r>
    </w:p>
    <w:p w14:paraId="4AA7D7AB">
      <w:pPr>
        <w:spacing w:before="156" w:beforeLines="50" w:after="468" w:afterLines="150" w:line="400" w:lineRule="exact"/>
        <w:jc w:val="center"/>
        <w:rPr>
          <w:rFonts w:ascii="宋体" w:hAnsi="宋体" w:cs="宋体"/>
          <w:b/>
          <w:bCs/>
          <w:iCs/>
          <w:color w:val="000000"/>
          <w:sz w:val="32"/>
          <w:szCs w:val="32"/>
        </w:rPr>
      </w:pPr>
      <w:r>
        <w:rPr>
          <w:rFonts w:hint="eastAsia" w:ascii="宋体" w:hAnsi="宋体" w:cs="宋体"/>
          <w:b/>
          <w:bCs/>
          <w:iCs/>
          <w:color w:val="000000"/>
          <w:sz w:val="32"/>
          <w:szCs w:val="32"/>
        </w:rPr>
        <w:t>投资者关系活动记录表</w:t>
      </w:r>
    </w:p>
    <w:p w14:paraId="200A90A7">
      <w:pPr>
        <w:wordWrap w:val="0"/>
        <w:spacing w:line="400" w:lineRule="exact"/>
        <w:ind w:right="-57" w:rightChars="-27"/>
        <w:jc w:val="right"/>
        <w:rPr>
          <w:bCs/>
          <w:iCs/>
          <w:color w:val="000000"/>
          <w:highlight w:val="yellow"/>
        </w:rPr>
      </w:pPr>
      <w:r>
        <w:rPr>
          <w:bCs/>
          <w:iCs/>
          <w:color w:val="000000"/>
        </w:rPr>
        <w:t>编号：</w:t>
      </w:r>
      <w:r>
        <w:rPr>
          <w:rFonts w:hint="eastAsia"/>
          <w:bCs/>
          <w:iCs/>
          <w:color w:val="000000"/>
        </w:rPr>
        <w:t>202</w:t>
      </w:r>
      <w:r>
        <w:rPr>
          <w:bCs/>
          <w:iCs/>
          <w:color w:val="000000"/>
        </w:rPr>
        <w:t>4</w:t>
      </w:r>
      <w:r>
        <w:rPr>
          <w:rFonts w:hint="eastAsia"/>
          <w:bCs/>
          <w:iCs/>
          <w:color w:val="000000"/>
        </w:rPr>
        <w:t>-00</w:t>
      </w:r>
      <w:r>
        <w:rPr>
          <w:rFonts w:hint="eastAsia"/>
          <w:bCs/>
          <w:iCs/>
          <w:color w:val="000000"/>
          <w:highlight w:val="yellow"/>
          <w:lang w:val="en-US" w:eastAsia="zh-CN"/>
        </w:rPr>
        <w:t>3</w:t>
      </w:r>
    </w:p>
    <w:tbl>
      <w:tblPr>
        <w:tblStyle w:val="8"/>
        <w:tblW w:w="51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6830"/>
      </w:tblGrid>
      <w:tr w14:paraId="0AF1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1101" w:type="pct"/>
            <w:vAlign w:val="center"/>
          </w:tcPr>
          <w:p w14:paraId="5A3EA6ED">
            <w:pPr>
              <w:spacing w:line="480" w:lineRule="atLeast"/>
              <w:jc w:val="center"/>
              <w:rPr>
                <w:b/>
                <w:bCs/>
                <w:iCs/>
                <w:color w:val="000000"/>
                <w:sz w:val="24"/>
              </w:rPr>
            </w:pPr>
            <w:r>
              <w:rPr>
                <w:rFonts w:hint="eastAsia" w:ascii="宋体" w:hAnsi="宋体" w:cs="宋体"/>
                <w:b/>
                <w:bCs/>
                <w:iCs/>
                <w:color w:val="000000"/>
                <w:sz w:val="24"/>
              </w:rPr>
              <w:t>投资者关系活动类别</w:t>
            </w:r>
          </w:p>
        </w:tc>
        <w:tc>
          <w:tcPr>
            <w:tcW w:w="3899" w:type="pct"/>
            <w:vAlign w:val="center"/>
          </w:tcPr>
          <w:p w14:paraId="704E9A45">
            <w:pPr>
              <w:spacing w:line="480" w:lineRule="atLeast"/>
              <w:ind w:firstLine="120" w:firstLineChars="50"/>
              <w:rPr>
                <w:sz w:val="24"/>
              </w:rPr>
            </w:pPr>
            <w:r>
              <w:rPr>
                <w:sz w:val="24"/>
              </w:rPr>
              <w:sym w:font="Wingdings 2" w:char="00A3"/>
            </w:r>
            <w:r>
              <w:rPr>
                <w:bCs/>
                <w:iCs/>
                <w:color w:val="000000"/>
                <w:sz w:val="24"/>
              </w:rPr>
              <w:t xml:space="preserve"> </w:t>
            </w:r>
            <w:r>
              <w:rPr>
                <w:sz w:val="24"/>
              </w:rPr>
              <w:t xml:space="preserve">特定对象调研   </w:t>
            </w:r>
            <w:r>
              <w:rPr>
                <w:sz w:val="24"/>
              </w:rPr>
              <w:sym w:font="Wingdings 2" w:char="00A3"/>
            </w:r>
            <w:r>
              <w:rPr>
                <w:rFonts w:hint="eastAsia"/>
                <w:sz w:val="24"/>
              </w:rPr>
              <w:t xml:space="preserve"> </w:t>
            </w:r>
            <w:r>
              <w:rPr>
                <w:sz w:val="24"/>
              </w:rPr>
              <w:t xml:space="preserve">分析师会议      </w:t>
            </w:r>
            <w:r>
              <w:rPr>
                <w:bCs/>
                <w:iCs/>
                <w:color w:val="000000"/>
                <w:sz w:val="24"/>
              </w:rPr>
              <w:sym w:font="Wingdings 2" w:char="00A3"/>
            </w:r>
            <w:r>
              <w:rPr>
                <w:rFonts w:hint="eastAsia"/>
                <w:bCs/>
                <w:iCs/>
                <w:color w:val="000000"/>
                <w:sz w:val="24"/>
              </w:rPr>
              <w:t xml:space="preserve"> </w:t>
            </w:r>
            <w:r>
              <w:rPr>
                <w:sz w:val="24"/>
              </w:rPr>
              <w:t xml:space="preserve">媒体采访   </w:t>
            </w:r>
          </w:p>
          <w:p w14:paraId="05E7722F">
            <w:pPr>
              <w:spacing w:line="480" w:lineRule="atLeast"/>
              <w:ind w:firstLine="120" w:firstLineChars="50"/>
              <w:rPr>
                <w:sz w:val="24"/>
              </w:rPr>
            </w:pPr>
            <w:r>
              <w:rPr>
                <w:rFonts w:ascii="Segoe UI Symbol" w:hAnsi="Segoe UI Symbol" w:cs="Segoe UI Symbol"/>
                <w:sz w:val="24"/>
              </w:rPr>
              <w:t>☑</w:t>
            </w:r>
            <w:r>
              <w:rPr>
                <w:rFonts w:hint="eastAsia"/>
                <w:sz w:val="24"/>
              </w:rPr>
              <w:t xml:space="preserve"> </w:t>
            </w:r>
            <w:r>
              <w:rPr>
                <w:sz w:val="24"/>
              </w:rPr>
              <w:t>业绩说明会</w:t>
            </w:r>
            <w:r>
              <w:rPr>
                <w:rFonts w:hint="eastAsia"/>
                <w:sz w:val="24"/>
              </w:rPr>
              <w:t xml:space="preserve">     </w:t>
            </w:r>
            <w:r>
              <w:rPr>
                <w:bCs/>
                <w:iCs/>
                <w:color w:val="000000"/>
                <w:sz w:val="24"/>
              </w:rPr>
              <w:sym w:font="Wingdings 2" w:char="00A3"/>
            </w:r>
            <w:r>
              <w:rPr>
                <w:rFonts w:hint="eastAsia"/>
                <w:bCs/>
                <w:iCs/>
                <w:color w:val="000000"/>
                <w:sz w:val="24"/>
              </w:rPr>
              <w:t xml:space="preserve"> </w:t>
            </w:r>
            <w:r>
              <w:rPr>
                <w:sz w:val="24"/>
              </w:rPr>
              <w:t xml:space="preserve">新闻发布会    </w:t>
            </w:r>
            <w:r>
              <w:rPr>
                <w:rFonts w:hint="eastAsia"/>
                <w:sz w:val="24"/>
              </w:rPr>
              <w:t xml:space="preserve"> </w:t>
            </w:r>
            <w:r>
              <w:rPr>
                <w:sz w:val="24"/>
              </w:rPr>
              <w:t xml:space="preserve"> </w:t>
            </w:r>
            <w:r>
              <w:rPr>
                <w:bCs/>
                <w:iCs/>
                <w:color w:val="000000"/>
                <w:sz w:val="24"/>
              </w:rPr>
              <w:sym w:font="Wingdings 2" w:char="00A3"/>
            </w:r>
            <w:r>
              <w:rPr>
                <w:rFonts w:hint="eastAsia"/>
                <w:bCs/>
                <w:iCs/>
                <w:color w:val="000000"/>
                <w:sz w:val="24"/>
              </w:rPr>
              <w:t xml:space="preserve"> </w:t>
            </w:r>
            <w:r>
              <w:rPr>
                <w:sz w:val="24"/>
              </w:rPr>
              <w:t xml:space="preserve">路演活动    </w:t>
            </w:r>
          </w:p>
          <w:p w14:paraId="771B53CC">
            <w:pPr>
              <w:spacing w:line="480" w:lineRule="atLeast"/>
              <w:ind w:firstLine="120" w:firstLineChars="50"/>
              <w:rPr>
                <w:bCs/>
                <w:iCs/>
                <w:color w:val="000000"/>
                <w:sz w:val="24"/>
              </w:rPr>
            </w:pPr>
            <w:r>
              <w:rPr>
                <w:bCs/>
                <w:iCs/>
                <w:color w:val="000000"/>
                <w:sz w:val="24"/>
              </w:rPr>
              <w:sym w:font="Wingdings 2" w:char="00A3"/>
            </w:r>
            <w:r>
              <w:rPr>
                <w:rFonts w:hint="eastAsia"/>
                <w:bCs/>
                <w:iCs/>
                <w:color w:val="000000"/>
                <w:sz w:val="24"/>
              </w:rPr>
              <w:t xml:space="preserve"> </w:t>
            </w:r>
            <w:r>
              <w:rPr>
                <w:sz w:val="24"/>
              </w:rPr>
              <w:t>现场</w:t>
            </w:r>
            <w:r>
              <w:rPr>
                <w:rFonts w:hint="eastAsia"/>
                <w:sz w:val="24"/>
              </w:rPr>
              <w:t>交流</w:t>
            </w:r>
            <w:r>
              <w:rPr>
                <w:sz w:val="24"/>
              </w:rPr>
              <w:t xml:space="preserve">    </w:t>
            </w:r>
            <w:r>
              <w:rPr>
                <w:rFonts w:hint="eastAsia"/>
                <w:sz w:val="24"/>
              </w:rPr>
              <w:t xml:space="preserve">   </w:t>
            </w:r>
            <w:r>
              <w:rPr>
                <w:bCs/>
                <w:iCs/>
                <w:color w:val="000000"/>
                <w:sz w:val="24"/>
              </w:rPr>
              <w:sym w:font="Wingdings 2" w:char="00A3"/>
            </w:r>
            <w:r>
              <w:rPr>
                <w:bCs/>
                <w:iCs/>
                <w:color w:val="000000"/>
                <w:sz w:val="24"/>
              </w:rPr>
              <w:t xml:space="preserve"> </w:t>
            </w:r>
            <w:r>
              <w:rPr>
                <w:rFonts w:hint="eastAsia"/>
                <w:sz w:val="24"/>
              </w:rPr>
              <w:t xml:space="preserve">电话会议        </w:t>
            </w:r>
            <w:r>
              <w:rPr>
                <w:bCs/>
                <w:iCs/>
                <w:color w:val="000000"/>
                <w:sz w:val="24"/>
              </w:rPr>
              <w:sym w:font="Wingdings 2" w:char="00A3"/>
            </w:r>
            <w:r>
              <w:rPr>
                <w:rFonts w:hint="eastAsia"/>
                <w:sz w:val="24"/>
              </w:rPr>
              <w:t xml:space="preserve"> 投资者交流会</w:t>
            </w:r>
          </w:p>
        </w:tc>
      </w:tr>
      <w:tr w14:paraId="5983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101" w:type="pct"/>
            <w:vAlign w:val="center"/>
          </w:tcPr>
          <w:p w14:paraId="77311E0A">
            <w:pPr>
              <w:spacing w:line="480" w:lineRule="atLeast"/>
              <w:jc w:val="center"/>
              <w:rPr>
                <w:b/>
                <w:bCs/>
                <w:iCs/>
                <w:color w:val="000000"/>
                <w:sz w:val="24"/>
              </w:rPr>
            </w:pPr>
            <w:r>
              <w:rPr>
                <w:rFonts w:hint="eastAsia" w:ascii="宋体" w:hAnsi="宋体" w:cs="宋体"/>
                <w:b/>
                <w:bCs/>
                <w:iCs/>
                <w:color w:val="000000"/>
                <w:sz w:val="24"/>
              </w:rPr>
              <w:t>参与单位及人员</w:t>
            </w:r>
          </w:p>
        </w:tc>
        <w:tc>
          <w:tcPr>
            <w:tcW w:w="3899" w:type="pct"/>
            <w:vAlign w:val="center"/>
          </w:tcPr>
          <w:p w14:paraId="2B3064FD">
            <w:pPr>
              <w:pStyle w:val="6"/>
              <w:widowControl/>
              <w:spacing w:before="156" w:beforeLines="50" w:beforeAutospacing="0" w:after="156" w:afterLines="50" w:afterAutospacing="0" w:line="400" w:lineRule="exact"/>
              <w:rPr>
                <w:rFonts w:ascii="宋体" w:hAnsi="宋体" w:eastAsia="宋体" w:cs="宋体"/>
                <w:bCs/>
                <w:iCs/>
                <w:color w:val="000000"/>
              </w:rPr>
            </w:pPr>
            <w:r>
              <w:rPr>
                <w:rFonts w:hint="eastAsia" w:ascii="宋体" w:hAnsi="宋体" w:eastAsia="宋体" w:cs="宋体"/>
                <w:bCs/>
                <w:iCs/>
                <w:color w:val="000000"/>
              </w:rPr>
              <w:t>通过网络文字互动的方式参加公司</w:t>
            </w:r>
            <w:r>
              <w:rPr>
                <w:rFonts w:hint="eastAsia" w:eastAsia="宋体"/>
                <w:bCs/>
                <w:iCs/>
                <w:color w:val="000000"/>
              </w:rPr>
              <w:t>2024年</w:t>
            </w:r>
            <w:r>
              <w:rPr>
                <w:rFonts w:hint="eastAsia" w:eastAsia="宋体"/>
                <w:bCs/>
                <w:iCs/>
                <w:color w:val="000000"/>
                <w:lang w:val="en-US" w:eastAsia="zh-CN"/>
              </w:rPr>
              <w:t>第三季</w:t>
            </w:r>
            <w:r>
              <w:rPr>
                <w:rFonts w:hint="eastAsia" w:eastAsia="宋体"/>
                <w:bCs/>
                <w:iCs/>
                <w:color w:val="000000"/>
              </w:rPr>
              <w:t>度业绩说明会</w:t>
            </w:r>
            <w:r>
              <w:rPr>
                <w:rFonts w:hint="eastAsia" w:ascii="宋体" w:hAnsi="宋体" w:eastAsia="宋体" w:cs="宋体"/>
                <w:bCs/>
                <w:iCs/>
                <w:color w:val="000000"/>
              </w:rPr>
              <w:t>的投资者</w:t>
            </w:r>
          </w:p>
        </w:tc>
      </w:tr>
      <w:tr w14:paraId="5CDC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01" w:type="pct"/>
            <w:vAlign w:val="center"/>
          </w:tcPr>
          <w:p w14:paraId="2C6D2DD9">
            <w:pPr>
              <w:spacing w:line="480" w:lineRule="atLeast"/>
              <w:jc w:val="center"/>
              <w:rPr>
                <w:rFonts w:ascii="宋体" w:hAnsi="宋体" w:cs="宋体"/>
                <w:b/>
                <w:bCs/>
                <w:iCs/>
                <w:color w:val="000000"/>
                <w:sz w:val="24"/>
              </w:rPr>
            </w:pPr>
            <w:r>
              <w:rPr>
                <w:rFonts w:hint="eastAsia" w:ascii="宋体" w:hAnsi="宋体" w:cs="宋体"/>
                <w:b/>
                <w:bCs/>
                <w:iCs/>
                <w:color w:val="000000"/>
                <w:sz w:val="24"/>
              </w:rPr>
              <w:t>时间</w:t>
            </w:r>
          </w:p>
        </w:tc>
        <w:tc>
          <w:tcPr>
            <w:tcW w:w="3899" w:type="pct"/>
          </w:tcPr>
          <w:p w14:paraId="382B5AE2">
            <w:pPr>
              <w:spacing w:line="480" w:lineRule="atLeast"/>
              <w:jc w:val="left"/>
              <w:rPr>
                <w:rFonts w:ascii="宋体" w:hAnsi="宋体" w:cs="宋体"/>
                <w:bCs/>
                <w:iCs/>
                <w:color w:val="000000"/>
                <w:sz w:val="24"/>
              </w:rPr>
            </w:pPr>
            <w:r>
              <w:rPr>
                <w:rFonts w:hint="eastAsia"/>
                <w:color w:val="000000"/>
                <w:kern w:val="0"/>
                <w:sz w:val="24"/>
              </w:rPr>
              <w:t>2</w:t>
            </w:r>
            <w:r>
              <w:rPr>
                <w:rFonts w:hint="eastAsia" w:cs="宋体"/>
                <w:color w:val="000000"/>
                <w:kern w:val="0"/>
                <w:sz w:val="24"/>
              </w:rPr>
              <w:t>02</w:t>
            </w:r>
            <w:r>
              <w:rPr>
                <w:rFonts w:cs="宋体"/>
                <w:color w:val="000000"/>
                <w:kern w:val="0"/>
                <w:sz w:val="24"/>
              </w:rPr>
              <w:t>4</w:t>
            </w:r>
            <w:r>
              <w:rPr>
                <w:rFonts w:hint="eastAsia" w:cs="宋体"/>
                <w:color w:val="000000"/>
                <w:kern w:val="0"/>
                <w:sz w:val="24"/>
              </w:rPr>
              <w:t>年1</w:t>
            </w:r>
            <w:r>
              <w:rPr>
                <w:rFonts w:hint="eastAsia" w:cs="宋体"/>
                <w:color w:val="000000"/>
                <w:kern w:val="0"/>
                <w:sz w:val="24"/>
                <w:lang w:val="en-US" w:eastAsia="zh-CN"/>
              </w:rPr>
              <w:t>1</w:t>
            </w:r>
            <w:r>
              <w:rPr>
                <w:rFonts w:hint="eastAsia" w:cs="宋体"/>
                <w:color w:val="000000"/>
                <w:kern w:val="0"/>
                <w:sz w:val="24"/>
              </w:rPr>
              <w:t>月</w:t>
            </w:r>
            <w:r>
              <w:rPr>
                <w:rFonts w:cs="宋体"/>
                <w:color w:val="000000"/>
                <w:kern w:val="0"/>
                <w:sz w:val="24"/>
              </w:rPr>
              <w:t>1</w:t>
            </w:r>
            <w:r>
              <w:rPr>
                <w:rFonts w:hint="eastAsia" w:cs="宋体"/>
                <w:color w:val="000000"/>
                <w:kern w:val="0"/>
                <w:sz w:val="24"/>
                <w:lang w:val="en-US" w:eastAsia="zh-CN"/>
              </w:rPr>
              <w:t>9</w:t>
            </w:r>
            <w:r>
              <w:rPr>
                <w:rFonts w:hint="eastAsia" w:cs="宋体"/>
                <w:color w:val="000000"/>
                <w:kern w:val="0"/>
                <w:sz w:val="24"/>
              </w:rPr>
              <w:t>日上午1</w:t>
            </w:r>
            <w:r>
              <w:rPr>
                <w:rFonts w:hint="eastAsia" w:cs="宋体"/>
                <w:color w:val="000000"/>
                <w:kern w:val="0"/>
                <w:sz w:val="24"/>
                <w:lang w:val="en-US" w:eastAsia="zh-CN"/>
              </w:rPr>
              <w:t>1</w:t>
            </w:r>
            <w:r>
              <w:rPr>
                <w:rFonts w:hint="eastAsia" w:cs="宋体"/>
                <w:color w:val="000000"/>
                <w:kern w:val="0"/>
                <w:sz w:val="24"/>
              </w:rPr>
              <w:t>:00-1</w:t>
            </w:r>
            <w:r>
              <w:rPr>
                <w:rFonts w:hint="eastAsia" w:cs="宋体"/>
                <w:color w:val="000000"/>
                <w:kern w:val="0"/>
                <w:sz w:val="24"/>
                <w:lang w:val="en-US" w:eastAsia="zh-CN"/>
              </w:rPr>
              <w:t>2</w:t>
            </w:r>
            <w:r>
              <w:rPr>
                <w:rFonts w:hint="eastAsia" w:cs="宋体"/>
                <w:color w:val="000000"/>
                <w:kern w:val="0"/>
                <w:sz w:val="24"/>
              </w:rPr>
              <w:t>:</w:t>
            </w:r>
            <w:r>
              <w:rPr>
                <w:rFonts w:cs="宋体"/>
                <w:color w:val="000000"/>
                <w:kern w:val="0"/>
                <w:sz w:val="24"/>
              </w:rPr>
              <w:t>0</w:t>
            </w:r>
            <w:r>
              <w:rPr>
                <w:rFonts w:hint="eastAsia" w:cs="宋体"/>
                <w:color w:val="000000"/>
                <w:kern w:val="0"/>
                <w:sz w:val="24"/>
              </w:rPr>
              <w:t>0</w:t>
            </w:r>
          </w:p>
        </w:tc>
      </w:tr>
      <w:tr w14:paraId="3AAC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01" w:type="pct"/>
            <w:vAlign w:val="center"/>
          </w:tcPr>
          <w:p w14:paraId="3FF6D04D">
            <w:pPr>
              <w:spacing w:line="480" w:lineRule="atLeast"/>
              <w:jc w:val="center"/>
              <w:rPr>
                <w:rFonts w:ascii="宋体" w:hAnsi="宋体" w:cs="宋体"/>
                <w:b/>
                <w:bCs/>
                <w:iCs/>
                <w:color w:val="000000"/>
                <w:sz w:val="24"/>
              </w:rPr>
            </w:pPr>
            <w:r>
              <w:rPr>
                <w:rFonts w:hint="eastAsia" w:ascii="宋体" w:hAnsi="宋体" w:cs="宋体"/>
                <w:b/>
                <w:bCs/>
                <w:iCs/>
                <w:color w:val="000000"/>
                <w:sz w:val="24"/>
              </w:rPr>
              <w:t>地点</w:t>
            </w:r>
          </w:p>
        </w:tc>
        <w:tc>
          <w:tcPr>
            <w:tcW w:w="3899" w:type="pct"/>
          </w:tcPr>
          <w:p w14:paraId="305B797C">
            <w:pPr>
              <w:spacing w:line="480" w:lineRule="atLeast"/>
              <w:jc w:val="left"/>
              <w:rPr>
                <w:rFonts w:ascii="宋体" w:hAnsi="宋体" w:cs="宋体"/>
                <w:bCs/>
                <w:iCs/>
                <w:color w:val="000000"/>
                <w:sz w:val="24"/>
              </w:rPr>
            </w:pPr>
            <w:r>
              <w:rPr>
                <w:rFonts w:hint="eastAsia" w:ascii="宋体" w:hAnsi="宋体" w:cs="宋体"/>
                <w:bCs/>
                <w:iCs/>
                <w:color w:val="000000"/>
                <w:sz w:val="24"/>
              </w:rPr>
              <w:t>上证路演中心</w:t>
            </w:r>
            <w:bookmarkStart w:id="0" w:name="OLE_LINK1"/>
            <w:r>
              <w:rPr>
                <w:rFonts w:hint="eastAsia" w:ascii="宋体" w:hAnsi="宋体" w:cs="宋体"/>
                <w:bCs/>
                <w:iCs/>
                <w:color w:val="000000"/>
                <w:sz w:val="24"/>
              </w:rPr>
              <w:t>（</w:t>
            </w:r>
            <w:r>
              <w:rPr>
                <w:bCs/>
                <w:iCs/>
                <w:color w:val="000000"/>
                <w:sz w:val="24"/>
              </w:rPr>
              <w:t>roadshow.sseinfo.com</w:t>
            </w:r>
            <w:r>
              <w:rPr>
                <w:rFonts w:hint="eastAsia" w:ascii="宋体" w:hAnsi="宋体" w:cs="宋体"/>
                <w:bCs/>
                <w:iCs/>
                <w:color w:val="000000"/>
                <w:sz w:val="24"/>
              </w:rPr>
              <w:t>）</w:t>
            </w:r>
            <w:bookmarkEnd w:id="0"/>
          </w:p>
        </w:tc>
      </w:tr>
      <w:tr w14:paraId="7F0F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01" w:type="pct"/>
            <w:vAlign w:val="center"/>
          </w:tcPr>
          <w:p w14:paraId="1F33913C">
            <w:pPr>
              <w:spacing w:line="480" w:lineRule="atLeast"/>
              <w:jc w:val="center"/>
              <w:rPr>
                <w:rFonts w:ascii="宋体" w:hAnsi="宋体" w:cs="宋体"/>
                <w:b/>
                <w:bCs/>
                <w:iCs/>
                <w:color w:val="000000"/>
                <w:sz w:val="24"/>
              </w:rPr>
            </w:pPr>
            <w:r>
              <w:rPr>
                <w:rFonts w:hint="eastAsia" w:ascii="宋体" w:hAnsi="宋体" w:cs="宋体"/>
                <w:b/>
                <w:bCs/>
                <w:iCs/>
                <w:color w:val="000000"/>
                <w:sz w:val="24"/>
              </w:rPr>
              <w:t>公司接待人员</w:t>
            </w:r>
          </w:p>
        </w:tc>
        <w:tc>
          <w:tcPr>
            <w:tcW w:w="3899" w:type="pct"/>
          </w:tcPr>
          <w:p w14:paraId="35377D0A">
            <w:pPr>
              <w:spacing w:line="480" w:lineRule="atLeast"/>
              <w:jc w:val="left"/>
              <w:rPr>
                <w:rFonts w:ascii="宋体" w:hAnsi="宋体" w:cs="宋体"/>
                <w:bCs/>
                <w:iCs/>
                <w:color w:val="000000"/>
                <w:sz w:val="24"/>
              </w:rPr>
            </w:pPr>
            <w:r>
              <w:rPr>
                <w:rFonts w:hint="eastAsia" w:ascii="宋体" w:hAnsi="宋体" w:cs="宋体"/>
                <w:color w:val="000000"/>
                <w:kern w:val="0"/>
                <w:sz w:val="24"/>
              </w:rPr>
              <w:t>公司董事长陈丽娜女士、</w:t>
            </w:r>
            <w:r>
              <w:rPr>
                <w:rFonts w:hint="eastAsia" w:ascii="宋体" w:hAnsi="宋体" w:cs="宋体"/>
                <w:color w:val="000000"/>
                <w:kern w:val="0"/>
                <w:sz w:val="24"/>
                <w:lang w:val="en-US" w:eastAsia="zh-CN"/>
              </w:rPr>
              <w:t>董事兼</w:t>
            </w:r>
            <w:bookmarkStart w:id="1" w:name="_GoBack"/>
            <w:bookmarkEnd w:id="1"/>
            <w:r>
              <w:rPr>
                <w:rFonts w:hint="eastAsia" w:ascii="宋体" w:hAnsi="宋体" w:cs="宋体"/>
                <w:color w:val="000000"/>
                <w:kern w:val="0"/>
                <w:sz w:val="24"/>
              </w:rPr>
              <w:t>总经理蔡琳琳先生、独立董事</w:t>
            </w:r>
            <w:r>
              <w:rPr>
                <w:rFonts w:hint="eastAsia" w:ascii="宋体" w:hAnsi="宋体" w:cs="宋体"/>
                <w:color w:val="000000"/>
                <w:kern w:val="0"/>
                <w:sz w:val="24"/>
                <w:lang w:val="en-US" w:eastAsia="zh-CN"/>
              </w:rPr>
              <w:t>闫亚君</w:t>
            </w:r>
            <w:r>
              <w:rPr>
                <w:rFonts w:hint="eastAsia" w:ascii="宋体" w:hAnsi="宋体" w:cs="宋体"/>
                <w:color w:val="000000"/>
                <w:kern w:val="0"/>
                <w:sz w:val="24"/>
              </w:rPr>
              <w:t>先生、董事会秘书黄璇女士、财务总监吴淑妃女士及相关工作人员</w:t>
            </w:r>
          </w:p>
        </w:tc>
      </w:tr>
      <w:tr w14:paraId="0FEF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101" w:type="pct"/>
            <w:vAlign w:val="center"/>
          </w:tcPr>
          <w:p w14:paraId="047BBE7D">
            <w:pPr>
              <w:spacing w:line="480" w:lineRule="atLeast"/>
              <w:jc w:val="center"/>
              <w:rPr>
                <w:rFonts w:ascii="宋体" w:hAnsi="宋体" w:cs="宋体"/>
                <w:b/>
                <w:bCs/>
                <w:iCs/>
                <w:color w:val="000000"/>
                <w:sz w:val="24"/>
              </w:rPr>
            </w:pPr>
            <w:r>
              <w:rPr>
                <w:rFonts w:hint="eastAsia" w:ascii="宋体" w:hAnsi="宋体" w:cs="宋体"/>
                <w:b/>
                <w:bCs/>
                <w:iCs/>
                <w:color w:val="000000"/>
                <w:sz w:val="24"/>
              </w:rPr>
              <w:t>投资者关系活动主要内容介绍</w:t>
            </w:r>
          </w:p>
        </w:tc>
        <w:tc>
          <w:tcPr>
            <w:tcW w:w="3899" w:type="pct"/>
          </w:tcPr>
          <w:p w14:paraId="711F2708">
            <w:pPr>
              <w:spacing w:line="360" w:lineRule="auto"/>
              <w:ind w:firstLine="480"/>
              <w:rPr>
                <w:sz w:val="24"/>
              </w:rPr>
            </w:pPr>
            <w:r>
              <w:rPr>
                <w:rFonts w:hint="eastAsia"/>
                <w:sz w:val="24"/>
              </w:rPr>
              <w:t>参与</w:t>
            </w:r>
            <w:r>
              <w:rPr>
                <w:sz w:val="24"/>
              </w:rPr>
              <w:t>本次业绩说明会</w:t>
            </w:r>
            <w:r>
              <w:rPr>
                <w:rFonts w:hint="eastAsia"/>
                <w:sz w:val="24"/>
              </w:rPr>
              <w:t>的公司接待人员，在法律、法规及规范性文件等相关规定允许的范围内就投资者关注的问题予以及时答复，</w:t>
            </w:r>
            <w:r>
              <w:rPr>
                <w:sz w:val="24"/>
              </w:rPr>
              <w:t>不涉及应当披露的重大信息</w:t>
            </w:r>
            <w:r>
              <w:rPr>
                <w:rFonts w:hint="eastAsia"/>
                <w:sz w:val="24"/>
              </w:rPr>
              <w:t>，</w:t>
            </w:r>
            <w:r>
              <w:rPr>
                <w:sz w:val="24"/>
              </w:rPr>
              <w:t>公司就本次</w:t>
            </w:r>
            <w:r>
              <w:rPr>
                <w:rFonts w:hint="eastAsia"/>
                <w:sz w:val="24"/>
              </w:rPr>
              <w:t>业绩</w:t>
            </w:r>
            <w:r>
              <w:rPr>
                <w:sz w:val="24"/>
              </w:rPr>
              <w:t>说明会</w:t>
            </w:r>
            <w:r>
              <w:rPr>
                <w:rFonts w:hint="eastAsia"/>
                <w:sz w:val="24"/>
              </w:rPr>
              <w:t>网络文字互动环节主要内容</w:t>
            </w:r>
            <w:r>
              <w:rPr>
                <w:sz w:val="24"/>
              </w:rPr>
              <w:t>如下：</w:t>
            </w:r>
          </w:p>
          <w:p w14:paraId="79E8557D">
            <w:pPr>
              <w:numPr>
                <w:ilvl w:val="0"/>
                <w:numId w:val="1"/>
              </w:numPr>
              <w:spacing w:line="360" w:lineRule="auto"/>
              <w:ind w:firstLine="480"/>
              <w:rPr>
                <w:rFonts w:hint="eastAsia" w:ascii="Times New Roman" w:hAnsi="Times New Roman" w:eastAsia="宋体" w:cs="Times New Roman"/>
                <w:sz w:val="24"/>
                <w:lang w:val="en-US" w:eastAsia="zh-CN"/>
              </w:rPr>
            </w:pPr>
            <w:r>
              <w:rPr>
                <w:rFonts w:hint="eastAsia"/>
                <w:sz w:val="24"/>
                <w:lang w:val="en-US" w:eastAsia="zh-CN"/>
              </w:rPr>
              <w:t>公司</w:t>
            </w:r>
            <w:r>
              <w:rPr>
                <w:rFonts w:hint="eastAsia" w:ascii="Times New Roman" w:hAnsi="Times New Roman" w:eastAsia="宋体" w:cs="Times New Roman"/>
                <w:sz w:val="24"/>
                <w:lang w:val="en-US" w:eastAsia="zh-CN"/>
              </w:rPr>
              <w:t>第三季度营业收入同比增长明显，具体原因是什么？</w:t>
            </w:r>
          </w:p>
          <w:p w14:paraId="4CD17861">
            <w:pPr>
              <w:tabs>
                <w:tab w:val="left" w:pos="312"/>
              </w:tabs>
              <w:spacing w:line="360" w:lineRule="auto"/>
              <w:ind w:firstLine="480" w:firstLineChars="200"/>
              <w:rPr>
                <w:rFonts w:hint="eastAsia" w:ascii="Times New Roman" w:hAnsi="Times New Roman" w:eastAsia="宋体" w:cs="Times New Roman"/>
                <w:sz w:val="24"/>
                <w:lang w:val="en-US" w:eastAsia="zh-CN"/>
              </w:rPr>
            </w:pPr>
            <w:r>
              <w:rPr>
                <w:rFonts w:hint="eastAsia"/>
                <w:sz w:val="24"/>
              </w:rPr>
              <w:t>答：</w:t>
            </w:r>
            <w:r>
              <w:rPr>
                <w:rFonts w:hint="eastAsia" w:ascii="Times New Roman" w:hAnsi="Times New Roman" w:eastAsia="宋体" w:cs="Times New Roman"/>
                <w:sz w:val="24"/>
                <w:lang w:val="en-US" w:eastAsia="zh-CN"/>
              </w:rPr>
              <w:t>公司第三季度营业收入同比增长27.57%，主要原因是一方面客车市场回暖，下游客户对公司订单需求增加，车载智能系统、新能源汽车电机与热管理系统、公交多媒体信息发布系统、车载部件等四大产品系列营业收入均有不同程度的增长；另一方面，公司移动医疗业务市场开拓工作进一步取得成效，相关业务第三季度收入较上年同期增长约495%。</w:t>
            </w:r>
          </w:p>
          <w:p w14:paraId="2BEB51E3">
            <w:pPr>
              <w:numPr>
                <w:ilvl w:val="0"/>
                <w:numId w:val="1"/>
              </w:numPr>
              <w:spacing w:line="360" w:lineRule="auto"/>
              <w:ind w:firstLine="480"/>
              <w:rPr>
                <w:rFonts w:hint="eastAsia" w:ascii="宋体" w:hAnsi="宋体" w:eastAsia="宋体" w:cs="宋体"/>
                <w:sz w:val="24"/>
                <w:szCs w:val="24"/>
              </w:rPr>
            </w:pPr>
            <w:r>
              <w:rPr>
                <w:rFonts w:hint="eastAsia" w:ascii="宋体" w:hAnsi="宋体" w:eastAsia="宋体" w:cs="宋体"/>
                <w:sz w:val="24"/>
                <w:szCs w:val="32"/>
              </w:rPr>
              <w:t>公司称要加大面向监管职能部门的应用平台的开发及市场开拓力度，具体是什么产品，是否有获取订单？</w:t>
            </w:r>
          </w:p>
          <w:p w14:paraId="74251621">
            <w:pPr>
              <w:tabs>
                <w:tab w:val="left" w:pos="312"/>
              </w:tabs>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答：</w:t>
            </w:r>
            <w:r>
              <w:rPr>
                <w:rFonts w:hint="eastAsia" w:ascii="宋体" w:hAnsi="宋体" w:eastAsia="宋体" w:cs="宋体"/>
                <w:sz w:val="24"/>
                <w:szCs w:val="32"/>
              </w:rPr>
              <w:t>公司基于车载电气产品数据采集、云端数据分析及挖掘等功能，可面向行业监管部门提供涵盖车辆数据、车辆报警、新能源车补贴核查数据的应用平台，及其他城市综合交通运输运行监测与预警、应急指挥与协调联动、辅助决策分析、公众信息服务及整体业务管理的产品和服务。近年来，公司承担了广州市新能源智能汽车大数据监测平台升级改造项目。相关业务在市场开拓阶段，目前占公司主营业务收入比例仍较低，敬请投资者注意投资风险。</w:t>
            </w:r>
          </w:p>
          <w:p w14:paraId="1A340E20">
            <w:pPr>
              <w:numPr>
                <w:ilvl w:val="0"/>
                <w:numId w:val="1"/>
              </w:num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对于可能会面临的美国对中国产品加征高额关税的风险，是否会对公司的海外市场开拓工作造成影响？具体业务规划是什么？</w:t>
            </w:r>
          </w:p>
          <w:p w14:paraId="62763F5E">
            <w:pPr>
              <w:tabs>
                <w:tab w:val="left" w:pos="312"/>
              </w:tabs>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答：</w:t>
            </w:r>
            <w:r>
              <w:rPr>
                <w:rFonts w:hint="eastAsia" w:ascii="宋体" w:hAnsi="宋体" w:eastAsia="宋体" w:cs="宋体"/>
                <w:sz w:val="24"/>
                <w:szCs w:val="32"/>
              </w:rPr>
              <w:t>目前，公司产品的主要海外终端市场为越南、</w:t>
            </w:r>
            <w:r>
              <w:rPr>
                <w:rFonts w:hint="eastAsia" w:ascii="宋体" w:hAnsi="宋体" w:eastAsia="宋体" w:cs="宋体"/>
                <w:sz w:val="24"/>
                <w:szCs w:val="32"/>
                <w:lang w:val="en-US" w:eastAsia="zh-CN"/>
              </w:rPr>
              <w:t>沙特阿拉伯</w:t>
            </w:r>
            <w:r>
              <w:rPr>
                <w:rFonts w:hint="eastAsia" w:ascii="宋体" w:hAnsi="宋体" w:eastAsia="宋体" w:cs="宋体"/>
                <w:sz w:val="24"/>
                <w:szCs w:val="32"/>
              </w:rPr>
              <w:t>等亚洲国家或地区，结合市场需求分析，公司海外市场开拓的目标市场</w:t>
            </w:r>
            <w:r>
              <w:rPr>
                <w:rFonts w:hint="eastAsia" w:ascii="宋体" w:hAnsi="宋体" w:eastAsia="宋体" w:cs="宋体"/>
                <w:sz w:val="24"/>
                <w:szCs w:val="32"/>
                <w:lang w:val="en-US" w:eastAsia="zh-CN"/>
              </w:rPr>
              <w:t>暂时</w:t>
            </w:r>
            <w:r>
              <w:rPr>
                <w:rFonts w:hint="eastAsia" w:ascii="宋体" w:hAnsi="宋体" w:eastAsia="宋体" w:cs="宋体"/>
                <w:sz w:val="24"/>
                <w:szCs w:val="32"/>
              </w:rPr>
              <w:t>不包括美国。后续，公司将以已开拓的海外市场为基础，围绕一带一路沿途各国及巴西等部分美洲国家进行市场研究及开拓工作，积极与海外车企建立合作关系，搭建海外服务体系。近日，公司加入了公共交通国际联会（UITP），将以联会为平台，加强与参会的各公交运营商、制造商等成员单位的交流与合作。截至2024年三季度末，公司直接出口模式产生的营业收入占公司主营业务收入比例仍较低，敬请投资者注意投资风险。</w:t>
            </w:r>
          </w:p>
          <w:p w14:paraId="6D1F9741">
            <w:pPr>
              <w:spacing w:line="360" w:lineRule="auto"/>
              <w:ind w:firstLine="480"/>
              <w:rPr>
                <w:rFonts w:ascii="宋体" w:hAnsi="宋体" w:cs="宋体"/>
                <w:sz w:val="24"/>
              </w:rPr>
            </w:pPr>
            <w:r>
              <w:rPr>
                <w:rFonts w:hint="eastAsia" w:ascii="宋体" w:hAnsi="宋体" w:cs="宋体"/>
                <w:sz w:val="24"/>
              </w:rPr>
              <w:t>关于本次说明会的具体情况，投资者可登录上证路演中心（</w:t>
            </w:r>
            <w:r>
              <w:rPr>
                <w:sz w:val="24"/>
              </w:rPr>
              <w:t>roadshow.sseinfo.com</w:t>
            </w:r>
            <w:r>
              <w:rPr>
                <w:rFonts w:hint="eastAsia" w:ascii="宋体" w:hAnsi="宋体" w:cs="宋体"/>
                <w:sz w:val="24"/>
              </w:rPr>
              <w:t>）查看。</w:t>
            </w:r>
          </w:p>
        </w:tc>
      </w:tr>
      <w:tr w14:paraId="4592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01" w:type="pct"/>
          </w:tcPr>
          <w:p w14:paraId="32D0A633">
            <w:pPr>
              <w:spacing w:line="480" w:lineRule="atLeast"/>
              <w:jc w:val="center"/>
              <w:rPr>
                <w:rFonts w:ascii="宋体" w:hAnsi="宋体" w:cs="宋体"/>
                <w:b/>
                <w:bCs/>
                <w:iCs/>
                <w:color w:val="000000"/>
                <w:sz w:val="24"/>
              </w:rPr>
            </w:pPr>
            <w:r>
              <w:rPr>
                <w:rFonts w:hint="eastAsia" w:ascii="宋体" w:hAnsi="宋体" w:cs="宋体"/>
                <w:b/>
                <w:bCs/>
                <w:iCs/>
                <w:color w:val="000000"/>
                <w:sz w:val="24"/>
              </w:rPr>
              <w:t>整理日期</w:t>
            </w:r>
          </w:p>
        </w:tc>
        <w:tc>
          <w:tcPr>
            <w:tcW w:w="3899" w:type="pct"/>
          </w:tcPr>
          <w:p w14:paraId="699BC78B">
            <w:pPr>
              <w:spacing w:line="480" w:lineRule="atLeast"/>
              <w:jc w:val="left"/>
              <w:rPr>
                <w:bCs/>
                <w:iCs/>
                <w:color w:val="000000"/>
                <w:sz w:val="24"/>
              </w:rPr>
            </w:pPr>
            <w:r>
              <w:rPr>
                <w:bCs/>
                <w:iCs/>
                <w:color w:val="000000"/>
                <w:sz w:val="24"/>
              </w:rPr>
              <w:t>2024年1</w:t>
            </w:r>
            <w:r>
              <w:rPr>
                <w:rFonts w:hint="eastAsia"/>
                <w:bCs/>
                <w:iCs/>
                <w:color w:val="000000"/>
                <w:sz w:val="24"/>
                <w:lang w:val="en-US" w:eastAsia="zh-CN"/>
              </w:rPr>
              <w:t>1</w:t>
            </w:r>
            <w:r>
              <w:rPr>
                <w:bCs/>
                <w:iCs/>
                <w:color w:val="000000"/>
                <w:sz w:val="24"/>
              </w:rPr>
              <w:t>月1</w:t>
            </w:r>
            <w:r>
              <w:rPr>
                <w:rFonts w:hint="eastAsia"/>
                <w:bCs/>
                <w:iCs/>
                <w:color w:val="000000"/>
                <w:sz w:val="24"/>
                <w:lang w:val="en-US" w:eastAsia="zh-CN"/>
              </w:rPr>
              <w:t>9</w:t>
            </w:r>
            <w:r>
              <w:rPr>
                <w:bCs/>
                <w:iCs/>
                <w:color w:val="000000"/>
                <w:sz w:val="24"/>
              </w:rPr>
              <w:t>日</w:t>
            </w:r>
          </w:p>
        </w:tc>
      </w:tr>
    </w:tbl>
    <w:p w14:paraId="78916204"/>
    <w:p w14:paraId="0D87C2F0"/>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FDFF3">
    <w:pPr>
      <w:pStyle w:val="4"/>
      <w:jc w:val="center"/>
    </w:pPr>
    <w:r>
      <w:fldChar w:fldCharType="begin"/>
    </w:r>
    <w:r>
      <w:instrText xml:space="preserve"> PAGE   \* MERGEFORMAT </w:instrText>
    </w:r>
    <w:r>
      <w:fldChar w:fldCharType="separate"/>
    </w:r>
    <w: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A770B"/>
    <w:multiLevelType w:val="singleLevel"/>
    <w:tmpl w:val="F3FA770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0NmUwNjYxMWZjZDhjNGVlZGMwMTI5ZDRjNDg2NWMifQ=="/>
  </w:docVars>
  <w:rsids>
    <w:rsidRoot w:val="00424937"/>
    <w:rsid w:val="000660FD"/>
    <w:rsid w:val="000C72F5"/>
    <w:rsid w:val="001135BD"/>
    <w:rsid w:val="00114922"/>
    <w:rsid w:val="00140D2A"/>
    <w:rsid w:val="00160351"/>
    <w:rsid w:val="00167E28"/>
    <w:rsid w:val="00181C7C"/>
    <w:rsid w:val="001B129E"/>
    <w:rsid w:val="001E0A8C"/>
    <w:rsid w:val="001F37D2"/>
    <w:rsid w:val="00237A3A"/>
    <w:rsid w:val="002440FF"/>
    <w:rsid w:val="0026467F"/>
    <w:rsid w:val="00286794"/>
    <w:rsid w:val="00286C53"/>
    <w:rsid w:val="002B4A6A"/>
    <w:rsid w:val="002E3833"/>
    <w:rsid w:val="002F6020"/>
    <w:rsid w:val="0030290D"/>
    <w:rsid w:val="003504C4"/>
    <w:rsid w:val="00370C7E"/>
    <w:rsid w:val="003F6125"/>
    <w:rsid w:val="00406179"/>
    <w:rsid w:val="00424937"/>
    <w:rsid w:val="00443C06"/>
    <w:rsid w:val="00447659"/>
    <w:rsid w:val="00463D24"/>
    <w:rsid w:val="004850AB"/>
    <w:rsid w:val="00490553"/>
    <w:rsid w:val="004A0DA9"/>
    <w:rsid w:val="00570F02"/>
    <w:rsid w:val="005B5046"/>
    <w:rsid w:val="005C0DED"/>
    <w:rsid w:val="005F2A72"/>
    <w:rsid w:val="005F4A9C"/>
    <w:rsid w:val="00617C46"/>
    <w:rsid w:val="00632158"/>
    <w:rsid w:val="006375B6"/>
    <w:rsid w:val="00670690"/>
    <w:rsid w:val="00687F8F"/>
    <w:rsid w:val="006D1375"/>
    <w:rsid w:val="00717434"/>
    <w:rsid w:val="007500AE"/>
    <w:rsid w:val="00780188"/>
    <w:rsid w:val="0078630A"/>
    <w:rsid w:val="00790597"/>
    <w:rsid w:val="007A5969"/>
    <w:rsid w:val="008311DB"/>
    <w:rsid w:val="00865725"/>
    <w:rsid w:val="008A0F4B"/>
    <w:rsid w:val="008A3F32"/>
    <w:rsid w:val="008C04F9"/>
    <w:rsid w:val="009210AE"/>
    <w:rsid w:val="00977B41"/>
    <w:rsid w:val="00995962"/>
    <w:rsid w:val="009E1E42"/>
    <w:rsid w:val="00A008A9"/>
    <w:rsid w:val="00A54167"/>
    <w:rsid w:val="00AB2F2D"/>
    <w:rsid w:val="00AB5D82"/>
    <w:rsid w:val="00AC14A4"/>
    <w:rsid w:val="00AC1EB0"/>
    <w:rsid w:val="00B63E26"/>
    <w:rsid w:val="00B77146"/>
    <w:rsid w:val="00B800FD"/>
    <w:rsid w:val="00BA25AC"/>
    <w:rsid w:val="00BA30C2"/>
    <w:rsid w:val="00BD03F8"/>
    <w:rsid w:val="00BD6F4C"/>
    <w:rsid w:val="00BE7893"/>
    <w:rsid w:val="00CE0CC9"/>
    <w:rsid w:val="00D07144"/>
    <w:rsid w:val="00D23168"/>
    <w:rsid w:val="00D34A4F"/>
    <w:rsid w:val="00DF5BE3"/>
    <w:rsid w:val="00E01BCB"/>
    <w:rsid w:val="00E46B4A"/>
    <w:rsid w:val="00E5655F"/>
    <w:rsid w:val="00EC103B"/>
    <w:rsid w:val="00ED079F"/>
    <w:rsid w:val="00EF2611"/>
    <w:rsid w:val="00F90B3D"/>
    <w:rsid w:val="00FC6099"/>
    <w:rsid w:val="00FF21D6"/>
    <w:rsid w:val="0A2A7085"/>
    <w:rsid w:val="0DAE0BA6"/>
    <w:rsid w:val="0F6C2C3F"/>
    <w:rsid w:val="13CF7127"/>
    <w:rsid w:val="14F93B44"/>
    <w:rsid w:val="1F7F3994"/>
    <w:rsid w:val="201B5C14"/>
    <w:rsid w:val="28150BBD"/>
    <w:rsid w:val="2B353E5D"/>
    <w:rsid w:val="451078BA"/>
    <w:rsid w:val="485C1EAF"/>
    <w:rsid w:val="48E7672C"/>
    <w:rsid w:val="48F01CCF"/>
    <w:rsid w:val="4AAB55FC"/>
    <w:rsid w:val="4B2D736B"/>
    <w:rsid w:val="4E0D48F5"/>
    <w:rsid w:val="4E732176"/>
    <w:rsid w:val="5C823B46"/>
    <w:rsid w:val="79675312"/>
    <w:rsid w:val="7AE25EE5"/>
    <w:rsid w:val="7CBF2237"/>
    <w:rsid w:val="7DD40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rPr>
      <w:rFonts w:eastAsia="等线"/>
      <w:szCs w:val="24"/>
    </w:rPr>
  </w:style>
  <w:style w:type="paragraph" w:styleId="3">
    <w:name w:val="Balloon Text"/>
    <w:basedOn w:val="1"/>
    <w:link w:val="14"/>
    <w:semiHidden/>
    <w:unhideWhenUsed/>
    <w:qFormat/>
    <w:uiPriority w:val="99"/>
    <w:rPr>
      <w:rFonts w:eastAsia="等线"/>
      <w:sz w:val="18"/>
      <w:szCs w:val="18"/>
    </w:rPr>
  </w:style>
  <w:style w:type="paragraph" w:styleId="4">
    <w:name w:val="footer"/>
    <w:basedOn w:val="1"/>
    <w:link w:val="12"/>
    <w:unhideWhenUsed/>
    <w:qFormat/>
    <w:uiPriority w:val="99"/>
    <w:pPr>
      <w:tabs>
        <w:tab w:val="center" w:pos="4153"/>
        <w:tab w:val="right" w:pos="8306"/>
      </w:tabs>
      <w:snapToGrid w:val="0"/>
      <w:jc w:val="left"/>
    </w:pPr>
    <w:rPr>
      <w:kern w:val="0"/>
      <w:sz w:val="18"/>
      <w:szCs w:val="18"/>
      <w:lang w:val="zh-CN"/>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eastAsia="等线"/>
      <w:sz w:val="18"/>
      <w:szCs w:val="18"/>
    </w:rPr>
  </w:style>
  <w:style w:type="paragraph" w:styleId="6">
    <w:name w:val="Normal (Web)"/>
    <w:basedOn w:val="1"/>
    <w:unhideWhenUsed/>
    <w:qFormat/>
    <w:uiPriority w:val="99"/>
    <w:pPr>
      <w:spacing w:beforeAutospacing="1" w:afterAutospacing="1"/>
      <w:jc w:val="left"/>
    </w:pPr>
    <w:rPr>
      <w:rFonts w:eastAsia="等线"/>
      <w:kern w:val="0"/>
      <w:sz w:val="24"/>
      <w:szCs w:val="24"/>
    </w:rPr>
  </w:style>
  <w:style w:type="paragraph" w:styleId="7">
    <w:name w:val="annotation subject"/>
    <w:basedOn w:val="2"/>
    <w:next w:val="2"/>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脚 字符"/>
    <w:basedOn w:val="9"/>
    <w:semiHidden/>
    <w:qFormat/>
    <w:uiPriority w:val="99"/>
    <w:rPr>
      <w:rFonts w:ascii="Times New Roman" w:hAnsi="Times New Roman" w:eastAsia="等线" w:cs="Times New Roman"/>
      <w:sz w:val="18"/>
      <w:szCs w:val="18"/>
    </w:rPr>
  </w:style>
  <w:style w:type="character" w:customStyle="1" w:styleId="12">
    <w:name w:val="页脚 字符1"/>
    <w:link w:val="4"/>
    <w:qFormat/>
    <w:uiPriority w:val="99"/>
    <w:rPr>
      <w:rFonts w:ascii="Times New Roman" w:hAnsi="Times New Roman" w:eastAsia="宋体" w:cs="Times New Roman"/>
      <w:kern w:val="0"/>
      <w:sz w:val="18"/>
      <w:szCs w:val="18"/>
      <w:lang w:val="zh-CN" w:eastAsia="zh-CN"/>
    </w:rPr>
  </w:style>
  <w:style w:type="character" w:customStyle="1" w:styleId="13">
    <w:name w:val="页眉 字符"/>
    <w:basedOn w:val="9"/>
    <w:link w:val="5"/>
    <w:qFormat/>
    <w:uiPriority w:val="99"/>
    <w:rPr>
      <w:rFonts w:eastAsia="等线"/>
      <w:kern w:val="2"/>
      <w:sz w:val="18"/>
      <w:szCs w:val="18"/>
    </w:rPr>
  </w:style>
  <w:style w:type="character" w:customStyle="1" w:styleId="14">
    <w:name w:val="批注框文本 字符"/>
    <w:basedOn w:val="9"/>
    <w:link w:val="3"/>
    <w:semiHidden/>
    <w:qFormat/>
    <w:uiPriority w:val="99"/>
    <w:rPr>
      <w:rFonts w:eastAsia="等线"/>
      <w:kern w:val="2"/>
      <w:sz w:val="18"/>
      <w:szCs w:val="18"/>
    </w:rPr>
  </w:style>
  <w:style w:type="character" w:customStyle="1" w:styleId="15">
    <w:name w:val="批注文字 字符"/>
    <w:basedOn w:val="9"/>
    <w:link w:val="2"/>
    <w:semiHidden/>
    <w:qFormat/>
    <w:uiPriority w:val="99"/>
    <w:rPr>
      <w:rFonts w:eastAsia="等线"/>
      <w:kern w:val="2"/>
      <w:sz w:val="21"/>
      <w:szCs w:val="24"/>
    </w:rPr>
  </w:style>
  <w:style w:type="character" w:customStyle="1" w:styleId="16">
    <w:name w:val="批注主题 字符"/>
    <w:basedOn w:val="15"/>
    <w:link w:val="7"/>
    <w:semiHidden/>
    <w:qFormat/>
    <w:uiPriority w:val="99"/>
    <w:rPr>
      <w:rFonts w:eastAsia="等线"/>
      <w:b/>
      <w:bCs/>
      <w:kern w:val="2"/>
      <w:sz w:val="21"/>
      <w:szCs w:val="24"/>
    </w:rPr>
  </w:style>
  <w:style w:type="paragraph" w:customStyle="1" w:styleId="17">
    <w:name w:val="修订1"/>
    <w:hidden/>
    <w:unhideWhenUsed/>
    <w:qFormat/>
    <w:uiPriority w:val="99"/>
    <w:rPr>
      <w:rFonts w:ascii="Times New Roman" w:hAnsi="Times New Roman" w:eastAsia="等线" w:cs="Times New Roman"/>
      <w:kern w:val="2"/>
      <w:sz w:val="21"/>
      <w:szCs w:val="24"/>
      <w:lang w:val="en-US" w:eastAsia="zh-CN" w:bidi="ar-SA"/>
    </w:rPr>
  </w:style>
  <w:style w:type="paragraph" w:customStyle="1" w:styleId="18">
    <w:name w:val="修订2"/>
    <w:hidden/>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2</Pages>
  <Words>1097</Words>
  <Characters>1184</Characters>
  <Lines>9</Lines>
  <Paragraphs>2</Paragraphs>
  <TotalTime>0</TotalTime>
  <ScaleCrop>false</ScaleCrop>
  <LinksUpToDate>false</LinksUpToDate>
  <CharactersWithSpaces>1269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2024-10-16T07:34:00Z</dcterms:created>
  <dc:creator>shalldo-zzhou</dc:creator>
  <cp:lastModifiedBy>Doris</cp:lastModifiedBy>
  <cp:lastPrinted>2024-06-27T13:32:00Z</cp:lastPrinted>
  <dcterms:modified xsi:type="dcterms:W3CDTF">2024-11-19T08:39:26Z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38AD3C34FAC6487893E94DAE819160C8_13</vt:lpwstr>
  </property>
</Properties>
</file>