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sz w:val="24"/>
          <w:szCs w:val="24"/>
        </w:rPr>
      </w:pPr>
      <w:r>
        <w:rPr>
          <w:rFonts w:hint="eastAsia" w:ascii="宋体" w:hAnsi="宋体" w:eastAsia="宋体"/>
          <w:sz w:val="24"/>
          <w:szCs w:val="24"/>
        </w:rPr>
        <w:t>证券代码：603693                                   证券简称：江苏新能</w:t>
      </w:r>
    </w:p>
    <w:p>
      <w:pPr>
        <w:jc w:val="center"/>
        <w:rPr>
          <w:rFonts w:ascii="仿宋" w:hAnsi="仿宋" w:eastAsia="仿宋"/>
          <w:b/>
          <w:sz w:val="36"/>
          <w:szCs w:val="36"/>
        </w:rPr>
      </w:pPr>
    </w:p>
    <w:p>
      <w:pPr>
        <w:jc w:val="center"/>
        <w:rPr>
          <w:rFonts w:ascii="宋体" w:hAnsi="宋体" w:eastAsia="宋体"/>
          <w:b/>
          <w:sz w:val="36"/>
          <w:szCs w:val="36"/>
        </w:rPr>
      </w:pPr>
      <w:r>
        <w:rPr>
          <w:rFonts w:hint="eastAsia" w:ascii="宋体" w:hAnsi="宋体" w:eastAsia="宋体"/>
          <w:b/>
          <w:sz w:val="36"/>
          <w:szCs w:val="36"/>
        </w:rPr>
        <w:t>江苏省新能源开发股份有限公司</w:t>
      </w:r>
    </w:p>
    <w:p>
      <w:pPr>
        <w:jc w:val="center"/>
        <w:rPr>
          <w:rFonts w:ascii="宋体" w:hAnsi="宋体" w:eastAsia="宋体"/>
          <w:b/>
          <w:sz w:val="36"/>
          <w:szCs w:val="36"/>
        </w:rPr>
      </w:pPr>
      <w:r>
        <w:rPr>
          <w:rFonts w:hint="eastAsia" w:ascii="宋体" w:hAnsi="宋体" w:eastAsia="宋体"/>
          <w:b/>
          <w:sz w:val="36"/>
          <w:szCs w:val="36"/>
        </w:rPr>
        <w:t>投资者关系活动记录</w:t>
      </w:r>
    </w:p>
    <w:p>
      <w:pPr>
        <w:jc w:val="right"/>
        <w:rPr>
          <w:rFonts w:ascii="宋体" w:hAnsi="宋体" w:eastAsia="宋体"/>
          <w:sz w:val="24"/>
          <w:szCs w:val="24"/>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投资者关系活动类别</w:t>
            </w:r>
          </w:p>
        </w:tc>
        <w:tc>
          <w:tcPr>
            <w:tcW w:w="6713" w:type="dxa"/>
          </w:tcPr>
          <w:p>
            <w:pPr>
              <w:spacing w:line="360" w:lineRule="auto"/>
              <w:jc w:val="left"/>
              <w:rPr>
                <w:rFonts w:ascii="宋体" w:hAnsi="宋体" w:eastAsia="宋体"/>
                <w:sz w:val="24"/>
                <w:szCs w:val="24"/>
              </w:rPr>
            </w:pPr>
            <w:r>
              <w:rPr>
                <w:rFonts w:hint="eastAsia" w:ascii="宋体" w:hAnsi="宋体" w:eastAsia="宋体"/>
                <w:sz w:val="24"/>
                <w:szCs w:val="24"/>
              </w:rPr>
              <w:t>□特定对象调研   □分析师会议</w:t>
            </w:r>
          </w:p>
          <w:p>
            <w:pPr>
              <w:spacing w:line="360" w:lineRule="auto"/>
              <w:jc w:val="left"/>
              <w:rPr>
                <w:rFonts w:ascii="宋体" w:hAnsi="宋体" w:eastAsia="宋体"/>
                <w:sz w:val="24"/>
                <w:szCs w:val="24"/>
              </w:rPr>
            </w:pPr>
            <w:r>
              <w:rPr>
                <w:rFonts w:hint="eastAsia" w:ascii="宋体" w:hAnsi="宋体" w:eastAsia="宋体"/>
                <w:sz w:val="24"/>
                <w:szCs w:val="24"/>
              </w:rPr>
              <w:t>□媒体采访  ■业绩说明会</w:t>
            </w:r>
          </w:p>
          <w:p>
            <w:pPr>
              <w:spacing w:line="360" w:lineRule="auto"/>
              <w:jc w:val="left"/>
              <w:rPr>
                <w:rFonts w:ascii="宋体" w:hAnsi="宋体" w:eastAsia="宋体"/>
                <w:sz w:val="24"/>
                <w:szCs w:val="24"/>
              </w:rPr>
            </w:pPr>
            <w:r>
              <w:rPr>
                <w:rFonts w:hint="eastAsia" w:ascii="宋体" w:hAnsi="宋体" w:eastAsia="宋体"/>
                <w:sz w:val="24"/>
                <w:szCs w:val="24"/>
              </w:rPr>
              <w:t>□新闻发布会  □路演活动</w:t>
            </w:r>
          </w:p>
          <w:p>
            <w:pPr>
              <w:spacing w:line="360" w:lineRule="auto"/>
              <w:jc w:val="left"/>
              <w:rPr>
                <w:rFonts w:ascii="宋体" w:hAnsi="宋体" w:eastAsia="宋体"/>
                <w:sz w:val="24"/>
                <w:szCs w:val="24"/>
              </w:rPr>
            </w:pPr>
            <w:r>
              <w:rPr>
                <w:rFonts w:hint="eastAsia" w:ascii="宋体" w:hAnsi="宋体" w:eastAsia="宋体"/>
                <w:sz w:val="24"/>
                <w:szCs w:val="24"/>
              </w:rPr>
              <w:t>□现场参观</w:t>
            </w:r>
          </w:p>
          <w:p>
            <w:pPr>
              <w:spacing w:line="360" w:lineRule="auto"/>
              <w:jc w:val="left"/>
              <w:rPr>
                <w:rFonts w:ascii="宋体" w:hAnsi="宋体" w:eastAsia="宋体"/>
                <w:sz w:val="24"/>
                <w:szCs w:val="24"/>
              </w:rPr>
            </w:pPr>
            <w:r>
              <w:rPr>
                <w:rFonts w:hint="eastAsia" w:ascii="宋体" w:hAnsi="宋体" w:eastAsia="宋体"/>
                <w:sz w:val="24"/>
                <w:szCs w:val="24"/>
              </w:rPr>
              <w:t>□其他（请文字说明其他活动内容）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参与单位名称及人员姓名</w:t>
            </w:r>
          </w:p>
        </w:tc>
        <w:tc>
          <w:tcPr>
            <w:tcW w:w="6713" w:type="dxa"/>
            <w:vAlign w:val="center"/>
          </w:tcPr>
          <w:p>
            <w:pPr>
              <w:spacing w:line="360" w:lineRule="auto"/>
              <w:rPr>
                <w:rFonts w:ascii="宋体" w:hAnsi="宋体" w:eastAsia="宋体"/>
                <w:sz w:val="24"/>
                <w:szCs w:val="24"/>
              </w:rPr>
            </w:pPr>
            <w:r>
              <w:rPr>
                <w:rFonts w:ascii="宋体" w:hAnsi="宋体" w:eastAsia="宋体"/>
                <w:sz w:val="24"/>
                <w:szCs w:val="24"/>
              </w:rPr>
              <w:t>参加公司</w:t>
            </w: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lang w:val="en-US" w:eastAsia="zh-CN"/>
              </w:rPr>
              <w:t>4</w:t>
            </w:r>
            <w:r>
              <w:rPr>
                <w:rFonts w:ascii="宋体" w:hAnsi="宋体" w:eastAsia="宋体"/>
                <w:sz w:val="24"/>
                <w:szCs w:val="24"/>
              </w:rPr>
              <w:t>年</w:t>
            </w:r>
            <w:r>
              <w:rPr>
                <w:rFonts w:hint="eastAsia" w:ascii="宋体" w:hAnsi="宋体" w:eastAsia="宋体"/>
                <w:sz w:val="24"/>
                <w:szCs w:val="24"/>
              </w:rPr>
              <w:t>第三季度</w:t>
            </w:r>
            <w:r>
              <w:rPr>
                <w:rFonts w:ascii="宋体" w:hAnsi="宋体" w:eastAsia="宋体"/>
                <w:sz w:val="24"/>
                <w:szCs w:val="24"/>
              </w:rPr>
              <w:t>业绩说明会的投资者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6713" w:type="dxa"/>
          </w:tcPr>
          <w:p>
            <w:pPr>
              <w:spacing w:line="360" w:lineRule="auto"/>
              <w:jc w:val="lef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年11月</w:t>
            </w:r>
            <w:r>
              <w:rPr>
                <w:rFonts w:hint="eastAsia" w:ascii="宋体" w:hAnsi="宋体" w:eastAsia="宋体"/>
                <w:sz w:val="24"/>
                <w:szCs w:val="24"/>
                <w:lang w:val="en-US" w:eastAsia="zh-CN"/>
              </w:rPr>
              <w:t>19</w:t>
            </w:r>
            <w:r>
              <w:rPr>
                <w:rFonts w:ascii="宋体" w:hAnsi="宋体" w:eastAsia="宋体"/>
                <w:sz w:val="24"/>
                <w:szCs w:val="24"/>
              </w:rPr>
              <w:t>日</w:t>
            </w:r>
            <w:r>
              <w:rPr>
                <w:rFonts w:hint="eastAsia" w:ascii="宋体" w:hAnsi="宋体" w:eastAsia="宋体"/>
                <w:sz w:val="24"/>
                <w:szCs w:val="24"/>
              </w:rPr>
              <w:t xml:space="preserve"> </w:t>
            </w:r>
            <w:r>
              <w:rPr>
                <w:rFonts w:ascii="宋体" w:hAnsi="宋体" w:eastAsia="宋体"/>
                <w:sz w:val="24"/>
                <w:szCs w:val="24"/>
              </w:rPr>
              <w:t xml:space="preserve">  1</w:t>
            </w:r>
            <w:r>
              <w:rPr>
                <w:rFonts w:hint="eastAsia" w:ascii="宋体" w:hAnsi="宋体" w:eastAsia="宋体"/>
                <w:sz w:val="24"/>
                <w:szCs w:val="24"/>
                <w:lang w:val="en-US" w:eastAsia="zh-CN"/>
              </w:rPr>
              <w:t>6</w:t>
            </w:r>
            <w:r>
              <w:rPr>
                <w:rFonts w:hint="eastAsia" w:ascii="宋体" w:hAnsi="宋体" w:eastAsia="宋体"/>
                <w:sz w:val="24"/>
                <w:szCs w:val="24"/>
              </w:rPr>
              <w:t>:</w:t>
            </w:r>
            <w:r>
              <w:rPr>
                <w:rFonts w:ascii="宋体" w:hAnsi="宋体" w:eastAsia="宋体"/>
                <w:sz w:val="24"/>
                <w:szCs w:val="24"/>
              </w:rPr>
              <w:t>00-1</w:t>
            </w:r>
            <w:r>
              <w:rPr>
                <w:rFonts w:hint="eastAsia" w:ascii="宋体" w:hAnsi="宋体" w:eastAsia="宋体"/>
                <w:sz w:val="24"/>
                <w:szCs w:val="24"/>
                <w:lang w:val="en-US" w:eastAsia="zh-CN"/>
              </w:rPr>
              <w:t>7</w:t>
            </w:r>
            <w:r>
              <w:rPr>
                <w:rFonts w:hint="eastAsia" w:ascii="宋体" w:hAnsi="宋体" w:eastAsia="宋体"/>
                <w:sz w:val="24"/>
                <w:szCs w:val="24"/>
              </w:rPr>
              <w:t>:</w:t>
            </w:r>
            <w:r>
              <w:rPr>
                <w:rFonts w:ascii="宋体" w:hAnsi="宋体" w:eastAsia="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地点</w:t>
            </w:r>
          </w:p>
        </w:tc>
        <w:tc>
          <w:tcPr>
            <w:tcW w:w="6713" w:type="dxa"/>
          </w:tcPr>
          <w:p>
            <w:pPr>
              <w:spacing w:line="360" w:lineRule="auto"/>
              <w:jc w:val="left"/>
              <w:rPr>
                <w:rFonts w:ascii="宋体" w:hAnsi="宋体" w:eastAsia="宋体"/>
                <w:sz w:val="24"/>
                <w:szCs w:val="24"/>
              </w:rPr>
            </w:pPr>
            <w:r>
              <w:rPr>
                <w:rFonts w:ascii="宋体" w:hAnsi="宋体" w:eastAsia="宋体"/>
                <w:sz w:val="24"/>
                <w:szCs w:val="24"/>
              </w:rPr>
              <w:t>上证路演中心（http://roadshow.sseinfo.com）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上市公司接待人员姓名</w:t>
            </w:r>
          </w:p>
        </w:tc>
        <w:tc>
          <w:tcPr>
            <w:tcW w:w="6713" w:type="dxa"/>
            <w:vAlign w:val="center"/>
          </w:tcPr>
          <w:p>
            <w:pPr>
              <w:spacing w:line="360" w:lineRule="auto"/>
              <w:rPr>
                <w:rFonts w:ascii="宋体" w:hAnsi="宋体" w:eastAsia="宋体"/>
                <w:sz w:val="24"/>
                <w:szCs w:val="24"/>
              </w:rPr>
            </w:pPr>
            <w:r>
              <w:rPr>
                <w:rFonts w:ascii="宋体" w:hAnsi="宋体" w:eastAsia="宋体"/>
                <w:sz w:val="24"/>
                <w:szCs w:val="24"/>
              </w:rPr>
              <w:t>公司董事长</w:t>
            </w:r>
            <w:r>
              <w:rPr>
                <w:rFonts w:hint="eastAsia" w:ascii="宋体" w:hAnsi="宋体" w:eastAsia="宋体"/>
                <w:sz w:val="24"/>
                <w:szCs w:val="24"/>
              </w:rPr>
              <w:t>朱又生</w:t>
            </w:r>
            <w:r>
              <w:rPr>
                <w:rFonts w:ascii="宋体" w:hAnsi="宋体" w:eastAsia="宋体"/>
                <w:sz w:val="24"/>
                <w:szCs w:val="24"/>
              </w:rPr>
              <w:t>先生，董事、总经理</w:t>
            </w:r>
            <w:r>
              <w:rPr>
                <w:rFonts w:hint="eastAsia" w:ascii="宋体" w:hAnsi="宋体" w:eastAsia="宋体"/>
                <w:sz w:val="24"/>
                <w:szCs w:val="24"/>
              </w:rPr>
              <w:t>陈</w:t>
            </w:r>
            <w:r>
              <w:rPr>
                <w:rFonts w:hint="eastAsia" w:ascii="宋体" w:hAnsi="宋体" w:eastAsia="宋体"/>
                <w:sz w:val="24"/>
                <w:szCs w:val="24"/>
                <w:lang w:val="en-US" w:eastAsia="zh-CN"/>
              </w:rPr>
              <w:t>华</w:t>
            </w:r>
            <w:r>
              <w:rPr>
                <w:rFonts w:hint="eastAsia" w:ascii="宋体" w:hAnsi="宋体" w:eastAsia="宋体"/>
                <w:sz w:val="24"/>
                <w:szCs w:val="24"/>
              </w:rPr>
              <w:t>先生</w:t>
            </w:r>
            <w:r>
              <w:rPr>
                <w:rFonts w:ascii="宋体" w:hAnsi="宋体" w:eastAsia="宋体"/>
                <w:sz w:val="24"/>
                <w:szCs w:val="24"/>
              </w:rPr>
              <w:t>，</w:t>
            </w:r>
            <w:r>
              <w:rPr>
                <w:rFonts w:hint="eastAsia" w:ascii="宋体" w:hAnsi="宋体" w:eastAsia="宋体"/>
                <w:sz w:val="24"/>
                <w:szCs w:val="24"/>
              </w:rPr>
              <w:t>独立董事冯永强先生，董事会秘书兼财务总监张颖女士，证券事务代表董一红女士。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0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投资者关系活动主要内容介绍</w:t>
            </w:r>
          </w:p>
        </w:tc>
        <w:tc>
          <w:tcPr>
            <w:tcW w:w="6713" w:type="dxa"/>
          </w:tcPr>
          <w:p>
            <w:pPr>
              <w:spacing w:after="156" w:line="360" w:lineRule="auto"/>
              <w:ind w:firstLine="482"/>
              <w:jc w:val="left"/>
              <w:rPr>
                <w:rFonts w:ascii="宋体" w:hAnsi="宋体" w:eastAsia="宋体"/>
                <w:sz w:val="24"/>
                <w:szCs w:val="24"/>
              </w:rPr>
            </w:pPr>
            <w:r>
              <w:rPr>
                <w:rFonts w:ascii="宋体" w:hAnsi="宋体" w:eastAsia="宋体"/>
                <w:sz w:val="24"/>
                <w:szCs w:val="24"/>
              </w:rPr>
              <w:t>为加强与投资者的深入交流，使投资者更加全面、深入地了解公司情况，公司</w:t>
            </w:r>
            <w:r>
              <w:rPr>
                <w:rFonts w:hint="eastAsia" w:ascii="宋体" w:hAnsi="宋体" w:eastAsia="宋体"/>
                <w:sz w:val="24"/>
                <w:szCs w:val="24"/>
              </w:rPr>
              <w:t>通过</w:t>
            </w:r>
            <w:r>
              <w:rPr>
                <w:rFonts w:ascii="宋体" w:hAnsi="宋体" w:eastAsia="宋体"/>
                <w:sz w:val="24"/>
                <w:szCs w:val="24"/>
              </w:rPr>
              <w:t>上证路演中心召开</w:t>
            </w: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lang w:val="en-US" w:eastAsia="zh-CN"/>
              </w:rPr>
              <w:t>4</w:t>
            </w:r>
            <w:r>
              <w:rPr>
                <w:rFonts w:hint="eastAsia" w:ascii="宋体" w:hAnsi="宋体" w:eastAsia="宋体"/>
                <w:sz w:val="24"/>
                <w:szCs w:val="24"/>
              </w:rPr>
              <w:t>年第三季度</w:t>
            </w:r>
            <w:r>
              <w:rPr>
                <w:rFonts w:ascii="宋体" w:hAnsi="宋体" w:eastAsia="宋体"/>
                <w:sz w:val="24"/>
                <w:szCs w:val="24"/>
              </w:rPr>
              <w:t>业绩说明会。公司</w:t>
            </w:r>
            <w:r>
              <w:rPr>
                <w:rFonts w:hint="eastAsia" w:ascii="宋体" w:hAnsi="宋体" w:eastAsia="宋体"/>
                <w:sz w:val="24"/>
                <w:szCs w:val="24"/>
              </w:rPr>
              <w:t>相关</w:t>
            </w:r>
            <w:r>
              <w:rPr>
                <w:rFonts w:ascii="宋体" w:hAnsi="宋体" w:eastAsia="宋体"/>
                <w:sz w:val="24"/>
                <w:szCs w:val="24"/>
              </w:rPr>
              <w:t>人员通过网络</w:t>
            </w:r>
            <w:r>
              <w:rPr>
                <w:rFonts w:hint="eastAsia" w:ascii="宋体" w:hAnsi="宋体" w:eastAsia="宋体"/>
                <w:sz w:val="24"/>
                <w:szCs w:val="24"/>
              </w:rPr>
              <w:t>互动</w:t>
            </w:r>
            <w:r>
              <w:rPr>
                <w:rFonts w:ascii="宋体" w:hAnsi="宋体" w:eastAsia="宋体"/>
                <w:sz w:val="24"/>
                <w:szCs w:val="24"/>
              </w:rPr>
              <w:t>形式与投资者进行了沟通，具体内容如下：</w:t>
            </w:r>
          </w:p>
          <w:p>
            <w:pPr>
              <w:spacing w:after="156" w:line="360" w:lineRule="auto"/>
              <w:ind w:firstLine="482"/>
              <w:jc w:val="left"/>
              <w:rPr>
                <w:rFonts w:ascii="宋体" w:hAnsi="宋体" w:eastAsia="宋体"/>
                <w:b/>
                <w:sz w:val="24"/>
                <w:szCs w:val="24"/>
              </w:rPr>
            </w:pPr>
            <w:r>
              <w:rPr>
                <w:rFonts w:hint="eastAsia" w:ascii="宋体" w:hAnsi="宋体" w:eastAsia="宋体"/>
                <w:b/>
                <w:sz w:val="24"/>
                <w:szCs w:val="24"/>
                <w:lang w:val="en-US" w:eastAsia="zh-CN"/>
              </w:rPr>
              <w:t>1</w:t>
            </w:r>
            <w:r>
              <w:rPr>
                <w:rFonts w:hint="eastAsia" w:ascii="宋体" w:hAnsi="宋体" w:eastAsia="宋体"/>
                <w:b/>
                <w:sz w:val="24"/>
                <w:szCs w:val="24"/>
              </w:rPr>
              <w:t>、江苏新能在24年第三季度的业绩报告中提到了哪些最新的绿色转型和技术创新项目？这些项目如何帮助公司在实现“双碳”目标的过程中保持行业领先地位？公司是否有具体的计划，通过这些创新项目进一步提升自身的市场竞争力和盈利能力？</w:t>
            </w:r>
          </w:p>
          <w:p>
            <w:pPr>
              <w:spacing w:after="156" w:line="360" w:lineRule="auto"/>
              <w:ind w:firstLine="480"/>
              <w:jc w:val="left"/>
              <w:rPr>
                <w:rFonts w:hint="eastAsia" w:ascii="宋体" w:hAnsi="宋体" w:eastAsia="宋体"/>
                <w:b/>
                <w:sz w:val="24"/>
                <w:szCs w:val="24"/>
              </w:rPr>
            </w:pPr>
            <w:r>
              <w:rPr>
                <w:rFonts w:hint="eastAsia" w:ascii="宋体" w:hAnsi="宋体" w:eastAsia="宋体"/>
                <w:sz w:val="24"/>
                <w:szCs w:val="24"/>
              </w:rPr>
              <w:t>答</w:t>
            </w:r>
            <w:r>
              <w:rPr>
                <w:rFonts w:ascii="宋体" w:hAnsi="宋体" w:eastAsia="宋体"/>
                <w:sz w:val="24"/>
                <w:szCs w:val="24"/>
              </w:rPr>
              <w:t>：</w:t>
            </w:r>
            <w:r>
              <w:rPr>
                <w:rFonts w:hint="eastAsia" w:ascii="宋体" w:hAnsi="宋体" w:eastAsia="宋体"/>
                <w:sz w:val="24"/>
                <w:szCs w:val="24"/>
              </w:rPr>
              <w:t>尊敬的投资者，您好！公司在2024年第三季度报告中暂未提到相关绿色转型和技术创新项目信息。公司将持续关注新能源技术变革，加大创新投入力度，拓展新型能源主业布局，不断寻找新的增长点，助力公司高质量发展，具体请以公司披露的公告为准，感谢您的关注。</w:t>
            </w:r>
          </w:p>
          <w:p>
            <w:pPr>
              <w:spacing w:after="156" w:line="360" w:lineRule="auto"/>
              <w:ind w:firstLine="482"/>
              <w:jc w:val="left"/>
              <w:rPr>
                <w:rFonts w:ascii="宋体" w:hAnsi="宋体" w:eastAsia="宋体"/>
                <w:b/>
                <w:sz w:val="24"/>
                <w:szCs w:val="24"/>
              </w:rPr>
            </w:pPr>
            <w:r>
              <w:rPr>
                <w:rFonts w:hint="eastAsia" w:ascii="宋体" w:hAnsi="宋体" w:eastAsia="宋体"/>
                <w:b/>
                <w:sz w:val="24"/>
                <w:szCs w:val="24"/>
                <w:lang w:val="en-US" w:eastAsia="zh-CN"/>
              </w:rPr>
              <w:t>2</w:t>
            </w:r>
            <w:r>
              <w:rPr>
                <w:rFonts w:hint="eastAsia" w:ascii="宋体" w:hAnsi="宋体" w:eastAsia="宋体"/>
                <w:b/>
                <w:sz w:val="24"/>
                <w:szCs w:val="24"/>
              </w:rPr>
              <w:t>、尊敬的领导，下午好！作为中小投资者，有以下问题：1、可视化三季报显示，公司业绩较去年同期以以往保持平稳发展，毛利和净资产收益率均保持较好水平，但投资性现金流告负，能否分析一下原因？2、公司之前是否发布过舆情管理制度？公司目前在投资者关系和舆情管理上有哪些举措》公司会针对最新发布的市值管理14条开展哪些工作？</w:t>
            </w:r>
          </w:p>
          <w:p>
            <w:pPr>
              <w:spacing w:after="156" w:line="360" w:lineRule="auto"/>
              <w:ind w:firstLine="480"/>
              <w:jc w:val="left"/>
              <w:rPr>
                <w:rFonts w:ascii="宋体" w:hAnsi="宋体" w:eastAsia="宋体"/>
                <w:sz w:val="24"/>
                <w:szCs w:val="24"/>
              </w:rPr>
            </w:pPr>
            <w:r>
              <w:rPr>
                <w:rFonts w:hint="eastAsia" w:ascii="宋体" w:hAnsi="宋体" w:eastAsia="宋体"/>
                <w:sz w:val="24"/>
                <w:szCs w:val="24"/>
              </w:rPr>
              <w:t>答：尊敬的投资者，您好！因公司有新项目在建，购建固定资产、无形资产和其他长期资产支付的现金同比大幅增加，故投资活动现金流出大幅增加。公司重视并高度关注投资者关系管理和舆情管理，致力于以实际行动推动公司高质量发展和投资价值提升，已于2024年8月27日召开第三届董事会第三十七次会议，审议通过了《关于制定&lt;舆情管理制度&gt;的议案》，并于2024年8月29日披露《江苏省新能源开发股份有限公司关于2024年度“提质增效重回报”行动方案的公告》。下一步，公司将仔细研究相关监管动态，结合公司实际，持续聚焦主业，不断提升公司价值，积极回报股东。感谢您的关注。</w:t>
            </w:r>
          </w:p>
          <w:p>
            <w:pPr>
              <w:spacing w:after="156" w:line="360" w:lineRule="auto"/>
              <w:ind w:firstLine="482"/>
              <w:jc w:val="left"/>
              <w:rPr>
                <w:rFonts w:ascii="宋体" w:hAnsi="宋体" w:eastAsia="宋体"/>
                <w:b/>
                <w:sz w:val="24"/>
                <w:szCs w:val="24"/>
              </w:rPr>
            </w:pPr>
            <w:r>
              <w:rPr>
                <w:rFonts w:hint="eastAsia" w:ascii="宋体" w:hAnsi="宋体" w:eastAsia="宋体"/>
                <w:b/>
                <w:sz w:val="24"/>
                <w:szCs w:val="24"/>
              </w:rPr>
              <w:t>3、近期国家和地方政府出台了一系列支持新能源发展的政策措施，这些政策对江苏新能的业务发展产生了哪些具体影响？公司如何利用这些政策支持，进一步扩大其在风能、光伏和储能等领域的市场份额？特别是在新的项目开发和国际合作方面，江苏新能有哪些具体的规划和举措？</w:t>
            </w:r>
          </w:p>
          <w:p>
            <w:pPr>
              <w:spacing w:after="156" w:line="360" w:lineRule="auto"/>
              <w:ind w:firstLine="480"/>
              <w:jc w:val="left"/>
              <w:rPr>
                <w:rFonts w:hint="eastAsia" w:ascii="宋体" w:hAnsi="宋体" w:eastAsia="宋体"/>
                <w:sz w:val="24"/>
                <w:szCs w:val="24"/>
              </w:rPr>
            </w:pPr>
            <w:r>
              <w:rPr>
                <w:rFonts w:hint="eastAsia" w:ascii="宋体" w:hAnsi="宋体" w:eastAsia="宋体"/>
                <w:sz w:val="24"/>
                <w:szCs w:val="24"/>
              </w:rPr>
              <w:t>答</w:t>
            </w:r>
            <w:r>
              <w:rPr>
                <w:rFonts w:ascii="宋体" w:hAnsi="宋体" w:eastAsia="宋体"/>
                <w:sz w:val="24"/>
                <w:szCs w:val="24"/>
              </w:rPr>
              <w:t>：</w:t>
            </w:r>
            <w:r>
              <w:rPr>
                <w:rFonts w:hint="eastAsia" w:ascii="宋体" w:hAnsi="宋体" w:eastAsia="宋体"/>
                <w:sz w:val="24"/>
                <w:szCs w:val="24"/>
              </w:rPr>
              <w:t>尊敬的投资者，您好！我国新能源发电行业近年来的高速发展，很大程度上受益于国家在政策、法规等方面的支持，近期中央及地方政府进一步出台支持可再生能源发展政策，公司将关注政策动向，积极响应，充分利用自身技术、区位、资源等优势，多措并举获取新的项目资源，同时加快建设推进在建项目，加大新能源项目集约化、规模化开发力度，不断提高核心竞争实力。新项目的开发合作具体情况请以公司披露的公告为准。感谢您的关注。</w:t>
            </w:r>
          </w:p>
          <w:p>
            <w:pPr>
              <w:spacing w:after="156" w:line="360" w:lineRule="auto"/>
              <w:ind w:firstLine="482"/>
              <w:jc w:val="left"/>
              <w:rPr>
                <w:rFonts w:ascii="宋体" w:hAnsi="宋体" w:eastAsia="宋体"/>
                <w:b/>
                <w:sz w:val="24"/>
                <w:szCs w:val="24"/>
              </w:rPr>
            </w:pPr>
            <w:r>
              <w:rPr>
                <w:rFonts w:hint="eastAsia" w:ascii="宋体" w:hAnsi="宋体" w:eastAsia="宋体"/>
                <w:b/>
                <w:sz w:val="24"/>
                <w:szCs w:val="24"/>
                <w:lang w:val="en-US" w:eastAsia="zh-CN"/>
              </w:rPr>
              <w:t>4</w:t>
            </w:r>
            <w:r>
              <w:rPr>
                <w:rFonts w:hint="eastAsia" w:ascii="宋体" w:hAnsi="宋体" w:eastAsia="宋体"/>
                <w:b/>
                <w:sz w:val="24"/>
                <w:szCs w:val="24"/>
              </w:rPr>
              <w:t>、如何看待11月25日88075880股，解禁上市流通对股价的影响。</w:t>
            </w:r>
          </w:p>
          <w:p>
            <w:pPr>
              <w:spacing w:after="156" w:line="360" w:lineRule="auto"/>
              <w:ind w:firstLine="480"/>
              <w:jc w:val="left"/>
              <w:rPr>
                <w:rFonts w:hint="default" w:ascii="宋体" w:hAnsi="宋体" w:eastAsia="宋体"/>
                <w:b/>
                <w:bCs/>
                <w:sz w:val="24"/>
                <w:szCs w:val="24"/>
                <w:lang w:val="en-US" w:eastAsia="zh-CN"/>
              </w:rPr>
            </w:pPr>
            <w:r>
              <w:rPr>
                <w:rFonts w:hint="eastAsia" w:ascii="宋体" w:hAnsi="宋体" w:eastAsia="宋体"/>
                <w:sz w:val="24"/>
                <w:szCs w:val="24"/>
              </w:rPr>
              <w:t>答</w:t>
            </w:r>
            <w:r>
              <w:rPr>
                <w:rFonts w:ascii="宋体" w:hAnsi="宋体" w:eastAsia="宋体"/>
                <w:sz w:val="24"/>
                <w:szCs w:val="24"/>
              </w:rPr>
              <w:t>：</w:t>
            </w:r>
            <w:r>
              <w:rPr>
                <w:rFonts w:hint="eastAsia" w:ascii="宋体" w:hAnsi="宋体" w:eastAsia="宋体"/>
                <w:sz w:val="24"/>
                <w:szCs w:val="24"/>
              </w:rPr>
              <w:t>尊敬的投资者，您好！上市公司股价受多方面因素综合影响，限售股解禁对股价的影响具有不确定性，敬请注意投资风险。公司将持续关注股价走势，感谢您的关注。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line="360" w:lineRule="auto"/>
              <w:jc w:val="center"/>
              <w:rPr>
                <w:rFonts w:ascii="宋体" w:hAnsi="宋体" w:eastAsia="宋体"/>
                <w:sz w:val="24"/>
                <w:szCs w:val="24"/>
              </w:rPr>
            </w:pPr>
            <w:r>
              <w:rPr>
                <w:rFonts w:hint="eastAsia" w:ascii="宋体" w:hAnsi="宋体" w:eastAsia="宋体"/>
                <w:sz w:val="24"/>
                <w:szCs w:val="24"/>
              </w:rPr>
              <w:t>记录日期</w:t>
            </w:r>
          </w:p>
        </w:tc>
        <w:tc>
          <w:tcPr>
            <w:tcW w:w="6713" w:type="dxa"/>
          </w:tcPr>
          <w:p>
            <w:pPr>
              <w:spacing w:line="360" w:lineRule="auto"/>
              <w:jc w:val="lef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年</w:t>
            </w:r>
            <w:r>
              <w:rPr>
                <w:rFonts w:ascii="宋体" w:hAnsi="宋体" w:eastAsia="宋体"/>
                <w:sz w:val="24"/>
                <w:szCs w:val="24"/>
              </w:rPr>
              <w:t>11</w:t>
            </w:r>
            <w:r>
              <w:rPr>
                <w:rFonts w:hint="eastAsia" w:ascii="宋体" w:hAnsi="宋体" w:eastAsia="宋体"/>
                <w:sz w:val="24"/>
                <w:szCs w:val="24"/>
              </w:rPr>
              <w:t>月</w:t>
            </w:r>
            <w:r>
              <w:rPr>
                <w:rFonts w:hint="eastAsia" w:ascii="宋体" w:hAnsi="宋体" w:eastAsia="宋体"/>
                <w:sz w:val="24"/>
                <w:szCs w:val="24"/>
                <w:lang w:val="en-US" w:eastAsia="zh-CN"/>
              </w:rPr>
              <w:t>19</w:t>
            </w:r>
            <w:r>
              <w:rPr>
                <w:rFonts w:hint="eastAsia" w:ascii="宋体" w:hAnsi="宋体" w:eastAsia="宋体"/>
                <w:sz w:val="24"/>
                <w:szCs w:val="24"/>
              </w:rPr>
              <w:t>日</w:t>
            </w:r>
          </w:p>
        </w:tc>
      </w:tr>
    </w:tbl>
    <w:p>
      <w:pPr>
        <w:jc w:val="left"/>
        <w:rPr>
          <w:rFonts w:ascii="仿宋" w:hAnsi="仿宋" w:eastAsia="仿宋"/>
          <w:sz w:val="22"/>
          <w:szCs w:val="2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w:rPr>
        <w:rFonts w:ascii="宋体" w:hAnsi="宋体" w:eastAsia="宋体"/>
      </w:rPr>
      <w:fldChar w:fldCharType="begin"/>
    </w:r>
    <w:r>
      <w:rPr>
        <w:rFonts w:hint="eastAsia"/>
      </w:rPr>
      <w:instrText xml:space="preserve">PAGE  \* MERGEFORMAT</w:instrText>
    </w:r>
    <w:r>
      <w:fldChar w:fldCharType="separate"/>
    </w:r>
    <w:r>
      <w:rPr>
        <w:rFonts w:ascii="宋体" w:hAnsi="宋体" w:eastAsia="宋体"/>
        <w:lang w:val="zh-CN"/>
      </w:rPr>
      <w:t>1</w:t>
    </w:r>
    <w:r>
      <w:rPr>
        <w:rFonts w:ascii="宋体" w:hAnsi="宋体" w:eastAsia="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docVars>
    <w:docVar w:name="commondata" w:val="eyJoZGlkIjoiNWU5OGUyM2U1OTUyNmM0OWI3ZGMzMjhiNGEwNGZiNzcifQ=="/>
  </w:docVars>
  <w:rsids>
    <w:rsidRoot w:val="002D1356"/>
    <w:rsid w:val="00096221"/>
    <w:rsid w:val="000D7C62"/>
    <w:rsid w:val="002D1356"/>
    <w:rsid w:val="002E1420"/>
    <w:rsid w:val="00360151"/>
    <w:rsid w:val="004C4F11"/>
    <w:rsid w:val="00651147"/>
    <w:rsid w:val="006528F9"/>
    <w:rsid w:val="006B6E40"/>
    <w:rsid w:val="00766D94"/>
    <w:rsid w:val="0077012B"/>
    <w:rsid w:val="0095759E"/>
    <w:rsid w:val="00A61AF1"/>
    <w:rsid w:val="00AB45AF"/>
    <w:rsid w:val="00AC1F94"/>
    <w:rsid w:val="00B64DC5"/>
    <w:rsid w:val="00BC3577"/>
    <w:rsid w:val="00C26C71"/>
    <w:rsid w:val="00CB471C"/>
    <w:rsid w:val="00D91D96"/>
    <w:rsid w:val="00E2315F"/>
    <w:rsid w:val="00E239E1"/>
    <w:rsid w:val="00EB0183"/>
    <w:rsid w:val="00EF7560"/>
    <w:rsid w:val="00F12193"/>
    <w:rsid w:val="00F2514E"/>
    <w:rsid w:val="00FA7B01"/>
    <w:rsid w:val="13B935BE"/>
    <w:rsid w:val="477D7FA9"/>
    <w:rsid w:val="6EC52807"/>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000000" w:sz="6" w:space="1"/>
      </w:pBdr>
      <w:tabs>
        <w:tab w:val="center" w:pos="4153"/>
        <w:tab w:val="right" w:pos="8306"/>
      </w:tabs>
      <w:snapToGrid w:val="0"/>
      <w:jc w:val="center"/>
    </w:pPr>
    <w:rPr>
      <w:sz w:val="18"/>
      <w:szCs w:val="18"/>
    </w:rPr>
  </w:style>
  <w:style w:type="paragraph" w:styleId="6">
    <w:name w:val="annotation subject"/>
    <w:link w:val="15"/>
    <w:semiHidden/>
    <w:unhideWhenUsed/>
    <w:qFormat/>
    <w:uiPriority w:val="0"/>
    <w:rPr>
      <w:rFonts w:ascii="Times New Roman" w:hAnsi="Times New Roman" w:eastAsia="宋体" w:cs="Times New Roman"/>
      <w:b/>
      <w:lang w:val="en-US" w:eastAsia="zh-CN" w:bidi="ar-SA"/>
    </w:rPr>
  </w:style>
  <w:style w:type="table" w:styleId="8">
    <w:name w:val="Table Grid"/>
    <w:basedOn w:val="7"/>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paragraph" w:styleId="11">
    <w:name w:val="List Paragraph"/>
    <w:basedOn w:val="1"/>
    <w:qFormat/>
    <w:uiPriority w:val="26"/>
    <w:pPr>
      <w:ind w:firstLine="420"/>
    </w:pPr>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0"/>
    <w:rPr>
      <w:sz w:val="18"/>
      <w:szCs w:val="18"/>
    </w:rPr>
  </w:style>
  <w:style w:type="character" w:customStyle="1" w:styleId="14">
    <w:name w:val="批注文字 字符"/>
    <w:basedOn w:val="9"/>
    <w:link w:val="2"/>
    <w:semiHidden/>
    <w:qFormat/>
    <w:uiPriority w:val="0"/>
  </w:style>
  <w:style w:type="character" w:customStyle="1" w:styleId="15">
    <w:name w:val="批注主题 字符"/>
    <w:basedOn w:val="14"/>
    <w:link w:val="6"/>
    <w:semiHidden/>
    <w:qFormat/>
    <w:uiPriority w:val="0"/>
    <w:rPr>
      <w:b/>
    </w:rPr>
  </w:style>
  <w:style w:type="character" w:customStyle="1" w:styleId="16">
    <w:name w:val="批注框文本 字符"/>
    <w:basedOn w:val="9"/>
    <w:link w:val="3"/>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145</Words>
  <Characters>829</Characters>
  <Lines>6</Lines>
  <Paragraphs>1</Paragraphs>
  <TotalTime>7</TotalTime>
  <ScaleCrop>false</ScaleCrop>
  <LinksUpToDate>false</LinksUpToDate>
  <CharactersWithSpaces>973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2021-05-07T09:34:00Z</dcterms:created>
  <dc:creator>张启艳</dc:creator>
  <cp:lastModifiedBy>张启艳</cp:lastModifiedBy>
  <dcterms:modified xsi:type="dcterms:W3CDTF">2024-11-19T09:07:27Z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85B3739683AB4E29B0F5216281A15C67_12</vt:lpwstr>
  </property>
</Properties>
</file>