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734EE" w14:textId="107128CE" w:rsidR="006223DF" w:rsidRDefault="00000000">
      <w:pPr>
        <w:snapToGrid w:val="0"/>
        <w:spacing w:beforeLines="50" w:before="156" w:afterLines="50" w:after="156" w:line="420" w:lineRule="auto"/>
        <w:rPr>
          <w:rFonts w:ascii="宋体" w:hAnsi="宋体"/>
          <w:bCs/>
          <w:iCs/>
          <w:color w:val="000000"/>
          <w:sz w:val="24"/>
        </w:rPr>
      </w:pPr>
      <w:r>
        <w:rPr>
          <w:rFonts w:ascii="宋体" w:hAnsi="宋体" w:hint="eastAsia"/>
          <w:bCs/>
          <w:iCs/>
          <w:color w:val="000000"/>
          <w:sz w:val="24"/>
        </w:rPr>
        <w:t>证券代码：60</w:t>
      </w:r>
      <w:r>
        <w:rPr>
          <w:rFonts w:ascii="宋体" w:hAnsi="宋体"/>
          <w:bCs/>
          <w:iCs/>
          <w:color w:val="000000"/>
          <w:sz w:val="24"/>
        </w:rPr>
        <w:t>0</w:t>
      </w:r>
      <w:r w:rsidR="0022306A">
        <w:rPr>
          <w:rFonts w:ascii="宋体" w:hAnsi="宋体" w:hint="eastAsia"/>
          <w:bCs/>
          <w:iCs/>
          <w:color w:val="000000"/>
          <w:sz w:val="24"/>
        </w:rPr>
        <w:t>759</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证券简称：</w:t>
      </w:r>
      <w:r w:rsidR="0022306A">
        <w:rPr>
          <w:rFonts w:ascii="宋体" w:hAnsi="宋体" w:hint="eastAsia"/>
          <w:bCs/>
          <w:iCs/>
          <w:color w:val="000000"/>
          <w:sz w:val="24"/>
        </w:rPr>
        <w:t>洲际油气</w:t>
      </w:r>
    </w:p>
    <w:p w14:paraId="5C4647EE" w14:textId="6A1F1FE2" w:rsidR="006223DF" w:rsidRDefault="0022306A">
      <w:pPr>
        <w:snapToGrid w:val="0"/>
        <w:spacing w:beforeLines="50" w:before="156" w:afterLines="50" w:after="156"/>
        <w:jc w:val="center"/>
        <w:rPr>
          <w:rFonts w:ascii="宋体" w:hAnsi="宋体"/>
          <w:b/>
          <w:bCs/>
          <w:iCs/>
          <w:color w:val="000000"/>
          <w:sz w:val="32"/>
          <w:szCs w:val="32"/>
        </w:rPr>
      </w:pPr>
      <w:r>
        <w:rPr>
          <w:rFonts w:ascii="宋体" w:hAnsi="宋体" w:hint="eastAsia"/>
          <w:b/>
          <w:bCs/>
          <w:iCs/>
          <w:color w:val="000000"/>
          <w:sz w:val="32"/>
          <w:szCs w:val="32"/>
        </w:rPr>
        <w:t>洲际油气股份有限公司</w:t>
      </w:r>
    </w:p>
    <w:p w14:paraId="0F425B84" w14:textId="77777777" w:rsidR="006223DF" w:rsidRDefault="00000000">
      <w:pPr>
        <w:snapToGrid w:val="0"/>
        <w:spacing w:beforeLines="50" w:before="156" w:afterLines="50" w:after="156"/>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7FBD9990" w14:textId="68E50714" w:rsidR="006223DF" w:rsidRDefault="00000000">
      <w:pPr>
        <w:snapToGrid w:val="0"/>
        <w:rPr>
          <w:rFonts w:ascii="宋体" w:hAnsi="宋体"/>
          <w:bCs/>
          <w:iCs/>
          <w:color w:val="000000"/>
          <w:sz w:val="24"/>
        </w:rPr>
      </w:pPr>
      <w:r>
        <w:rPr>
          <w:rFonts w:ascii="宋体" w:hAnsi="宋体" w:hint="eastAsia"/>
          <w:bCs/>
          <w:iCs/>
          <w:color w:val="000000"/>
          <w:sz w:val="24"/>
        </w:rPr>
        <w:t xml:space="preserve">                                                 </w:t>
      </w:r>
      <w:r>
        <w:rPr>
          <w:rFonts w:ascii="宋体" w:hAnsi="宋体"/>
          <w:bCs/>
          <w:iCs/>
          <w:color w:val="000000"/>
          <w:sz w:val="24"/>
        </w:rPr>
        <w:t xml:space="preserve">    </w:t>
      </w:r>
    </w:p>
    <w:tbl>
      <w:tblPr>
        <w:tblStyle w:val="a9"/>
        <w:tblW w:w="0" w:type="auto"/>
        <w:tblLayout w:type="fixed"/>
        <w:tblLook w:val="04A0" w:firstRow="1" w:lastRow="0" w:firstColumn="1" w:lastColumn="0" w:noHBand="0" w:noVBand="1"/>
      </w:tblPr>
      <w:tblGrid>
        <w:gridCol w:w="704"/>
        <w:gridCol w:w="7592"/>
      </w:tblGrid>
      <w:tr w:rsidR="006223DF" w:rsidRPr="003904D8" w14:paraId="5AC7047C" w14:textId="77777777" w:rsidTr="003904D8">
        <w:tc>
          <w:tcPr>
            <w:tcW w:w="704" w:type="dxa"/>
            <w:vAlign w:val="center"/>
          </w:tcPr>
          <w:p w14:paraId="27B91583" w14:textId="77777777" w:rsidR="006223DF" w:rsidRPr="003904D8" w:rsidRDefault="00000000">
            <w:pPr>
              <w:rPr>
                <w:rFonts w:ascii="宋体" w:hAnsi="宋体"/>
                <w:b/>
                <w:bCs/>
                <w:iCs/>
                <w:color w:val="000000"/>
                <w:kern w:val="0"/>
                <w:sz w:val="24"/>
              </w:rPr>
            </w:pPr>
            <w:r w:rsidRPr="003904D8">
              <w:rPr>
                <w:rFonts w:ascii="宋体" w:hAnsi="宋体" w:hint="eastAsia"/>
                <w:b/>
                <w:bCs/>
                <w:iCs/>
                <w:color w:val="000000"/>
                <w:kern w:val="0"/>
                <w:sz w:val="24"/>
              </w:rPr>
              <w:t>投资者关系活动类别</w:t>
            </w:r>
          </w:p>
        </w:tc>
        <w:tc>
          <w:tcPr>
            <w:tcW w:w="7592" w:type="dxa"/>
          </w:tcPr>
          <w:p w14:paraId="027B0129" w14:textId="77777777" w:rsidR="006223DF" w:rsidRPr="003904D8" w:rsidRDefault="00000000">
            <w:pPr>
              <w:rPr>
                <w:rFonts w:ascii="宋体" w:hAnsi="宋体"/>
                <w:bCs/>
                <w:iCs/>
                <w:color w:val="000000"/>
                <w:kern w:val="0"/>
                <w:sz w:val="24"/>
              </w:rPr>
            </w:pPr>
            <w:r w:rsidRPr="003904D8">
              <w:rPr>
                <w:rFonts w:ascii="宋体" w:hAnsi="宋体" w:hint="eastAsia"/>
                <w:bCs/>
                <w:iCs/>
                <w:color w:val="000000"/>
                <w:kern w:val="0"/>
                <w:sz w:val="24"/>
              </w:rPr>
              <w:sym w:font="Wingdings 2" w:char="F052"/>
            </w:r>
            <w:r w:rsidRPr="003904D8">
              <w:rPr>
                <w:rFonts w:ascii="宋体" w:hAnsi="宋体" w:hint="eastAsia"/>
                <w:kern w:val="0"/>
                <w:sz w:val="24"/>
              </w:rPr>
              <w:t xml:space="preserve">特定对象调研       </w:t>
            </w:r>
            <w:r w:rsidRPr="003904D8">
              <w:rPr>
                <w:rFonts w:ascii="宋体" w:hAnsi="宋体"/>
                <w:kern w:val="0"/>
                <w:sz w:val="24"/>
              </w:rPr>
              <w:t xml:space="preserve"> </w:t>
            </w:r>
            <w:r w:rsidRPr="003904D8">
              <w:rPr>
                <w:rFonts w:ascii="宋体" w:hAnsi="宋体" w:hint="eastAsia"/>
                <w:bCs/>
                <w:iCs/>
                <w:color w:val="000000"/>
                <w:kern w:val="0"/>
                <w:sz w:val="24"/>
              </w:rPr>
              <w:t>□</w:t>
            </w:r>
            <w:r w:rsidRPr="003904D8">
              <w:rPr>
                <w:rFonts w:ascii="宋体" w:hAnsi="宋体" w:hint="eastAsia"/>
                <w:kern w:val="0"/>
                <w:sz w:val="24"/>
              </w:rPr>
              <w:t>分析师会议</w:t>
            </w:r>
          </w:p>
          <w:p w14:paraId="43E828B5" w14:textId="77777777" w:rsidR="006223DF" w:rsidRPr="003904D8" w:rsidRDefault="00000000">
            <w:pPr>
              <w:rPr>
                <w:rFonts w:ascii="宋体" w:hAnsi="宋体"/>
                <w:bCs/>
                <w:iCs/>
                <w:color w:val="000000"/>
                <w:kern w:val="0"/>
                <w:sz w:val="24"/>
              </w:rPr>
            </w:pPr>
            <w:r w:rsidRPr="003904D8">
              <w:rPr>
                <w:rFonts w:ascii="宋体" w:hAnsi="宋体" w:hint="eastAsia"/>
                <w:bCs/>
                <w:iCs/>
                <w:color w:val="000000"/>
                <w:kern w:val="0"/>
                <w:sz w:val="24"/>
              </w:rPr>
              <w:t>□</w:t>
            </w:r>
            <w:r w:rsidRPr="003904D8">
              <w:rPr>
                <w:rFonts w:ascii="宋体" w:hAnsi="宋体" w:hint="eastAsia"/>
                <w:kern w:val="0"/>
                <w:sz w:val="24"/>
              </w:rPr>
              <w:t xml:space="preserve">媒体采访            </w:t>
            </w:r>
            <w:r w:rsidRPr="003904D8">
              <w:rPr>
                <w:rFonts w:ascii="宋体" w:hAnsi="宋体" w:hint="eastAsia"/>
                <w:bCs/>
                <w:iCs/>
                <w:color w:val="000000"/>
                <w:kern w:val="0"/>
                <w:sz w:val="24"/>
              </w:rPr>
              <w:t>□</w:t>
            </w:r>
            <w:r w:rsidRPr="003904D8">
              <w:rPr>
                <w:rFonts w:ascii="宋体" w:hAnsi="宋体" w:hint="eastAsia"/>
                <w:kern w:val="0"/>
                <w:sz w:val="24"/>
              </w:rPr>
              <w:t>业绩说明会</w:t>
            </w:r>
          </w:p>
          <w:p w14:paraId="3C6E850B" w14:textId="77777777" w:rsidR="006223DF" w:rsidRPr="003904D8" w:rsidRDefault="00000000">
            <w:pPr>
              <w:rPr>
                <w:rFonts w:ascii="宋体" w:hAnsi="宋体"/>
                <w:bCs/>
                <w:iCs/>
                <w:color w:val="000000"/>
                <w:kern w:val="0"/>
                <w:sz w:val="24"/>
              </w:rPr>
            </w:pPr>
            <w:r w:rsidRPr="003904D8">
              <w:rPr>
                <w:rFonts w:ascii="宋体" w:hAnsi="宋体" w:hint="eastAsia"/>
                <w:bCs/>
                <w:iCs/>
                <w:color w:val="000000"/>
                <w:kern w:val="0"/>
                <w:sz w:val="24"/>
              </w:rPr>
              <w:t>□</w:t>
            </w:r>
            <w:r w:rsidRPr="003904D8">
              <w:rPr>
                <w:rFonts w:ascii="宋体" w:hAnsi="宋体" w:hint="eastAsia"/>
                <w:kern w:val="0"/>
                <w:sz w:val="24"/>
              </w:rPr>
              <w:t xml:space="preserve">新闻发布会          </w:t>
            </w:r>
            <w:r w:rsidRPr="003904D8">
              <w:rPr>
                <w:rFonts w:ascii="宋体" w:hAnsi="宋体" w:hint="eastAsia"/>
                <w:bCs/>
                <w:iCs/>
                <w:color w:val="000000"/>
                <w:kern w:val="0"/>
                <w:sz w:val="24"/>
              </w:rPr>
              <w:sym w:font="Wingdings 2" w:char="F052"/>
            </w:r>
            <w:r w:rsidRPr="003904D8">
              <w:rPr>
                <w:rFonts w:ascii="宋体" w:hAnsi="宋体" w:hint="eastAsia"/>
                <w:kern w:val="0"/>
                <w:sz w:val="24"/>
              </w:rPr>
              <w:t>路演活动</w:t>
            </w:r>
          </w:p>
          <w:p w14:paraId="76F2C6F1" w14:textId="45BCA280" w:rsidR="006223DF" w:rsidRPr="003904D8" w:rsidRDefault="00957839">
            <w:pPr>
              <w:tabs>
                <w:tab w:val="left" w:pos="2570"/>
                <w:tab w:val="center" w:pos="3199"/>
              </w:tabs>
              <w:rPr>
                <w:rFonts w:ascii="宋体" w:hAnsi="宋体"/>
                <w:bCs/>
                <w:iCs/>
                <w:color w:val="000000"/>
                <w:kern w:val="0"/>
                <w:sz w:val="24"/>
              </w:rPr>
            </w:pPr>
            <w:r w:rsidRPr="003904D8">
              <w:rPr>
                <w:rFonts w:ascii="宋体" w:hAnsi="宋体" w:hint="eastAsia"/>
                <w:bCs/>
                <w:iCs/>
                <w:color w:val="000000"/>
                <w:kern w:val="0"/>
                <w:sz w:val="24"/>
              </w:rPr>
              <w:t>□</w:t>
            </w:r>
            <w:r w:rsidR="00D82DCF" w:rsidRPr="003904D8">
              <w:rPr>
                <w:rFonts w:ascii="宋体" w:hAnsi="宋体" w:hint="eastAsia"/>
                <w:kern w:val="0"/>
                <w:sz w:val="24"/>
              </w:rPr>
              <w:t xml:space="preserve">现场参观 </w:t>
            </w:r>
            <w:r w:rsidR="00D82DCF" w:rsidRPr="003904D8">
              <w:rPr>
                <w:rFonts w:ascii="宋体" w:hAnsi="宋体"/>
                <w:kern w:val="0"/>
                <w:sz w:val="24"/>
              </w:rPr>
              <w:t xml:space="preserve">           </w:t>
            </w:r>
            <w:r w:rsidRPr="003904D8">
              <w:rPr>
                <w:rFonts w:ascii="宋体" w:hAnsi="宋体" w:hint="eastAsia"/>
                <w:bCs/>
                <w:iCs/>
                <w:color w:val="000000"/>
                <w:kern w:val="0"/>
                <w:sz w:val="24"/>
              </w:rPr>
              <w:t>□</w:t>
            </w:r>
            <w:r w:rsidR="00CD6520" w:rsidRPr="003904D8">
              <w:rPr>
                <w:rFonts w:ascii="宋体" w:hAnsi="宋体" w:hint="eastAsia"/>
                <w:bCs/>
                <w:iCs/>
                <w:color w:val="000000"/>
                <w:kern w:val="0"/>
                <w:sz w:val="24"/>
              </w:rPr>
              <w:t>其他</w:t>
            </w:r>
          </w:p>
        </w:tc>
      </w:tr>
      <w:tr w:rsidR="006223DF" w:rsidRPr="003904D8" w14:paraId="75F4AE7B" w14:textId="77777777" w:rsidTr="003904D8">
        <w:tc>
          <w:tcPr>
            <w:tcW w:w="704" w:type="dxa"/>
            <w:vAlign w:val="center"/>
          </w:tcPr>
          <w:p w14:paraId="2003E97B" w14:textId="4EE19176" w:rsidR="006223DF" w:rsidRPr="003904D8" w:rsidRDefault="00000000">
            <w:pPr>
              <w:rPr>
                <w:rFonts w:ascii="宋体" w:hAnsi="宋体"/>
                <w:b/>
                <w:bCs/>
                <w:iCs/>
                <w:color w:val="000000"/>
                <w:kern w:val="0"/>
                <w:sz w:val="24"/>
              </w:rPr>
            </w:pPr>
            <w:r w:rsidRPr="003904D8">
              <w:rPr>
                <w:rFonts w:ascii="宋体" w:hAnsi="宋体" w:hint="eastAsia"/>
                <w:b/>
                <w:bCs/>
                <w:iCs/>
                <w:color w:val="000000"/>
                <w:kern w:val="0"/>
                <w:sz w:val="24"/>
              </w:rPr>
              <w:t>参与单位名称</w:t>
            </w:r>
          </w:p>
        </w:tc>
        <w:tc>
          <w:tcPr>
            <w:tcW w:w="7592" w:type="dxa"/>
          </w:tcPr>
          <w:p w14:paraId="5120E4C1" w14:textId="6A0F71E0" w:rsidR="006223DF" w:rsidRPr="003904D8" w:rsidRDefault="00586D83">
            <w:pPr>
              <w:rPr>
                <w:rFonts w:ascii="宋体" w:hAnsi="宋体"/>
                <w:bCs/>
                <w:iCs/>
                <w:color w:val="000000" w:themeColor="text1"/>
                <w:kern w:val="0"/>
                <w:sz w:val="24"/>
              </w:rPr>
            </w:pPr>
            <w:r w:rsidRPr="003904D8">
              <w:rPr>
                <w:rFonts w:ascii="宋体" w:hAnsi="宋体"/>
                <w:spacing w:val="1"/>
                <w:sz w:val="24"/>
              </w:rPr>
              <w:t>中</w:t>
            </w:r>
            <w:proofErr w:type="gramStart"/>
            <w:r w:rsidRPr="003904D8">
              <w:rPr>
                <w:rFonts w:ascii="宋体" w:hAnsi="宋体"/>
                <w:spacing w:val="1"/>
                <w:sz w:val="24"/>
              </w:rPr>
              <w:t>邮创业</w:t>
            </w:r>
            <w:proofErr w:type="gramEnd"/>
            <w:r w:rsidRPr="003904D8">
              <w:rPr>
                <w:rFonts w:ascii="宋体" w:hAnsi="宋体"/>
                <w:spacing w:val="1"/>
                <w:sz w:val="24"/>
              </w:rPr>
              <w:t>基金</w:t>
            </w:r>
            <w:r w:rsidRPr="003904D8">
              <w:rPr>
                <w:rFonts w:ascii="宋体" w:hAnsi="宋体" w:hint="eastAsia"/>
                <w:spacing w:val="1"/>
                <w:sz w:val="24"/>
              </w:rPr>
              <w:t>、</w:t>
            </w:r>
            <w:r w:rsidRPr="003904D8">
              <w:rPr>
                <w:rFonts w:ascii="宋体" w:hAnsi="宋体"/>
                <w:spacing w:val="1"/>
                <w:sz w:val="24"/>
              </w:rPr>
              <w:t>中</w:t>
            </w:r>
            <w:proofErr w:type="gramStart"/>
            <w:r w:rsidRPr="003904D8">
              <w:rPr>
                <w:rFonts w:ascii="宋体" w:hAnsi="宋体"/>
                <w:spacing w:val="1"/>
                <w:sz w:val="24"/>
              </w:rPr>
              <w:t>信建投基金</w:t>
            </w:r>
            <w:proofErr w:type="gramEnd"/>
            <w:r w:rsidRPr="003904D8">
              <w:rPr>
                <w:rFonts w:ascii="宋体" w:hAnsi="宋体" w:hint="eastAsia"/>
                <w:spacing w:val="1"/>
                <w:sz w:val="24"/>
              </w:rPr>
              <w:t>、</w:t>
            </w:r>
            <w:r w:rsidRPr="003904D8">
              <w:rPr>
                <w:rFonts w:ascii="宋体" w:hAnsi="宋体"/>
                <w:spacing w:val="1"/>
                <w:sz w:val="24"/>
              </w:rPr>
              <w:t>国盛证券研究所</w:t>
            </w:r>
            <w:r w:rsidRPr="003904D8">
              <w:rPr>
                <w:rFonts w:ascii="宋体" w:hAnsi="宋体" w:hint="eastAsia"/>
                <w:spacing w:val="1"/>
                <w:sz w:val="24"/>
              </w:rPr>
              <w:t>、</w:t>
            </w:r>
            <w:r w:rsidRPr="003904D8">
              <w:rPr>
                <w:rFonts w:ascii="宋体" w:hAnsi="宋体"/>
                <w:spacing w:val="-2"/>
                <w:sz w:val="24"/>
              </w:rPr>
              <w:t>证券日报社</w:t>
            </w:r>
            <w:r w:rsidRPr="003904D8">
              <w:rPr>
                <w:rFonts w:ascii="宋体" w:hAnsi="宋体" w:hint="eastAsia"/>
                <w:spacing w:val="-2"/>
                <w:sz w:val="24"/>
              </w:rPr>
              <w:t>、</w:t>
            </w:r>
            <w:r w:rsidRPr="003904D8">
              <w:rPr>
                <w:rFonts w:ascii="宋体" w:hAnsi="宋体"/>
                <w:spacing w:val="2"/>
                <w:sz w:val="24"/>
              </w:rPr>
              <w:t>建信基金</w:t>
            </w:r>
            <w:r w:rsidRPr="003904D8">
              <w:rPr>
                <w:rFonts w:ascii="宋体" w:hAnsi="宋体" w:hint="eastAsia"/>
                <w:spacing w:val="2"/>
                <w:sz w:val="24"/>
              </w:rPr>
              <w:t>、</w:t>
            </w:r>
            <w:r w:rsidRPr="003904D8">
              <w:rPr>
                <w:rFonts w:ascii="宋体" w:hAnsi="宋体"/>
                <w:spacing w:val="2"/>
                <w:sz w:val="24"/>
              </w:rPr>
              <w:t>上海证券报</w:t>
            </w:r>
            <w:r w:rsidRPr="003904D8">
              <w:rPr>
                <w:rFonts w:ascii="宋体" w:hAnsi="宋体" w:hint="eastAsia"/>
                <w:spacing w:val="2"/>
                <w:sz w:val="24"/>
              </w:rPr>
              <w:t>、</w:t>
            </w:r>
            <w:proofErr w:type="gramStart"/>
            <w:r w:rsidRPr="003904D8">
              <w:rPr>
                <w:rFonts w:ascii="宋体" w:hAnsi="宋体"/>
                <w:spacing w:val="2"/>
                <w:sz w:val="24"/>
              </w:rPr>
              <w:t>颐</w:t>
            </w:r>
            <w:proofErr w:type="gramEnd"/>
            <w:r w:rsidRPr="003904D8">
              <w:rPr>
                <w:rFonts w:ascii="宋体" w:hAnsi="宋体"/>
                <w:spacing w:val="2"/>
                <w:sz w:val="24"/>
              </w:rPr>
              <w:t>和银丰</w:t>
            </w:r>
            <w:r w:rsidRPr="003904D8">
              <w:rPr>
                <w:rFonts w:ascii="宋体" w:hAnsi="宋体" w:hint="eastAsia"/>
                <w:spacing w:val="2"/>
                <w:sz w:val="24"/>
              </w:rPr>
              <w:t>、</w:t>
            </w:r>
            <w:r w:rsidRPr="003904D8">
              <w:rPr>
                <w:rFonts w:ascii="宋体" w:hAnsi="宋体"/>
                <w:spacing w:val="1"/>
                <w:sz w:val="24"/>
              </w:rPr>
              <w:t>民生加银基金</w:t>
            </w:r>
            <w:r w:rsidRPr="003904D8">
              <w:rPr>
                <w:rFonts w:ascii="宋体" w:hAnsi="宋体" w:hint="eastAsia"/>
                <w:spacing w:val="1"/>
                <w:sz w:val="24"/>
              </w:rPr>
              <w:t>、</w:t>
            </w:r>
            <w:r w:rsidRPr="003904D8">
              <w:rPr>
                <w:rFonts w:ascii="宋体" w:hAnsi="宋体"/>
                <w:spacing w:val="3"/>
                <w:sz w:val="24"/>
              </w:rPr>
              <w:t>东兴证券</w:t>
            </w:r>
            <w:r w:rsidRPr="003904D8">
              <w:rPr>
                <w:rFonts w:ascii="宋体" w:hAnsi="宋体" w:hint="eastAsia"/>
                <w:spacing w:val="3"/>
                <w:sz w:val="24"/>
              </w:rPr>
              <w:t>、</w:t>
            </w:r>
            <w:r w:rsidRPr="003904D8">
              <w:rPr>
                <w:rFonts w:ascii="宋体" w:hAnsi="宋体"/>
                <w:spacing w:val="-2"/>
                <w:sz w:val="24"/>
              </w:rPr>
              <w:t>华西证券</w:t>
            </w:r>
            <w:r w:rsidRPr="003904D8">
              <w:rPr>
                <w:rFonts w:ascii="宋体" w:hAnsi="宋体" w:hint="eastAsia"/>
                <w:spacing w:val="-2"/>
                <w:sz w:val="24"/>
              </w:rPr>
              <w:t>、</w:t>
            </w:r>
            <w:r w:rsidRPr="003904D8">
              <w:rPr>
                <w:rFonts w:ascii="宋体" w:hAnsi="宋体"/>
                <w:spacing w:val="-2"/>
                <w:sz w:val="24"/>
              </w:rPr>
              <w:t>太平洋证券</w:t>
            </w:r>
            <w:r w:rsidRPr="003904D8">
              <w:rPr>
                <w:rFonts w:ascii="宋体" w:hAnsi="宋体" w:hint="eastAsia"/>
                <w:spacing w:val="-2"/>
                <w:sz w:val="24"/>
              </w:rPr>
              <w:t>、</w:t>
            </w:r>
            <w:r w:rsidRPr="003904D8">
              <w:rPr>
                <w:rFonts w:ascii="宋体" w:hAnsi="宋体"/>
                <w:spacing w:val="-2"/>
                <w:sz w:val="24"/>
              </w:rPr>
              <w:t>广发证券</w:t>
            </w:r>
            <w:r w:rsidRPr="003904D8">
              <w:rPr>
                <w:rFonts w:ascii="宋体" w:hAnsi="宋体" w:hint="eastAsia"/>
                <w:spacing w:val="-2"/>
                <w:sz w:val="24"/>
              </w:rPr>
              <w:t>、</w:t>
            </w:r>
            <w:r w:rsidRPr="003904D8">
              <w:rPr>
                <w:rFonts w:ascii="宋体" w:hAnsi="宋体"/>
                <w:spacing w:val="2"/>
                <w:sz w:val="24"/>
              </w:rPr>
              <w:t>上海唐代传媒科技有限公司</w:t>
            </w:r>
            <w:r w:rsidRPr="003904D8">
              <w:rPr>
                <w:rFonts w:ascii="宋体" w:hAnsi="宋体" w:hint="eastAsia"/>
                <w:spacing w:val="2"/>
                <w:sz w:val="24"/>
              </w:rPr>
              <w:t>、</w:t>
            </w:r>
            <w:proofErr w:type="gramStart"/>
            <w:r w:rsidRPr="003904D8">
              <w:rPr>
                <w:rFonts w:ascii="宋体" w:hAnsi="宋体"/>
                <w:spacing w:val="4"/>
                <w:sz w:val="24"/>
              </w:rPr>
              <w:t>广发乾和</w:t>
            </w:r>
            <w:proofErr w:type="gramEnd"/>
            <w:r w:rsidRPr="003904D8">
              <w:rPr>
                <w:rFonts w:ascii="宋体" w:hAnsi="宋体" w:hint="eastAsia"/>
                <w:spacing w:val="4"/>
                <w:sz w:val="24"/>
              </w:rPr>
              <w:t>、</w:t>
            </w:r>
            <w:r w:rsidRPr="003904D8">
              <w:rPr>
                <w:rFonts w:ascii="宋体" w:hAnsi="宋体"/>
                <w:spacing w:val="3"/>
                <w:sz w:val="24"/>
              </w:rPr>
              <w:t>中</w:t>
            </w:r>
            <w:r w:rsidRPr="003904D8">
              <w:rPr>
                <w:rFonts w:ascii="宋体" w:hAnsi="宋体" w:hint="eastAsia"/>
                <w:spacing w:val="3"/>
                <w:sz w:val="24"/>
              </w:rPr>
              <w:t>国</w:t>
            </w:r>
            <w:r w:rsidRPr="003904D8">
              <w:rPr>
                <w:rFonts w:ascii="宋体" w:hAnsi="宋体"/>
                <w:spacing w:val="3"/>
                <w:sz w:val="24"/>
              </w:rPr>
              <w:t>证</w:t>
            </w:r>
            <w:r w:rsidRPr="003904D8">
              <w:rPr>
                <w:rFonts w:ascii="宋体" w:hAnsi="宋体" w:hint="eastAsia"/>
                <w:spacing w:val="3"/>
                <w:sz w:val="24"/>
              </w:rPr>
              <w:t>券</w:t>
            </w:r>
            <w:r w:rsidRPr="003904D8">
              <w:rPr>
                <w:rFonts w:ascii="宋体" w:hAnsi="宋体"/>
                <w:spacing w:val="3"/>
                <w:sz w:val="24"/>
              </w:rPr>
              <w:t>报</w:t>
            </w:r>
            <w:r w:rsidRPr="003904D8">
              <w:rPr>
                <w:rFonts w:ascii="宋体" w:hAnsi="宋体" w:hint="eastAsia"/>
                <w:spacing w:val="3"/>
                <w:sz w:val="24"/>
              </w:rPr>
              <w:t>、</w:t>
            </w:r>
            <w:r w:rsidRPr="003904D8">
              <w:rPr>
                <w:rFonts w:ascii="宋体" w:hAnsi="宋体"/>
                <w:spacing w:val="-2"/>
                <w:sz w:val="24"/>
              </w:rPr>
              <w:t>信达能源</w:t>
            </w:r>
            <w:r w:rsidRPr="003904D8">
              <w:rPr>
                <w:rFonts w:ascii="宋体" w:hAnsi="宋体" w:hint="eastAsia"/>
                <w:spacing w:val="-2"/>
                <w:sz w:val="24"/>
              </w:rPr>
              <w:t>、</w:t>
            </w:r>
            <w:proofErr w:type="gramStart"/>
            <w:r w:rsidRPr="003904D8">
              <w:rPr>
                <w:rFonts w:ascii="宋体" w:hAnsi="宋体"/>
                <w:spacing w:val="2"/>
                <w:sz w:val="24"/>
              </w:rPr>
              <w:t>允通企业管理</w:t>
            </w:r>
            <w:proofErr w:type="gramEnd"/>
            <w:r w:rsidRPr="003904D8">
              <w:rPr>
                <w:rFonts w:ascii="宋体" w:hAnsi="宋体"/>
                <w:spacing w:val="2"/>
                <w:sz w:val="24"/>
              </w:rPr>
              <w:t>(北京)有限公司</w:t>
            </w:r>
            <w:r w:rsidRPr="003904D8">
              <w:rPr>
                <w:rFonts w:ascii="宋体" w:hAnsi="宋体" w:hint="eastAsia"/>
                <w:spacing w:val="2"/>
                <w:sz w:val="24"/>
              </w:rPr>
              <w:t>、</w:t>
            </w:r>
            <w:r w:rsidRPr="003904D8">
              <w:rPr>
                <w:rFonts w:ascii="宋体" w:hAnsi="宋体"/>
                <w:spacing w:val="2"/>
                <w:sz w:val="24"/>
              </w:rPr>
              <w:t>北京雅智春芽科技发展中心(有限合伙)</w:t>
            </w:r>
            <w:r w:rsidRPr="003904D8">
              <w:rPr>
                <w:rFonts w:ascii="宋体" w:hAnsi="宋体" w:hint="eastAsia"/>
                <w:spacing w:val="2"/>
                <w:sz w:val="24"/>
              </w:rPr>
              <w:t>、</w:t>
            </w:r>
            <w:r w:rsidRPr="003904D8">
              <w:rPr>
                <w:rFonts w:ascii="宋体" w:hAnsi="宋体"/>
                <w:spacing w:val="-2"/>
                <w:sz w:val="24"/>
              </w:rPr>
              <w:t>广发化工</w:t>
            </w:r>
            <w:r w:rsidRPr="003904D8">
              <w:rPr>
                <w:rFonts w:ascii="宋体" w:hAnsi="宋体" w:hint="eastAsia"/>
                <w:spacing w:val="-2"/>
                <w:sz w:val="24"/>
              </w:rPr>
              <w:t>、</w:t>
            </w:r>
            <w:r w:rsidRPr="003904D8">
              <w:rPr>
                <w:rFonts w:ascii="宋体" w:hAnsi="宋体"/>
                <w:spacing w:val="2"/>
                <w:sz w:val="24"/>
              </w:rPr>
              <w:t>中信保</w:t>
            </w:r>
            <w:r w:rsidRPr="003904D8">
              <w:rPr>
                <w:rFonts w:ascii="宋体" w:hAnsi="宋体" w:hint="eastAsia"/>
                <w:spacing w:val="2"/>
                <w:sz w:val="24"/>
              </w:rPr>
              <w:t>、</w:t>
            </w:r>
            <w:r w:rsidRPr="003904D8">
              <w:rPr>
                <w:rFonts w:ascii="宋体" w:hAnsi="宋体"/>
                <w:spacing w:val="2"/>
                <w:sz w:val="24"/>
              </w:rPr>
              <w:t>中信银行</w:t>
            </w:r>
            <w:r w:rsidR="00F71A8A" w:rsidRPr="003904D8">
              <w:rPr>
                <w:rFonts w:ascii="宋体" w:hAnsi="宋体" w:hint="eastAsia"/>
                <w:spacing w:val="2"/>
                <w:sz w:val="24"/>
              </w:rPr>
              <w:t>、中泰证券、中银证券、民生证券、天风证券、</w:t>
            </w:r>
            <w:proofErr w:type="gramStart"/>
            <w:r w:rsidR="00F71A8A" w:rsidRPr="003904D8">
              <w:rPr>
                <w:rFonts w:ascii="宋体" w:hAnsi="宋体" w:hint="eastAsia"/>
                <w:spacing w:val="2"/>
                <w:sz w:val="24"/>
              </w:rPr>
              <w:t>厦门君韦信息技术</w:t>
            </w:r>
            <w:proofErr w:type="gramEnd"/>
            <w:r w:rsidR="00F71A8A" w:rsidRPr="003904D8">
              <w:rPr>
                <w:rFonts w:ascii="宋体" w:hAnsi="宋体" w:hint="eastAsia"/>
                <w:spacing w:val="2"/>
                <w:sz w:val="24"/>
              </w:rPr>
              <w:t>有限公司、</w:t>
            </w:r>
            <w:proofErr w:type="gramStart"/>
            <w:r w:rsidR="00F71A8A" w:rsidRPr="003904D8">
              <w:rPr>
                <w:rFonts w:ascii="宋体" w:hAnsi="宋体" w:hint="eastAsia"/>
                <w:spacing w:val="2"/>
                <w:sz w:val="24"/>
              </w:rPr>
              <w:t>允通企业管理</w:t>
            </w:r>
            <w:proofErr w:type="gramEnd"/>
            <w:r w:rsidR="00F71A8A" w:rsidRPr="003904D8">
              <w:rPr>
                <w:rFonts w:ascii="宋体" w:hAnsi="宋体" w:hint="eastAsia"/>
                <w:spacing w:val="2"/>
                <w:sz w:val="24"/>
              </w:rPr>
              <w:t>(北京)有限公司、信达证券、北京天蝎座资产管理有限公司</w:t>
            </w:r>
          </w:p>
        </w:tc>
      </w:tr>
      <w:tr w:rsidR="006223DF" w:rsidRPr="003904D8" w14:paraId="1804B4ED" w14:textId="77777777" w:rsidTr="003904D8">
        <w:tc>
          <w:tcPr>
            <w:tcW w:w="704" w:type="dxa"/>
            <w:vAlign w:val="center"/>
          </w:tcPr>
          <w:p w14:paraId="46D693E1" w14:textId="77777777" w:rsidR="006223DF" w:rsidRPr="003904D8" w:rsidRDefault="00000000">
            <w:pPr>
              <w:rPr>
                <w:rFonts w:ascii="宋体" w:hAnsi="宋体"/>
                <w:b/>
                <w:bCs/>
                <w:iCs/>
                <w:color w:val="000000"/>
                <w:kern w:val="0"/>
                <w:sz w:val="24"/>
              </w:rPr>
            </w:pPr>
            <w:r w:rsidRPr="003904D8">
              <w:rPr>
                <w:rFonts w:ascii="宋体" w:hAnsi="宋体" w:hint="eastAsia"/>
                <w:b/>
                <w:bCs/>
                <w:iCs/>
                <w:color w:val="000000"/>
                <w:kern w:val="0"/>
                <w:sz w:val="24"/>
              </w:rPr>
              <w:t>时间</w:t>
            </w:r>
          </w:p>
        </w:tc>
        <w:tc>
          <w:tcPr>
            <w:tcW w:w="7592" w:type="dxa"/>
            <w:vAlign w:val="center"/>
          </w:tcPr>
          <w:p w14:paraId="30F3E77F" w14:textId="1E54E644" w:rsidR="006223DF" w:rsidRPr="003904D8" w:rsidRDefault="00000000">
            <w:pPr>
              <w:rPr>
                <w:rFonts w:ascii="宋体" w:hAnsi="宋体"/>
                <w:bCs/>
                <w:iCs/>
                <w:color w:val="000000"/>
                <w:kern w:val="0"/>
                <w:sz w:val="24"/>
              </w:rPr>
            </w:pPr>
            <w:r w:rsidRPr="003904D8">
              <w:rPr>
                <w:rFonts w:ascii="宋体" w:hAnsi="宋体"/>
                <w:bCs/>
                <w:iCs/>
                <w:color w:val="000000"/>
                <w:kern w:val="0"/>
                <w:sz w:val="24"/>
              </w:rPr>
              <w:t>2024年</w:t>
            </w:r>
            <w:r w:rsidR="0007616B" w:rsidRPr="003904D8">
              <w:rPr>
                <w:rFonts w:ascii="宋体" w:hAnsi="宋体" w:hint="eastAsia"/>
                <w:bCs/>
                <w:iCs/>
                <w:color w:val="000000"/>
                <w:kern w:val="0"/>
                <w:sz w:val="24"/>
              </w:rPr>
              <w:t>1</w:t>
            </w:r>
            <w:r w:rsidR="00023FD1" w:rsidRPr="003904D8">
              <w:rPr>
                <w:rFonts w:ascii="宋体" w:hAnsi="宋体" w:hint="eastAsia"/>
                <w:bCs/>
                <w:iCs/>
                <w:color w:val="000000"/>
                <w:kern w:val="0"/>
                <w:sz w:val="24"/>
              </w:rPr>
              <w:t>1</w:t>
            </w:r>
            <w:r w:rsidRPr="003904D8">
              <w:rPr>
                <w:rFonts w:ascii="宋体" w:hAnsi="宋体"/>
                <w:bCs/>
                <w:iCs/>
                <w:color w:val="000000"/>
                <w:kern w:val="0"/>
                <w:sz w:val="24"/>
              </w:rPr>
              <w:t>月</w:t>
            </w:r>
            <w:r w:rsidR="0022306A" w:rsidRPr="003904D8">
              <w:rPr>
                <w:rFonts w:ascii="宋体" w:hAnsi="宋体" w:hint="eastAsia"/>
                <w:bCs/>
                <w:iCs/>
                <w:color w:val="000000"/>
                <w:kern w:val="0"/>
                <w:sz w:val="24"/>
              </w:rPr>
              <w:t>20</w:t>
            </w:r>
            <w:r w:rsidR="00156818" w:rsidRPr="003904D8">
              <w:rPr>
                <w:rFonts w:ascii="宋体" w:hAnsi="宋体" w:hint="eastAsia"/>
                <w:bCs/>
                <w:iCs/>
                <w:color w:val="000000"/>
                <w:kern w:val="0"/>
                <w:sz w:val="24"/>
              </w:rPr>
              <w:t>日（星期</w:t>
            </w:r>
            <w:r w:rsidR="0022306A" w:rsidRPr="003904D8">
              <w:rPr>
                <w:rFonts w:ascii="宋体" w:hAnsi="宋体" w:hint="eastAsia"/>
                <w:bCs/>
                <w:iCs/>
                <w:color w:val="000000"/>
                <w:kern w:val="0"/>
                <w:sz w:val="24"/>
              </w:rPr>
              <w:t>三</w:t>
            </w:r>
            <w:r w:rsidR="00156818" w:rsidRPr="003904D8">
              <w:rPr>
                <w:rFonts w:ascii="宋体" w:hAnsi="宋体" w:hint="eastAsia"/>
                <w:bCs/>
                <w:iCs/>
                <w:color w:val="000000"/>
                <w:kern w:val="0"/>
                <w:sz w:val="24"/>
              </w:rPr>
              <w:t>）</w:t>
            </w:r>
            <w:r w:rsidR="006A4F6C" w:rsidRPr="003904D8">
              <w:rPr>
                <w:rFonts w:ascii="宋体" w:hAnsi="宋体" w:hint="eastAsia"/>
                <w:bCs/>
                <w:iCs/>
                <w:color w:val="000000"/>
                <w:kern w:val="0"/>
                <w:sz w:val="24"/>
              </w:rPr>
              <w:t>1</w:t>
            </w:r>
            <w:r w:rsidR="0022306A" w:rsidRPr="003904D8">
              <w:rPr>
                <w:rFonts w:ascii="宋体" w:hAnsi="宋体" w:hint="eastAsia"/>
                <w:bCs/>
                <w:iCs/>
                <w:color w:val="000000"/>
                <w:kern w:val="0"/>
                <w:sz w:val="24"/>
              </w:rPr>
              <w:t>4</w:t>
            </w:r>
            <w:r w:rsidR="00156818" w:rsidRPr="003904D8">
              <w:rPr>
                <w:rFonts w:ascii="宋体" w:hAnsi="宋体" w:hint="eastAsia"/>
                <w:bCs/>
                <w:iCs/>
                <w:color w:val="000000"/>
                <w:kern w:val="0"/>
                <w:sz w:val="24"/>
              </w:rPr>
              <w:t>:</w:t>
            </w:r>
            <w:r w:rsidR="00A15A55">
              <w:rPr>
                <w:rFonts w:ascii="宋体" w:hAnsi="宋体" w:hint="eastAsia"/>
                <w:bCs/>
                <w:iCs/>
                <w:color w:val="000000"/>
                <w:kern w:val="0"/>
                <w:sz w:val="24"/>
              </w:rPr>
              <w:t>0</w:t>
            </w:r>
            <w:r w:rsidR="000150BC" w:rsidRPr="003904D8">
              <w:rPr>
                <w:rFonts w:ascii="宋体" w:hAnsi="宋体" w:hint="eastAsia"/>
                <w:bCs/>
                <w:iCs/>
                <w:color w:val="000000"/>
                <w:kern w:val="0"/>
                <w:sz w:val="24"/>
              </w:rPr>
              <w:t>0</w:t>
            </w:r>
            <w:r w:rsidR="00156818" w:rsidRPr="003904D8">
              <w:rPr>
                <w:rFonts w:ascii="宋体" w:hAnsi="宋体" w:hint="eastAsia"/>
                <w:bCs/>
                <w:iCs/>
                <w:color w:val="000000"/>
                <w:kern w:val="0"/>
                <w:sz w:val="24"/>
              </w:rPr>
              <w:t>-</w:t>
            </w:r>
            <w:r w:rsidR="000150BC" w:rsidRPr="003904D8">
              <w:rPr>
                <w:rFonts w:ascii="宋体" w:hAnsi="宋体" w:hint="eastAsia"/>
                <w:bCs/>
                <w:iCs/>
                <w:color w:val="000000"/>
                <w:kern w:val="0"/>
                <w:sz w:val="24"/>
              </w:rPr>
              <w:t>1</w:t>
            </w:r>
            <w:r w:rsidR="00A15A55">
              <w:rPr>
                <w:rFonts w:ascii="宋体" w:hAnsi="宋体" w:hint="eastAsia"/>
                <w:bCs/>
                <w:iCs/>
                <w:color w:val="000000"/>
                <w:kern w:val="0"/>
                <w:sz w:val="24"/>
              </w:rPr>
              <w:t>8</w:t>
            </w:r>
            <w:r w:rsidR="00156818" w:rsidRPr="003904D8">
              <w:rPr>
                <w:rFonts w:ascii="宋体" w:hAnsi="宋体" w:hint="eastAsia"/>
                <w:bCs/>
                <w:iCs/>
                <w:color w:val="000000"/>
                <w:kern w:val="0"/>
                <w:sz w:val="24"/>
              </w:rPr>
              <w:t>:</w:t>
            </w:r>
            <w:r w:rsidR="00A15A55">
              <w:rPr>
                <w:rFonts w:ascii="宋体" w:hAnsi="宋体" w:hint="eastAsia"/>
                <w:bCs/>
                <w:iCs/>
                <w:color w:val="000000"/>
                <w:kern w:val="0"/>
                <w:sz w:val="24"/>
              </w:rPr>
              <w:t>0</w:t>
            </w:r>
            <w:r w:rsidR="000150BC" w:rsidRPr="003904D8">
              <w:rPr>
                <w:rFonts w:ascii="宋体" w:hAnsi="宋体" w:hint="eastAsia"/>
                <w:bCs/>
                <w:iCs/>
                <w:color w:val="000000"/>
                <w:kern w:val="0"/>
                <w:sz w:val="24"/>
              </w:rPr>
              <w:t>0</w:t>
            </w:r>
          </w:p>
        </w:tc>
      </w:tr>
      <w:tr w:rsidR="006223DF" w:rsidRPr="003904D8" w14:paraId="15C5FB66" w14:textId="77777777" w:rsidTr="003904D8">
        <w:tc>
          <w:tcPr>
            <w:tcW w:w="704" w:type="dxa"/>
            <w:vAlign w:val="center"/>
          </w:tcPr>
          <w:p w14:paraId="079DAE02" w14:textId="77777777" w:rsidR="006223DF" w:rsidRPr="003904D8" w:rsidRDefault="00000000">
            <w:pPr>
              <w:rPr>
                <w:rFonts w:ascii="宋体" w:hAnsi="宋体"/>
                <w:b/>
                <w:bCs/>
                <w:iCs/>
                <w:color w:val="000000"/>
                <w:kern w:val="0"/>
                <w:sz w:val="24"/>
              </w:rPr>
            </w:pPr>
            <w:r w:rsidRPr="003904D8">
              <w:rPr>
                <w:rFonts w:ascii="宋体" w:hAnsi="宋体" w:hint="eastAsia"/>
                <w:b/>
                <w:bCs/>
                <w:iCs/>
                <w:color w:val="000000"/>
                <w:kern w:val="0"/>
                <w:sz w:val="24"/>
              </w:rPr>
              <w:t>地点</w:t>
            </w:r>
          </w:p>
        </w:tc>
        <w:tc>
          <w:tcPr>
            <w:tcW w:w="7592" w:type="dxa"/>
          </w:tcPr>
          <w:p w14:paraId="47294843" w14:textId="2AA384CB" w:rsidR="006223DF" w:rsidRPr="003904D8" w:rsidRDefault="000B185E">
            <w:pPr>
              <w:rPr>
                <w:rFonts w:ascii="宋体" w:hAnsi="宋体"/>
                <w:bCs/>
                <w:iCs/>
                <w:color w:val="000000"/>
                <w:kern w:val="0"/>
                <w:sz w:val="24"/>
              </w:rPr>
            </w:pPr>
            <w:r w:rsidRPr="003904D8">
              <w:rPr>
                <w:rFonts w:ascii="宋体" w:hAnsi="宋体" w:hint="eastAsia"/>
                <w:bCs/>
                <w:iCs/>
                <w:color w:val="000000"/>
                <w:kern w:val="0"/>
                <w:sz w:val="24"/>
              </w:rPr>
              <w:t>北京市朝阳</w:t>
            </w:r>
            <w:proofErr w:type="gramStart"/>
            <w:r w:rsidRPr="003904D8">
              <w:rPr>
                <w:rFonts w:ascii="宋体" w:hAnsi="宋体" w:hint="eastAsia"/>
                <w:bCs/>
                <w:iCs/>
                <w:color w:val="000000"/>
                <w:kern w:val="0"/>
                <w:sz w:val="24"/>
              </w:rPr>
              <w:t>区顺黄路</w:t>
            </w:r>
            <w:proofErr w:type="gramEnd"/>
            <w:r w:rsidRPr="003904D8">
              <w:rPr>
                <w:rFonts w:ascii="宋体" w:hAnsi="宋体" w:hint="eastAsia"/>
                <w:bCs/>
                <w:iCs/>
                <w:color w:val="000000"/>
                <w:kern w:val="0"/>
                <w:sz w:val="24"/>
              </w:rPr>
              <w:t>229号海德</w:t>
            </w:r>
            <w:proofErr w:type="gramStart"/>
            <w:r w:rsidRPr="003904D8">
              <w:rPr>
                <w:rFonts w:ascii="宋体" w:hAnsi="宋体" w:hint="eastAsia"/>
                <w:bCs/>
                <w:iCs/>
                <w:color w:val="000000"/>
                <w:kern w:val="0"/>
                <w:sz w:val="24"/>
              </w:rPr>
              <w:t>商务园</w:t>
            </w:r>
            <w:proofErr w:type="gramEnd"/>
            <w:r w:rsidRPr="003904D8">
              <w:rPr>
                <w:rFonts w:ascii="宋体" w:hAnsi="宋体" w:hint="eastAsia"/>
                <w:bCs/>
                <w:iCs/>
                <w:color w:val="000000"/>
                <w:kern w:val="0"/>
                <w:sz w:val="24"/>
              </w:rPr>
              <w:t>公司一楼会议室</w:t>
            </w:r>
          </w:p>
        </w:tc>
      </w:tr>
      <w:tr w:rsidR="006223DF" w:rsidRPr="003904D8" w14:paraId="35EE4F99" w14:textId="77777777" w:rsidTr="003904D8">
        <w:tc>
          <w:tcPr>
            <w:tcW w:w="704" w:type="dxa"/>
            <w:vAlign w:val="center"/>
          </w:tcPr>
          <w:p w14:paraId="674A2F5A" w14:textId="77777777" w:rsidR="006223DF" w:rsidRPr="003904D8" w:rsidRDefault="00000000">
            <w:pPr>
              <w:rPr>
                <w:rFonts w:ascii="宋体" w:hAnsi="宋体"/>
                <w:b/>
                <w:bCs/>
                <w:iCs/>
                <w:color w:val="000000"/>
                <w:kern w:val="0"/>
                <w:sz w:val="24"/>
              </w:rPr>
            </w:pPr>
            <w:r w:rsidRPr="003904D8">
              <w:rPr>
                <w:rFonts w:ascii="宋体" w:hAnsi="宋体" w:hint="eastAsia"/>
                <w:b/>
                <w:bCs/>
                <w:iCs/>
                <w:color w:val="000000"/>
                <w:kern w:val="0"/>
                <w:sz w:val="24"/>
              </w:rPr>
              <w:t>上市公司接待人员姓名及职务</w:t>
            </w:r>
          </w:p>
        </w:tc>
        <w:tc>
          <w:tcPr>
            <w:tcW w:w="7592" w:type="dxa"/>
          </w:tcPr>
          <w:p w14:paraId="4AB8B57D" w14:textId="111A1704" w:rsidR="0022306A" w:rsidRPr="003904D8" w:rsidRDefault="00790CB3" w:rsidP="000D3964">
            <w:pPr>
              <w:rPr>
                <w:rFonts w:ascii="宋体" w:hAnsi="宋体"/>
                <w:kern w:val="0"/>
                <w:sz w:val="24"/>
              </w:rPr>
            </w:pPr>
            <w:r w:rsidRPr="003904D8">
              <w:rPr>
                <w:rFonts w:ascii="宋体" w:hAnsi="宋体" w:hint="eastAsia"/>
                <w:kern w:val="0"/>
                <w:sz w:val="24"/>
              </w:rPr>
              <w:t>陈焕龙先生  董事长</w:t>
            </w:r>
          </w:p>
          <w:p w14:paraId="79DA060C" w14:textId="65FDD5ED" w:rsidR="00790CB3" w:rsidRPr="003904D8" w:rsidRDefault="00790CB3" w:rsidP="000D3964">
            <w:pPr>
              <w:rPr>
                <w:rFonts w:ascii="宋体" w:hAnsi="宋体"/>
                <w:kern w:val="0"/>
                <w:sz w:val="24"/>
              </w:rPr>
            </w:pPr>
            <w:r w:rsidRPr="003904D8">
              <w:rPr>
                <w:rFonts w:ascii="宋体" w:hAnsi="宋体" w:hint="eastAsia"/>
                <w:kern w:val="0"/>
                <w:sz w:val="24"/>
              </w:rPr>
              <w:t>戴小平先生  副董事长、总裁</w:t>
            </w:r>
          </w:p>
          <w:p w14:paraId="739FF1C3" w14:textId="16EF09A1" w:rsidR="0022306A" w:rsidRPr="003904D8" w:rsidRDefault="0022306A" w:rsidP="00790CB3">
            <w:pPr>
              <w:rPr>
                <w:rFonts w:ascii="宋体" w:hAnsi="宋体"/>
                <w:kern w:val="0"/>
                <w:sz w:val="24"/>
              </w:rPr>
            </w:pPr>
            <w:r w:rsidRPr="003904D8">
              <w:rPr>
                <w:rFonts w:ascii="宋体" w:hAnsi="宋体" w:hint="eastAsia"/>
                <w:kern w:val="0"/>
                <w:sz w:val="24"/>
              </w:rPr>
              <w:t xml:space="preserve">万巍先生 </w:t>
            </w:r>
            <w:r w:rsidRPr="003904D8">
              <w:rPr>
                <w:rFonts w:ascii="宋体" w:hAnsi="宋体"/>
                <w:kern w:val="0"/>
                <w:sz w:val="24"/>
              </w:rPr>
              <w:t xml:space="preserve"> </w:t>
            </w:r>
            <w:r w:rsidR="000F7C9B" w:rsidRPr="003904D8">
              <w:rPr>
                <w:rFonts w:ascii="宋体" w:hAnsi="宋体" w:hint="eastAsia"/>
                <w:kern w:val="0"/>
                <w:sz w:val="24"/>
              </w:rPr>
              <w:t xml:space="preserve">  </w:t>
            </w:r>
            <w:r w:rsidRPr="003904D8">
              <w:rPr>
                <w:rFonts w:ascii="宋体" w:hAnsi="宋体" w:hint="eastAsia"/>
                <w:kern w:val="0"/>
                <w:sz w:val="24"/>
              </w:rPr>
              <w:t>董事会秘书、财务总监、副总裁</w:t>
            </w:r>
          </w:p>
          <w:p w14:paraId="6605A4A1" w14:textId="592F5527" w:rsidR="000F7C9B" w:rsidRPr="003904D8" w:rsidRDefault="000F7C9B" w:rsidP="00790CB3">
            <w:pPr>
              <w:rPr>
                <w:rFonts w:ascii="宋体" w:hAnsi="宋体"/>
                <w:kern w:val="0"/>
                <w:sz w:val="24"/>
              </w:rPr>
            </w:pPr>
            <w:r w:rsidRPr="003904D8">
              <w:rPr>
                <w:rFonts w:ascii="宋体" w:hAnsi="宋体" w:hint="eastAsia"/>
                <w:kern w:val="0"/>
                <w:sz w:val="24"/>
              </w:rPr>
              <w:t>张玎先生    董事、副总裁</w:t>
            </w:r>
          </w:p>
          <w:p w14:paraId="1C50ACD4" w14:textId="7CCD2E85" w:rsidR="000F7C9B" w:rsidRPr="003904D8" w:rsidRDefault="000F7C9B" w:rsidP="00790CB3">
            <w:pPr>
              <w:rPr>
                <w:rFonts w:ascii="宋体" w:hAnsi="宋体"/>
                <w:kern w:val="0"/>
                <w:sz w:val="24"/>
              </w:rPr>
            </w:pPr>
            <w:r w:rsidRPr="003904D8">
              <w:rPr>
                <w:rFonts w:ascii="宋体" w:hAnsi="宋体" w:hint="eastAsia"/>
                <w:kern w:val="0"/>
                <w:sz w:val="24"/>
              </w:rPr>
              <w:t>郭沂先生    副总裁</w:t>
            </w:r>
          </w:p>
          <w:p w14:paraId="4BB33B14" w14:textId="6D94FEE2" w:rsidR="000F7C9B" w:rsidRPr="003904D8" w:rsidRDefault="000F7C9B" w:rsidP="00790CB3">
            <w:pPr>
              <w:rPr>
                <w:rFonts w:ascii="宋体" w:hAnsi="宋体"/>
                <w:kern w:val="0"/>
                <w:sz w:val="24"/>
              </w:rPr>
            </w:pPr>
            <w:r w:rsidRPr="003904D8">
              <w:rPr>
                <w:rFonts w:ascii="宋体" w:hAnsi="宋体" w:hint="eastAsia"/>
                <w:kern w:val="0"/>
                <w:sz w:val="24"/>
              </w:rPr>
              <w:t>穆龙新先生  研究总院院长</w:t>
            </w:r>
          </w:p>
        </w:tc>
      </w:tr>
      <w:tr w:rsidR="006223DF" w:rsidRPr="003904D8" w14:paraId="48445AB6" w14:textId="77777777" w:rsidTr="003904D8">
        <w:trPr>
          <w:trHeight w:val="274"/>
        </w:trPr>
        <w:tc>
          <w:tcPr>
            <w:tcW w:w="704" w:type="dxa"/>
            <w:vAlign w:val="center"/>
          </w:tcPr>
          <w:p w14:paraId="7FCD7623" w14:textId="77777777" w:rsidR="006223DF" w:rsidRPr="003904D8" w:rsidRDefault="00000000">
            <w:pPr>
              <w:rPr>
                <w:rFonts w:ascii="宋体" w:hAnsi="宋体"/>
                <w:b/>
                <w:bCs/>
                <w:iCs/>
                <w:color w:val="000000"/>
                <w:kern w:val="0"/>
                <w:sz w:val="24"/>
              </w:rPr>
            </w:pPr>
            <w:r w:rsidRPr="003904D8">
              <w:rPr>
                <w:rFonts w:ascii="宋体" w:hAnsi="宋体" w:hint="eastAsia"/>
                <w:b/>
                <w:bCs/>
                <w:iCs/>
                <w:color w:val="000000"/>
                <w:kern w:val="0"/>
                <w:sz w:val="24"/>
              </w:rPr>
              <w:t>投资者关系活动主要内容介绍</w:t>
            </w:r>
          </w:p>
        </w:tc>
        <w:tc>
          <w:tcPr>
            <w:tcW w:w="7592" w:type="dxa"/>
          </w:tcPr>
          <w:p w14:paraId="083A1068" w14:textId="77777777" w:rsidR="006223DF" w:rsidRPr="00F37E19" w:rsidRDefault="00000000" w:rsidP="001F0A15">
            <w:pPr>
              <w:spacing w:line="360" w:lineRule="auto"/>
              <w:ind w:firstLineChars="200" w:firstLine="482"/>
              <w:rPr>
                <w:rFonts w:ascii="宋体" w:hAnsi="宋体"/>
                <w:b/>
                <w:bCs/>
                <w:sz w:val="24"/>
              </w:rPr>
            </w:pPr>
            <w:r w:rsidRPr="00F37E19">
              <w:rPr>
                <w:rFonts w:ascii="宋体" w:hAnsi="宋体" w:hint="eastAsia"/>
                <w:b/>
                <w:bCs/>
                <w:sz w:val="24"/>
              </w:rPr>
              <w:t>交流内容主要如下：</w:t>
            </w:r>
          </w:p>
          <w:p w14:paraId="2F7D322E" w14:textId="0BC6E11B" w:rsidR="00970C3E" w:rsidRPr="00F37E19" w:rsidRDefault="00A23180" w:rsidP="001F0A15">
            <w:pPr>
              <w:spacing w:line="360" w:lineRule="auto"/>
              <w:ind w:firstLineChars="200" w:firstLine="482"/>
              <w:rPr>
                <w:rFonts w:ascii="宋体" w:hAnsi="宋体"/>
                <w:b/>
                <w:bCs/>
                <w:sz w:val="24"/>
              </w:rPr>
            </w:pPr>
            <w:r w:rsidRPr="00F37E19">
              <w:rPr>
                <w:rFonts w:ascii="宋体" w:hAnsi="宋体" w:hint="eastAsia"/>
                <w:b/>
                <w:bCs/>
                <w:sz w:val="24"/>
              </w:rPr>
              <w:t>1</w:t>
            </w:r>
            <w:r w:rsidR="00970C3E" w:rsidRPr="00F37E19">
              <w:rPr>
                <w:rFonts w:ascii="宋体" w:hAnsi="宋体" w:hint="eastAsia"/>
                <w:b/>
                <w:bCs/>
                <w:sz w:val="24"/>
              </w:rPr>
              <w:t>、</w:t>
            </w:r>
            <w:r w:rsidR="00A412E9" w:rsidRPr="00F37E19">
              <w:rPr>
                <w:rFonts w:ascii="宋体" w:hAnsi="宋体" w:hint="eastAsia"/>
                <w:b/>
                <w:bCs/>
                <w:sz w:val="24"/>
              </w:rPr>
              <w:t>油价的波动，直接影响公司的盈利能力，特朗普已经当选美国总统，公司如何判断国际油价的走势，有什么应对措施？</w:t>
            </w:r>
          </w:p>
          <w:p w14:paraId="6B87CBBF" w14:textId="1BCF3A31" w:rsidR="00A412E9" w:rsidRPr="003904D8" w:rsidRDefault="00F37E19" w:rsidP="001F0A15">
            <w:pPr>
              <w:spacing w:line="360" w:lineRule="auto"/>
              <w:ind w:firstLineChars="200" w:firstLine="480"/>
              <w:jc w:val="left"/>
              <w:rPr>
                <w:rFonts w:ascii="宋体" w:hAnsi="宋体"/>
                <w:sz w:val="24"/>
              </w:rPr>
            </w:pPr>
            <w:r>
              <w:rPr>
                <w:rFonts w:ascii="宋体" w:hAnsi="宋体" w:hint="eastAsia"/>
                <w:sz w:val="24"/>
              </w:rPr>
              <w:t>答</w:t>
            </w:r>
            <w:r w:rsidR="00A412E9" w:rsidRPr="001F0A15">
              <w:rPr>
                <w:rFonts w:ascii="宋体" w:hAnsi="宋体" w:hint="eastAsia"/>
                <w:sz w:val="24"/>
              </w:rPr>
              <w:t>：</w:t>
            </w:r>
            <w:r w:rsidR="00A412E9" w:rsidRPr="003904D8">
              <w:rPr>
                <w:rFonts w:ascii="宋体" w:hAnsi="宋体" w:hint="eastAsia"/>
                <w:sz w:val="24"/>
              </w:rPr>
              <w:t>作为全球最大的产油国，美国的能源政策影响着各国的石油供应和市场动态。虽然特朗普是化石能源的坚定支持者，他上任后会可能使美国石油供应增加，从而在一定程度上影响国际油价，但不会造成中短期油价大幅度下跌情况的发生。分析如下：</w:t>
            </w:r>
          </w:p>
          <w:p w14:paraId="21D93DFE" w14:textId="53A04BA2" w:rsidR="0022306A" w:rsidRPr="003904D8" w:rsidRDefault="00A412E9" w:rsidP="001F0A15">
            <w:pPr>
              <w:spacing w:line="360" w:lineRule="auto"/>
              <w:ind w:firstLineChars="200" w:firstLine="480"/>
              <w:jc w:val="left"/>
              <w:rPr>
                <w:rFonts w:ascii="宋体" w:hAnsi="宋体"/>
                <w:sz w:val="24"/>
              </w:rPr>
            </w:pPr>
            <w:r w:rsidRPr="003904D8">
              <w:rPr>
                <w:rFonts w:ascii="宋体" w:hAnsi="宋体" w:hint="eastAsia"/>
                <w:sz w:val="24"/>
              </w:rPr>
              <w:t>一是虽然世界石油需求增长放缓，但世界原油供需目前是平衡状态。由于新兴市场、消费升级和石油化工等方面的刚性需求，维持了石油需求依然处于增长态势。</w:t>
            </w:r>
          </w:p>
          <w:p w14:paraId="02D7DD5E" w14:textId="2AED829F" w:rsidR="0022306A" w:rsidRPr="001F0A15" w:rsidRDefault="00A412E9" w:rsidP="001F0A15">
            <w:pPr>
              <w:spacing w:line="360" w:lineRule="auto"/>
              <w:ind w:firstLineChars="200" w:firstLine="480"/>
              <w:rPr>
                <w:rFonts w:ascii="宋体" w:hAnsi="宋体"/>
                <w:sz w:val="24"/>
              </w:rPr>
            </w:pPr>
            <w:r w:rsidRPr="003904D8">
              <w:rPr>
                <w:rFonts w:ascii="宋体" w:hAnsi="宋体"/>
                <w:noProof/>
                <w:sz w:val="24"/>
              </w:rPr>
              <w:lastRenderedPageBreak/>
              <w:drawing>
                <wp:inline distT="0" distB="0" distL="0" distR="0" wp14:anchorId="74B8E0C8" wp14:editId="73943C62">
                  <wp:extent cx="4485005" cy="2713355"/>
                  <wp:effectExtent l="0" t="0" r="0" b="0"/>
                  <wp:docPr id="1497272977" name="图片 1" descr="全球原油供需平衡表-20230719-中信期货-27页_报告-报告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72977" name="图片 1" descr="全球原油供需平衡表-20230719-中信期货-27页_报告-报告厅"/>
                          <pic:cNvPicPr>
                            <a:picLocks noChangeAspect="1" noChangeArrowheads="1"/>
                          </pic:cNvPicPr>
                        </pic:nvPicPr>
                        <pic:blipFill>
                          <a:blip r:embed="rId8" cstate="print">
                            <a:extLst>
                              <a:ext uri="{28A0092B-C50C-407E-A947-70E740481C1C}">
                                <a14:useLocalDpi xmlns:a14="http://schemas.microsoft.com/office/drawing/2010/main" val="0"/>
                              </a:ext>
                            </a:extLst>
                          </a:blip>
                          <a:srcRect t="39090" r="48531" b="8158"/>
                          <a:stretch>
                            <a:fillRect/>
                          </a:stretch>
                        </pic:blipFill>
                        <pic:spPr>
                          <a:xfrm>
                            <a:off x="0" y="0"/>
                            <a:ext cx="4504303" cy="2725243"/>
                          </a:xfrm>
                          <a:prstGeom prst="rect">
                            <a:avLst/>
                          </a:prstGeom>
                          <a:noFill/>
                          <a:ln>
                            <a:noFill/>
                          </a:ln>
                        </pic:spPr>
                      </pic:pic>
                    </a:graphicData>
                  </a:graphic>
                </wp:inline>
              </w:drawing>
            </w:r>
          </w:p>
          <w:p w14:paraId="229DB6CE" w14:textId="77777777" w:rsidR="00A412E9" w:rsidRPr="003904D8" w:rsidRDefault="00A412E9" w:rsidP="001F0A15">
            <w:pPr>
              <w:spacing w:line="360" w:lineRule="auto"/>
              <w:ind w:firstLineChars="200" w:firstLine="480"/>
              <w:rPr>
                <w:rFonts w:ascii="宋体" w:hAnsi="宋体"/>
                <w:sz w:val="24"/>
              </w:rPr>
            </w:pPr>
            <w:r w:rsidRPr="003904D8">
              <w:rPr>
                <w:rFonts w:ascii="宋体" w:hAnsi="宋体" w:hint="eastAsia"/>
                <w:sz w:val="24"/>
              </w:rPr>
              <w:t>二是美国的石油产量在今年10月份已达到高峰1350万桶/天，进入顶峰阶段。由于页岩油开采技术创新到顶峰，并且美国多个</w:t>
            </w:r>
            <w:proofErr w:type="gramStart"/>
            <w:r w:rsidRPr="003904D8">
              <w:rPr>
                <w:rFonts w:ascii="宋体" w:hAnsi="宋体" w:hint="eastAsia"/>
                <w:sz w:val="24"/>
              </w:rPr>
              <w:t>页岩油主产地</w:t>
            </w:r>
            <w:proofErr w:type="gramEnd"/>
            <w:r w:rsidRPr="003904D8">
              <w:rPr>
                <w:rFonts w:ascii="宋体" w:hAnsi="宋体" w:hint="eastAsia"/>
                <w:sz w:val="24"/>
              </w:rPr>
              <w:t>开采程度接近甚至已超过储量的一半，产量接近峰值，产量增长已相对缺乏动力，且随着优质矿井的不断减少，页岩油田运营成本和新钻井盈亏平衡点逐年抬升。所以即使特朗普上台后，对美国原油产量没有太大的影响。</w:t>
            </w:r>
          </w:p>
          <w:p w14:paraId="441BFCA6" w14:textId="77777777" w:rsidR="00A412E9" w:rsidRPr="001F0A15" w:rsidRDefault="00A412E9" w:rsidP="001F0A15">
            <w:pPr>
              <w:spacing w:line="360" w:lineRule="auto"/>
              <w:ind w:left="315" w:firstLine="480"/>
              <w:jc w:val="center"/>
              <w:rPr>
                <w:rFonts w:ascii="宋体" w:hAnsi="宋体"/>
                <w:sz w:val="24"/>
              </w:rPr>
            </w:pPr>
            <w:r w:rsidRPr="001F0A15">
              <w:rPr>
                <w:rFonts w:ascii="宋体" w:hAnsi="宋体" w:hint="eastAsia"/>
                <w:sz w:val="24"/>
              </w:rPr>
              <w:t>历年美国页岩油新钻井的盈亏平衡油价（美元/桶）</w:t>
            </w:r>
          </w:p>
          <w:p w14:paraId="5ACED9F1" w14:textId="502F7F38" w:rsidR="0022306A" w:rsidRPr="001F0A15" w:rsidRDefault="00A412E9" w:rsidP="001F0A15">
            <w:pPr>
              <w:spacing w:line="360" w:lineRule="auto"/>
              <w:ind w:firstLineChars="200" w:firstLine="480"/>
              <w:rPr>
                <w:rFonts w:ascii="宋体" w:hAnsi="宋体"/>
                <w:sz w:val="24"/>
              </w:rPr>
            </w:pPr>
            <w:r w:rsidRPr="003904D8">
              <w:rPr>
                <w:rFonts w:ascii="宋体" w:hAnsi="宋体"/>
                <w:noProof/>
                <w:sz w:val="24"/>
              </w:rPr>
              <w:drawing>
                <wp:inline distT="0" distB="0" distL="0" distR="0" wp14:anchorId="493065A4" wp14:editId="60B82216">
                  <wp:extent cx="4627245" cy="2686050"/>
                  <wp:effectExtent l="0" t="0" r="1905" b="0"/>
                  <wp:docPr id="650815618" name="图片 3"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15618" name="图片 3" descr="图形用户界面, 应用程序&#10;&#10;描述已自动生成"/>
                          <pic:cNvPicPr>
                            <a:picLocks noChangeAspect="1" noChangeArrowheads="1"/>
                          </pic:cNvPicPr>
                        </pic:nvPicPr>
                        <pic:blipFill>
                          <a:blip r:embed="rId9">
                            <a:extLst>
                              <a:ext uri="{28A0092B-C50C-407E-A947-70E740481C1C}">
                                <a14:useLocalDpi xmlns:a14="http://schemas.microsoft.com/office/drawing/2010/main" val="0"/>
                              </a:ext>
                            </a:extLst>
                          </a:blip>
                          <a:srcRect t="9695" b="6793"/>
                          <a:stretch>
                            <a:fillRect/>
                          </a:stretch>
                        </pic:blipFill>
                        <pic:spPr>
                          <a:xfrm>
                            <a:off x="0" y="0"/>
                            <a:ext cx="4655572" cy="2702125"/>
                          </a:xfrm>
                          <a:prstGeom prst="rect">
                            <a:avLst/>
                          </a:prstGeom>
                          <a:noFill/>
                          <a:ln>
                            <a:noFill/>
                          </a:ln>
                        </pic:spPr>
                      </pic:pic>
                    </a:graphicData>
                  </a:graphic>
                </wp:inline>
              </w:drawing>
            </w:r>
          </w:p>
          <w:p w14:paraId="1809F2AD" w14:textId="77777777" w:rsidR="00A412E9" w:rsidRPr="003904D8" w:rsidRDefault="00A412E9" w:rsidP="001F0A15">
            <w:pPr>
              <w:spacing w:line="360" w:lineRule="auto"/>
              <w:ind w:firstLineChars="200" w:firstLine="480"/>
              <w:rPr>
                <w:rFonts w:ascii="宋体" w:hAnsi="宋体"/>
                <w:sz w:val="24"/>
              </w:rPr>
            </w:pPr>
            <w:r w:rsidRPr="003904D8">
              <w:rPr>
                <w:rFonts w:ascii="宋体" w:hAnsi="宋体" w:hint="eastAsia"/>
                <w:sz w:val="24"/>
              </w:rPr>
              <w:t>三是据业内专家分析，美国页岩油企业的平均原油桶油盈亏平衡點約70美元每桶。若WTI油价低于70美元，</w:t>
            </w:r>
            <w:proofErr w:type="gramStart"/>
            <w:r w:rsidRPr="003904D8">
              <w:rPr>
                <w:rFonts w:ascii="宋体" w:hAnsi="宋体" w:hint="eastAsia"/>
                <w:sz w:val="24"/>
              </w:rPr>
              <w:t>对应布油</w:t>
            </w:r>
            <w:proofErr w:type="gramEnd"/>
            <w:r w:rsidRPr="003904D8">
              <w:rPr>
                <w:rFonts w:ascii="宋体" w:hAnsi="宋体" w:hint="eastAsia"/>
                <w:sz w:val="24"/>
              </w:rPr>
              <w:t>73 ~74美元，美国页岩油企业将面临较大的盈利压力，从股东角度考虑，扩产行为将会停止。若WTI油价低于60美元，对应布油約63美元，除了低成本的</w:t>
            </w:r>
            <w:proofErr w:type="gramStart"/>
            <w:r w:rsidRPr="003904D8">
              <w:rPr>
                <w:rFonts w:ascii="宋体" w:hAnsi="宋体" w:hint="eastAsia"/>
                <w:sz w:val="24"/>
              </w:rPr>
              <w:t>油</w:t>
            </w:r>
            <w:r w:rsidRPr="003904D8">
              <w:rPr>
                <w:rFonts w:ascii="宋体" w:hAnsi="宋体" w:hint="eastAsia"/>
                <w:sz w:val="24"/>
              </w:rPr>
              <w:lastRenderedPageBreak/>
              <w:t>企外</w:t>
            </w:r>
            <w:proofErr w:type="gramEnd"/>
            <w:r w:rsidRPr="003904D8">
              <w:rPr>
                <w:rFonts w:ascii="宋体" w:hAnsi="宋体" w:hint="eastAsia"/>
                <w:sz w:val="24"/>
              </w:rPr>
              <w:t>，大部分页岩油企业将会亏损。</w:t>
            </w:r>
          </w:p>
          <w:p w14:paraId="50AF9B8E" w14:textId="77777777" w:rsidR="00A412E9" w:rsidRPr="003904D8" w:rsidRDefault="00A412E9" w:rsidP="001F0A15">
            <w:pPr>
              <w:spacing w:line="360" w:lineRule="auto"/>
              <w:ind w:firstLineChars="200" w:firstLine="480"/>
              <w:rPr>
                <w:rFonts w:ascii="宋体" w:hAnsi="宋体"/>
                <w:sz w:val="24"/>
              </w:rPr>
            </w:pPr>
            <w:r w:rsidRPr="003904D8">
              <w:rPr>
                <w:rFonts w:ascii="宋体" w:hAnsi="宋体" w:hint="eastAsia"/>
                <w:sz w:val="24"/>
              </w:rPr>
              <w:t>四是2020年以来，美国几乎所有新增石油产量均来自二叠纪盆地，包括Endeavor在内的十家私营生产商对二叠纪盆地产量增长贡献超50%，在油价高涨时提高产量，在油价下跌时削减产量。这些摇摆石油私企不会在油价大跌时做亏本生意即</w:t>
            </w:r>
            <w:proofErr w:type="gramStart"/>
            <w:r w:rsidRPr="003904D8">
              <w:rPr>
                <w:rFonts w:ascii="宋体" w:hAnsi="宋体" w:hint="eastAsia"/>
                <w:sz w:val="24"/>
              </w:rPr>
              <w:t>不会加大</w:t>
            </w:r>
            <w:proofErr w:type="gramEnd"/>
            <w:r w:rsidRPr="003904D8">
              <w:rPr>
                <w:rFonts w:ascii="宋体" w:hAnsi="宋体" w:hint="eastAsia"/>
                <w:sz w:val="24"/>
              </w:rPr>
              <w:t>投入和增加钻机来增加石油产量。</w:t>
            </w:r>
          </w:p>
          <w:p w14:paraId="7A8B6A21" w14:textId="10D9EB82" w:rsidR="00A412E9" w:rsidRPr="001F0A15" w:rsidRDefault="00A412E9" w:rsidP="001F0A15">
            <w:pPr>
              <w:spacing w:line="360" w:lineRule="auto"/>
              <w:ind w:firstLineChars="200" w:firstLine="480"/>
              <w:rPr>
                <w:rFonts w:ascii="宋体" w:hAnsi="宋体"/>
                <w:sz w:val="24"/>
              </w:rPr>
            </w:pPr>
            <w:r w:rsidRPr="003904D8">
              <w:rPr>
                <w:rFonts w:ascii="宋体" w:hAnsi="宋体"/>
                <w:noProof/>
                <w:sz w:val="24"/>
              </w:rPr>
              <w:drawing>
                <wp:inline distT="0" distB="0" distL="0" distR="0" wp14:anchorId="132C8A09" wp14:editId="2EB82A67">
                  <wp:extent cx="4823460" cy="2256155"/>
                  <wp:effectExtent l="0" t="0" r="0" b="0"/>
                  <wp:docPr id="1993187057" name="图片 1" descr="图表, 直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87057" name="图片 1" descr="图表, 直方图&#10;&#10;描述已自动生成"/>
                          <pic:cNvPicPr>
                            <a:picLocks noChangeAspect="1"/>
                          </pic:cNvPicPr>
                        </pic:nvPicPr>
                        <pic:blipFill>
                          <a:blip r:embed="rId10"/>
                          <a:srcRect t="18491"/>
                          <a:stretch>
                            <a:fillRect/>
                          </a:stretch>
                        </pic:blipFill>
                        <pic:spPr>
                          <a:xfrm>
                            <a:off x="0" y="0"/>
                            <a:ext cx="4838889" cy="2263585"/>
                          </a:xfrm>
                          <a:prstGeom prst="rect">
                            <a:avLst/>
                          </a:prstGeom>
                          <a:ln>
                            <a:noFill/>
                          </a:ln>
                        </pic:spPr>
                      </pic:pic>
                    </a:graphicData>
                  </a:graphic>
                </wp:inline>
              </w:drawing>
            </w:r>
          </w:p>
          <w:p w14:paraId="3DDA5741" w14:textId="77777777" w:rsidR="00A412E9" w:rsidRPr="003904D8" w:rsidRDefault="00A412E9" w:rsidP="001F0A15">
            <w:pPr>
              <w:spacing w:line="360" w:lineRule="auto"/>
              <w:ind w:firstLineChars="200" w:firstLine="480"/>
              <w:rPr>
                <w:rFonts w:ascii="宋体" w:hAnsi="宋体"/>
                <w:sz w:val="24"/>
              </w:rPr>
            </w:pPr>
            <w:r w:rsidRPr="003904D8">
              <w:rPr>
                <w:rFonts w:ascii="宋体" w:hAnsi="宋体" w:hint="eastAsia"/>
                <w:sz w:val="24"/>
              </w:rPr>
              <w:t>五是美国页岩油开发高衰竭模式下原油增产依赖钻井的持续投入和钻井井数的增加，只有油价处于高区间时，</w:t>
            </w:r>
            <w:proofErr w:type="gramStart"/>
            <w:r w:rsidRPr="003904D8">
              <w:rPr>
                <w:rFonts w:ascii="宋体" w:hAnsi="宋体" w:hint="eastAsia"/>
                <w:sz w:val="24"/>
              </w:rPr>
              <w:t>美国油企的</w:t>
            </w:r>
            <w:proofErr w:type="gramEnd"/>
            <w:r w:rsidRPr="003904D8">
              <w:rPr>
                <w:rFonts w:ascii="宋体" w:hAnsi="宋体" w:hint="eastAsia"/>
                <w:sz w:val="24"/>
              </w:rPr>
              <w:t>增产意愿强烈，加大投资</w:t>
            </w:r>
            <w:proofErr w:type="gramStart"/>
            <w:r w:rsidRPr="003904D8">
              <w:rPr>
                <w:rFonts w:ascii="宋体" w:hAnsi="宋体" w:hint="eastAsia"/>
                <w:sz w:val="24"/>
              </w:rPr>
              <w:t>和钻打新井</w:t>
            </w:r>
            <w:proofErr w:type="gramEnd"/>
            <w:r w:rsidRPr="003904D8">
              <w:rPr>
                <w:rFonts w:ascii="宋体" w:hAnsi="宋体" w:hint="eastAsia"/>
                <w:sz w:val="24"/>
              </w:rPr>
              <w:t>。因此油价下行直接影响</w:t>
            </w:r>
            <w:proofErr w:type="gramStart"/>
            <w:r w:rsidRPr="003904D8">
              <w:rPr>
                <w:rFonts w:ascii="宋体" w:hAnsi="宋体" w:hint="eastAsia"/>
                <w:sz w:val="24"/>
              </w:rPr>
              <w:t>美国油企的</w:t>
            </w:r>
            <w:proofErr w:type="gramEnd"/>
            <w:r w:rsidRPr="003904D8">
              <w:rPr>
                <w:rFonts w:ascii="宋体" w:hAnsi="宋体" w:hint="eastAsia"/>
                <w:sz w:val="24"/>
              </w:rPr>
              <w:t>增产意愿。</w:t>
            </w:r>
          </w:p>
          <w:p w14:paraId="527CFC2E" w14:textId="77777777" w:rsidR="00A412E9" w:rsidRPr="001F0A15" w:rsidRDefault="00A412E9" w:rsidP="001F0A15">
            <w:pPr>
              <w:spacing w:line="360" w:lineRule="auto"/>
              <w:ind w:left="315" w:firstLine="480"/>
              <w:jc w:val="center"/>
              <w:rPr>
                <w:rFonts w:ascii="宋体" w:hAnsi="宋体"/>
                <w:sz w:val="24"/>
              </w:rPr>
            </w:pPr>
            <w:r w:rsidRPr="001F0A15">
              <w:rPr>
                <w:rFonts w:ascii="宋体" w:hAnsi="宋体" w:hint="eastAsia"/>
                <w:sz w:val="24"/>
              </w:rPr>
              <w:t>美国 - 总钻机数量</w:t>
            </w:r>
          </w:p>
          <w:p w14:paraId="5714B856" w14:textId="7E825FA8" w:rsidR="00A412E9" w:rsidRPr="001F0A15" w:rsidRDefault="00A412E9" w:rsidP="001F0A15">
            <w:pPr>
              <w:spacing w:line="360" w:lineRule="auto"/>
              <w:ind w:firstLineChars="200" w:firstLine="480"/>
              <w:rPr>
                <w:rFonts w:ascii="宋体" w:hAnsi="宋体"/>
                <w:sz w:val="24"/>
              </w:rPr>
            </w:pPr>
            <w:r w:rsidRPr="003904D8">
              <w:rPr>
                <w:rFonts w:ascii="宋体" w:hAnsi="宋体"/>
                <w:noProof/>
                <w:sz w:val="24"/>
              </w:rPr>
              <w:drawing>
                <wp:inline distT="0" distB="0" distL="0" distR="0" wp14:anchorId="6A9CB21B" wp14:editId="18699C3D">
                  <wp:extent cx="4838065" cy="2065655"/>
                  <wp:effectExtent l="0" t="0" r="635" b="0"/>
                  <wp:docPr id="1359115943" name="图片 1"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15943" name="图片 1" descr="图表, 条形图&#10;&#10;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850736" cy="2071462"/>
                          </a:xfrm>
                          <a:prstGeom prst="rect">
                            <a:avLst/>
                          </a:prstGeom>
                          <a:noFill/>
                          <a:ln>
                            <a:noFill/>
                          </a:ln>
                        </pic:spPr>
                      </pic:pic>
                    </a:graphicData>
                  </a:graphic>
                </wp:inline>
              </w:drawing>
            </w:r>
          </w:p>
          <w:p w14:paraId="1936AB1B" w14:textId="77777777" w:rsidR="00A412E9" w:rsidRPr="003904D8" w:rsidRDefault="00A412E9" w:rsidP="001F0A15">
            <w:pPr>
              <w:spacing w:line="360" w:lineRule="auto"/>
              <w:ind w:firstLineChars="200" w:firstLine="480"/>
              <w:rPr>
                <w:rFonts w:ascii="宋体" w:hAnsi="宋体"/>
                <w:sz w:val="24"/>
              </w:rPr>
            </w:pPr>
            <w:r w:rsidRPr="003904D8">
              <w:rPr>
                <w:rFonts w:ascii="宋体" w:hAnsi="宋体" w:hint="eastAsia"/>
                <w:sz w:val="24"/>
              </w:rPr>
              <w:t>六是</w:t>
            </w:r>
            <w:proofErr w:type="gramStart"/>
            <w:r w:rsidRPr="003904D8">
              <w:rPr>
                <w:rFonts w:ascii="宋体" w:hAnsi="宋体" w:hint="eastAsia"/>
                <w:sz w:val="24"/>
              </w:rPr>
              <w:t>特朗普</w:t>
            </w:r>
            <w:proofErr w:type="gramEnd"/>
            <w:r w:rsidRPr="003904D8">
              <w:rPr>
                <w:rFonts w:ascii="宋体" w:hAnsi="宋体" w:hint="eastAsia"/>
                <w:sz w:val="24"/>
              </w:rPr>
              <w:t>当选对俄</w:t>
            </w:r>
            <w:proofErr w:type="gramStart"/>
            <w:r w:rsidRPr="003904D8">
              <w:rPr>
                <w:rFonts w:ascii="宋体" w:hAnsi="宋体" w:hint="eastAsia"/>
                <w:sz w:val="24"/>
              </w:rPr>
              <w:t>乌战争</w:t>
            </w:r>
            <w:proofErr w:type="gramEnd"/>
            <w:r w:rsidRPr="003904D8">
              <w:rPr>
                <w:rFonts w:ascii="宋体" w:hAnsi="宋体" w:hint="eastAsia"/>
                <w:sz w:val="24"/>
              </w:rPr>
              <w:t>和巴以冲突的影响。虽然</w:t>
            </w:r>
            <w:proofErr w:type="gramStart"/>
            <w:r w:rsidRPr="003904D8">
              <w:rPr>
                <w:rFonts w:ascii="宋体" w:hAnsi="宋体" w:hint="eastAsia"/>
                <w:sz w:val="24"/>
              </w:rPr>
              <w:t>特朗普</w:t>
            </w:r>
            <w:proofErr w:type="gramEnd"/>
            <w:r w:rsidRPr="003904D8">
              <w:rPr>
                <w:rFonts w:ascii="宋体" w:hAnsi="宋体" w:hint="eastAsia"/>
                <w:sz w:val="24"/>
              </w:rPr>
              <w:t>有意终结这场旷日持久战争的俄乌战争，但现实是掣肘太多，并且普</w:t>
            </w:r>
            <w:proofErr w:type="gramStart"/>
            <w:r w:rsidRPr="003904D8">
              <w:rPr>
                <w:rFonts w:ascii="宋体" w:hAnsi="宋体" w:hint="eastAsia"/>
                <w:sz w:val="24"/>
              </w:rPr>
              <w:t>京不会</w:t>
            </w:r>
            <w:proofErr w:type="gramEnd"/>
            <w:r w:rsidRPr="003904D8">
              <w:rPr>
                <w:rFonts w:ascii="宋体" w:hAnsi="宋体" w:hint="eastAsia"/>
                <w:sz w:val="24"/>
              </w:rPr>
              <w:t>按照他所谓“和平计划”提出的条件举行何谈，战争依旧会持续一段时间。特朗普一直是以色列的坚定支持者。可能会进一步加强以色列的军事援</w:t>
            </w:r>
            <w:r w:rsidRPr="003904D8">
              <w:rPr>
                <w:rFonts w:ascii="宋体" w:hAnsi="宋体" w:hint="eastAsia"/>
                <w:sz w:val="24"/>
              </w:rPr>
              <w:lastRenderedPageBreak/>
              <w:t>助和迫使哈马斯接受停火，由于巴以冲突的长期化和复杂化，难以找到明确的解决途径。而且巴以冲突虽然导致国际油价出现一定的波动，但影响有限。</w:t>
            </w:r>
          </w:p>
          <w:p w14:paraId="614EF9DC" w14:textId="77777777" w:rsidR="00A412E9" w:rsidRPr="003904D8" w:rsidRDefault="00A412E9" w:rsidP="001F0A15">
            <w:pPr>
              <w:spacing w:line="360" w:lineRule="auto"/>
              <w:ind w:firstLineChars="200" w:firstLine="480"/>
              <w:rPr>
                <w:rFonts w:ascii="宋体" w:hAnsi="宋体"/>
                <w:sz w:val="24"/>
              </w:rPr>
            </w:pPr>
            <w:r w:rsidRPr="003904D8">
              <w:rPr>
                <w:rFonts w:ascii="宋体" w:hAnsi="宋体" w:hint="eastAsia"/>
                <w:sz w:val="24"/>
              </w:rPr>
              <w:t>七是特朗普政府大概率对伊制裁重新加严、对委内瑞拉再次执行严格制裁，预期导致产量减产100万桶甚至更多。原油供应端的减少有利于油价上行。</w:t>
            </w:r>
          </w:p>
          <w:p w14:paraId="2DD44F9B" w14:textId="77777777" w:rsidR="00A412E9" w:rsidRPr="003904D8" w:rsidRDefault="00A412E9" w:rsidP="001F0A15">
            <w:pPr>
              <w:spacing w:line="360" w:lineRule="auto"/>
              <w:ind w:firstLineChars="200" w:firstLine="480"/>
              <w:rPr>
                <w:rFonts w:ascii="宋体" w:hAnsi="宋体"/>
                <w:sz w:val="24"/>
              </w:rPr>
            </w:pPr>
            <w:r w:rsidRPr="003904D8">
              <w:rPr>
                <w:rFonts w:ascii="宋体" w:hAnsi="宋体" w:hint="eastAsia"/>
                <w:sz w:val="24"/>
              </w:rPr>
              <w:t>八是OPEC成员国经济大多依赖原油出口，即使短期出现油价暴跌趋势，这使得其会主动进行产量调节来维持原油价格水平。</w:t>
            </w:r>
          </w:p>
          <w:p w14:paraId="56BC2F87" w14:textId="79A78D44" w:rsidR="00821002" w:rsidRPr="00C02EEE" w:rsidRDefault="00345DDE" w:rsidP="001F0A15">
            <w:pPr>
              <w:spacing w:line="360" w:lineRule="auto"/>
              <w:ind w:firstLineChars="200" w:firstLine="482"/>
              <w:rPr>
                <w:rFonts w:ascii="宋体" w:hAnsi="宋体"/>
                <w:b/>
                <w:bCs/>
                <w:sz w:val="24"/>
              </w:rPr>
            </w:pPr>
            <w:r w:rsidRPr="00C02EEE">
              <w:rPr>
                <w:rFonts w:ascii="宋体" w:hAnsi="宋体" w:hint="eastAsia"/>
                <w:b/>
                <w:bCs/>
                <w:sz w:val="24"/>
              </w:rPr>
              <w:t>2</w:t>
            </w:r>
            <w:r w:rsidR="00821002" w:rsidRPr="00C02EEE">
              <w:rPr>
                <w:rFonts w:ascii="宋体" w:hAnsi="宋体" w:hint="eastAsia"/>
                <w:b/>
                <w:bCs/>
                <w:sz w:val="24"/>
              </w:rPr>
              <w:t>、</w:t>
            </w:r>
            <w:r w:rsidR="00A412E9" w:rsidRPr="00C02EEE">
              <w:rPr>
                <w:rFonts w:ascii="宋体" w:hAnsi="宋体" w:hint="eastAsia"/>
                <w:b/>
                <w:bCs/>
                <w:sz w:val="24"/>
              </w:rPr>
              <w:t>伊拉克项目与现有油田项目的权益模式有什么不同，对公司的有利影响和不利影响是什么？</w:t>
            </w:r>
          </w:p>
          <w:p w14:paraId="41E9096D" w14:textId="4C497E9B" w:rsidR="0022306A" w:rsidRPr="001F0A15" w:rsidRDefault="00727AAC" w:rsidP="001F0A15">
            <w:pPr>
              <w:spacing w:line="360" w:lineRule="auto"/>
              <w:ind w:firstLineChars="200" w:firstLine="480"/>
              <w:rPr>
                <w:rFonts w:ascii="宋体" w:hAnsi="宋体"/>
                <w:sz w:val="24"/>
              </w:rPr>
            </w:pPr>
            <w:r w:rsidRPr="00727AAC">
              <w:rPr>
                <w:rFonts w:ascii="宋体" w:hAnsi="宋体" w:hint="eastAsia"/>
                <w:sz w:val="24"/>
              </w:rPr>
              <w:t>答</w:t>
            </w:r>
            <w:r w:rsidR="00DE39DE" w:rsidRPr="00727AAC">
              <w:rPr>
                <w:rFonts w:ascii="宋体" w:hAnsi="宋体" w:hint="eastAsia"/>
                <w:sz w:val="24"/>
              </w:rPr>
              <w:t>：</w:t>
            </w:r>
            <w:r w:rsidR="00DE39DE" w:rsidRPr="003904D8">
              <w:rPr>
                <w:rFonts w:ascii="宋体" w:hAnsi="宋体" w:hint="eastAsia"/>
                <w:sz w:val="24"/>
              </w:rPr>
              <w:t>伊拉克项目是利润分成模式，在该模式下，作业者可以优先回收成本，在全部回收成本后剩余利润部分再参与分成。该合同模式的优势是无论在高油价还是低油价情况下，作业者可以快速的回收作业成本及投资，从而降低了投资风险。</w:t>
            </w:r>
          </w:p>
          <w:p w14:paraId="67C62F1E" w14:textId="1C35F6A9" w:rsidR="00A23180" w:rsidRPr="00C02EEE" w:rsidRDefault="00345DDE" w:rsidP="001F0A15">
            <w:pPr>
              <w:spacing w:line="360" w:lineRule="auto"/>
              <w:ind w:firstLineChars="200" w:firstLine="482"/>
              <w:rPr>
                <w:rFonts w:ascii="宋体" w:hAnsi="宋体"/>
                <w:b/>
                <w:bCs/>
                <w:sz w:val="24"/>
              </w:rPr>
            </w:pPr>
            <w:r w:rsidRPr="00C02EEE">
              <w:rPr>
                <w:rFonts w:ascii="宋体" w:hAnsi="宋体" w:hint="eastAsia"/>
                <w:b/>
                <w:bCs/>
                <w:sz w:val="24"/>
              </w:rPr>
              <w:t>3</w:t>
            </w:r>
            <w:r w:rsidR="00A23180" w:rsidRPr="00C02EEE">
              <w:rPr>
                <w:rFonts w:ascii="宋体" w:hAnsi="宋体" w:hint="eastAsia"/>
                <w:b/>
                <w:bCs/>
                <w:sz w:val="24"/>
              </w:rPr>
              <w:t>、</w:t>
            </w:r>
            <w:r w:rsidR="00A412E9" w:rsidRPr="00C02EEE">
              <w:rPr>
                <w:rFonts w:ascii="宋体" w:hAnsi="宋体" w:hint="eastAsia"/>
                <w:b/>
                <w:bCs/>
                <w:sz w:val="24"/>
              </w:rPr>
              <w:t>伊拉克4个项目都是勘探开发合同，是否存在巨大的勘探风险</w:t>
            </w:r>
            <w:r w:rsidR="00727AAC">
              <w:rPr>
                <w:rFonts w:ascii="宋体" w:hAnsi="宋体" w:hint="eastAsia"/>
                <w:b/>
                <w:bCs/>
                <w:sz w:val="24"/>
              </w:rPr>
              <w:t>？</w:t>
            </w:r>
          </w:p>
          <w:p w14:paraId="2469E665" w14:textId="2272766D" w:rsidR="00DE39DE" w:rsidRPr="003904D8" w:rsidRDefault="00727AAC" w:rsidP="001F0A15">
            <w:pPr>
              <w:spacing w:line="360" w:lineRule="auto"/>
              <w:ind w:firstLineChars="200" w:firstLine="480"/>
              <w:rPr>
                <w:rFonts w:ascii="宋体" w:hAnsi="宋体"/>
                <w:sz w:val="24"/>
              </w:rPr>
            </w:pPr>
            <w:r w:rsidRPr="00727AAC">
              <w:rPr>
                <w:rFonts w:ascii="宋体" w:hAnsi="宋体" w:hint="eastAsia"/>
                <w:sz w:val="24"/>
              </w:rPr>
              <w:t>答</w:t>
            </w:r>
            <w:r w:rsidR="00DE39DE" w:rsidRPr="00727AAC">
              <w:rPr>
                <w:rFonts w:ascii="宋体" w:hAnsi="宋体" w:hint="eastAsia"/>
                <w:sz w:val="24"/>
              </w:rPr>
              <w:t>：</w:t>
            </w:r>
            <w:r w:rsidR="00DE39DE" w:rsidRPr="003904D8">
              <w:rPr>
                <w:rFonts w:ascii="宋体" w:hAnsi="宋体" w:hint="eastAsia"/>
                <w:sz w:val="24"/>
              </w:rPr>
              <w:t>整体而言，</w:t>
            </w:r>
            <w:r w:rsidR="00DE39DE" w:rsidRPr="003904D8">
              <w:rPr>
                <w:rFonts w:ascii="宋体" w:hAnsi="宋体"/>
                <w:sz w:val="24"/>
              </w:rPr>
              <w:t>4个项目勘探风险是较小的，也是可控的。</w:t>
            </w:r>
          </w:p>
          <w:p w14:paraId="0DB86B4A" w14:textId="77777777" w:rsidR="00DE39DE" w:rsidRPr="003904D8" w:rsidRDefault="00DE39DE" w:rsidP="001F0A15">
            <w:pPr>
              <w:spacing w:line="360" w:lineRule="auto"/>
              <w:ind w:firstLineChars="200" w:firstLine="480"/>
              <w:rPr>
                <w:rFonts w:ascii="宋体" w:hAnsi="宋体"/>
                <w:sz w:val="24"/>
              </w:rPr>
            </w:pPr>
            <w:proofErr w:type="spellStart"/>
            <w:r w:rsidRPr="003904D8">
              <w:rPr>
                <w:rFonts w:ascii="宋体" w:hAnsi="宋体"/>
                <w:sz w:val="24"/>
              </w:rPr>
              <w:t>Huwaiza</w:t>
            </w:r>
            <w:proofErr w:type="spellEnd"/>
            <w:r w:rsidRPr="003904D8">
              <w:rPr>
                <w:rFonts w:ascii="宋体" w:hAnsi="宋体"/>
                <w:sz w:val="24"/>
              </w:rPr>
              <w:t>本身就是油田</w:t>
            </w:r>
            <w:r w:rsidRPr="003904D8">
              <w:rPr>
                <w:rFonts w:ascii="宋体" w:hAnsi="宋体" w:hint="eastAsia"/>
                <w:sz w:val="24"/>
              </w:rPr>
              <w:t>，合同是开发生产合同（Development and Production Contract），</w:t>
            </w:r>
            <w:proofErr w:type="spellStart"/>
            <w:r w:rsidRPr="003904D8">
              <w:rPr>
                <w:rFonts w:ascii="宋体" w:hAnsi="宋体"/>
                <w:sz w:val="24"/>
              </w:rPr>
              <w:t>Huwaiza</w:t>
            </w:r>
            <w:proofErr w:type="spellEnd"/>
            <w:r w:rsidRPr="003904D8">
              <w:rPr>
                <w:rFonts w:ascii="宋体" w:hAnsi="宋体"/>
                <w:sz w:val="24"/>
              </w:rPr>
              <w:t>项目区块不仅有地震资料识别了圈闭，而且区块中已打了一口Hu1井，从测井录井测试资料中已经证实了多个含油层系，同构造内伊朗一侧更是有2口成功探井证实了含</w:t>
            </w:r>
            <w:proofErr w:type="gramStart"/>
            <w:r w:rsidRPr="003904D8">
              <w:rPr>
                <w:rFonts w:ascii="宋体" w:hAnsi="宋体"/>
                <w:sz w:val="24"/>
              </w:rPr>
              <w:t>气层系以及</w:t>
            </w:r>
            <w:proofErr w:type="gramEnd"/>
            <w:r w:rsidRPr="003904D8">
              <w:rPr>
                <w:rFonts w:ascii="宋体" w:hAnsi="宋体"/>
                <w:sz w:val="24"/>
              </w:rPr>
              <w:t>高达4000/天的单井测试产能。明年将开始钻探评价井，不存在勘探的风险，在获得资金现金流以后，再考虑向区块内其他有利圈闭实施勘探，因此风险可控。</w:t>
            </w:r>
          </w:p>
          <w:p w14:paraId="76F8AB01" w14:textId="77777777" w:rsidR="00DE39DE" w:rsidRPr="003904D8" w:rsidRDefault="00DE39DE" w:rsidP="001F0A15">
            <w:pPr>
              <w:spacing w:line="360" w:lineRule="auto"/>
              <w:ind w:firstLineChars="200" w:firstLine="480"/>
              <w:rPr>
                <w:rFonts w:ascii="宋体" w:hAnsi="宋体"/>
                <w:sz w:val="24"/>
              </w:rPr>
            </w:pPr>
            <w:proofErr w:type="spellStart"/>
            <w:r w:rsidRPr="003904D8">
              <w:rPr>
                <w:rFonts w:ascii="宋体" w:hAnsi="宋体"/>
                <w:sz w:val="24"/>
              </w:rPr>
              <w:t>Naft</w:t>
            </w:r>
            <w:proofErr w:type="spellEnd"/>
            <w:r w:rsidRPr="003904D8">
              <w:rPr>
                <w:rFonts w:ascii="宋体" w:hAnsi="宋体"/>
                <w:sz w:val="24"/>
              </w:rPr>
              <w:t xml:space="preserve"> Khana项目</w:t>
            </w:r>
            <w:r w:rsidRPr="003904D8">
              <w:rPr>
                <w:rFonts w:ascii="宋体" w:hAnsi="宋体" w:hint="eastAsia"/>
                <w:sz w:val="24"/>
              </w:rPr>
              <w:t>，</w:t>
            </w:r>
            <w:r w:rsidRPr="003904D8">
              <w:rPr>
                <w:rFonts w:ascii="宋体" w:hAnsi="宋体"/>
                <w:sz w:val="24"/>
              </w:rPr>
              <w:t>是勘探</w:t>
            </w:r>
            <w:r w:rsidRPr="003904D8">
              <w:rPr>
                <w:rFonts w:ascii="宋体" w:hAnsi="宋体" w:hint="eastAsia"/>
                <w:sz w:val="24"/>
              </w:rPr>
              <w:t>开发生产</w:t>
            </w:r>
            <w:r w:rsidRPr="003904D8">
              <w:rPr>
                <w:rFonts w:ascii="宋体" w:hAnsi="宋体"/>
                <w:sz w:val="24"/>
              </w:rPr>
              <w:t>合同</w:t>
            </w:r>
            <w:r w:rsidRPr="003904D8">
              <w:rPr>
                <w:rFonts w:ascii="宋体" w:hAnsi="宋体" w:hint="eastAsia"/>
                <w:sz w:val="24"/>
              </w:rPr>
              <w:t>（Exploration，Development and Production Contract）</w:t>
            </w:r>
            <w:r w:rsidRPr="003904D8">
              <w:rPr>
                <w:rFonts w:ascii="宋体" w:hAnsi="宋体"/>
                <w:sz w:val="24"/>
              </w:rPr>
              <w:t>，矿区内已由地震资料识别了多达12个构造，且其中1个构造已经生产近100年，</w:t>
            </w:r>
            <w:proofErr w:type="gramStart"/>
            <w:r w:rsidRPr="003904D8">
              <w:rPr>
                <w:rFonts w:ascii="宋体" w:hAnsi="宋体"/>
                <w:sz w:val="24"/>
              </w:rPr>
              <w:t>累产超过</w:t>
            </w:r>
            <w:proofErr w:type="gramEnd"/>
            <w:r w:rsidRPr="003904D8">
              <w:rPr>
                <w:rFonts w:ascii="宋体" w:hAnsi="宋体"/>
                <w:sz w:val="24"/>
              </w:rPr>
              <w:t>1.8亿桶油，目前仍然在产并且有措施及扩层潜力。另外11个构造中，有三个已经钻过探井并且有油气发现，证实了主产含油气层的存在和产能，接下来通过评价井来进一步评价。另外8个构造与已探明的4个构造所处位置相同，</w:t>
            </w:r>
            <w:r w:rsidRPr="003904D8">
              <w:rPr>
                <w:rFonts w:ascii="宋体" w:hAnsi="宋体"/>
                <w:sz w:val="24"/>
              </w:rPr>
              <w:lastRenderedPageBreak/>
              <w:t>构造形态和地质条件类似，预计有较高的勘探成功率。所以</w:t>
            </w:r>
            <w:proofErr w:type="spellStart"/>
            <w:r w:rsidRPr="003904D8">
              <w:rPr>
                <w:rFonts w:ascii="宋体" w:hAnsi="宋体"/>
                <w:sz w:val="24"/>
              </w:rPr>
              <w:t>Naft</w:t>
            </w:r>
            <w:proofErr w:type="spellEnd"/>
            <w:r w:rsidRPr="003904D8">
              <w:rPr>
                <w:rFonts w:ascii="宋体" w:hAnsi="宋体"/>
                <w:sz w:val="24"/>
              </w:rPr>
              <w:t xml:space="preserve"> Khana项目并不是纯粹的勘探项目，其中包含了在产油田，已探明</w:t>
            </w:r>
            <w:proofErr w:type="gramStart"/>
            <w:r w:rsidRPr="003904D8">
              <w:rPr>
                <w:rFonts w:ascii="宋体" w:hAnsi="宋体"/>
                <w:sz w:val="24"/>
              </w:rPr>
              <w:t>待评价</w:t>
            </w:r>
            <w:proofErr w:type="gramEnd"/>
            <w:r w:rsidRPr="003904D8">
              <w:rPr>
                <w:rFonts w:ascii="宋体" w:hAnsi="宋体"/>
                <w:sz w:val="24"/>
              </w:rPr>
              <w:t>构造，和未探明圈闭。公司计划先对在产油田进行增产措施</w:t>
            </w:r>
            <w:r w:rsidRPr="003904D8">
              <w:rPr>
                <w:rFonts w:ascii="宋体" w:hAnsi="宋体" w:hint="eastAsia"/>
                <w:sz w:val="24"/>
              </w:rPr>
              <w:t>，同时评价及开发</w:t>
            </w:r>
            <w:r w:rsidRPr="003904D8">
              <w:rPr>
                <w:rFonts w:ascii="宋体" w:hAnsi="宋体"/>
                <w:sz w:val="24"/>
              </w:rPr>
              <w:t>3个探明构造，并在未来逐步对未探明圈闭进行勘探工作，所以目前阶段的勘探风险是非常小的。</w:t>
            </w:r>
          </w:p>
          <w:p w14:paraId="3CC53D40" w14:textId="77777777" w:rsidR="00DE39DE" w:rsidRPr="003904D8" w:rsidRDefault="00DE39DE" w:rsidP="001F0A15">
            <w:pPr>
              <w:spacing w:line="360" w:lineRule="auto"/>
              <w:ind w:firstLineChars="200" w:firstLine="480"/>
              <w:rPr>
                <w:rFonts w:ascii="宋体" w:hAnsi="宋体"/>
                <w:sz w:val="24"/>
              </w:rPr>
            </w:pPr>
            <w:proofErr w:type="spellStart"/>
            <w:r w:rsidRPr="003904D8">
              <w:rPr>
                <w:rFonts w:ascii="宋体" w:hAnsi="宋体"/>
                <w:sz w:val="24"/>
              </w:rPr>
              <w:t>Zurbatiya</w:t>
            </w:r>
            <w:proofErr w:type="spellEnd"/>
            <w:r w:rsidRPr="003904D8">
              <w:rPr>
                <w:rFonts w:ascii="宋体" w:hAnsi="宋体"/>
                <w:sz w:val="24"/>
              </w:rPr>
              <w:t>区块作为勘探区块，区块内已有二维地震资料识别了2个构造，</w:t>
            </w:r>
            <w:proofErr w:type="gramStart"/>
            <w:r w:rsidRPr="003904D8">
              <w:rPr>
                <w:rFonts w:ascii="宋体" w:hAnsi="宋体"/>
                <w:sz w:val="24"/>
              </w:rPr>
              <w:t>重磁数据</w:t>
            </w:r>
            <w:proofErr w:type="gramEnd"/>
            <w:r w:rsidRPr="003904D8">
              <w:rPr>
                <w:rFonts w:ascii="宋体" w:hAnsi="宋体"/>
                <w:sz w:val="24"/>
              </w:rPr>
              <w:t>也显示区块内发育构造，并且从卫星图片可以明显看到发育的构造带，存在局部背斜。区块存在构造隆升，</w:t>
            </w:r>
            <w:proofErr w:type="gramStart"/>
            <w:r w:rsidRPr="003904D8">
              <w:rPr>
                <w:rFonts w:ascii="宋体" w:hAnsi="宋体"/>
                <w:sz w:val="24"/>
              </w:rPr>
              <w:t>逆掩带下</w:t>
            </w:r>
            <w:proofErr w:type="gramEnd"/>
            <w:r w:rsidRPr="003904D8">
              <w:rPr>
                <w:rFonts w:ascii="宋体" w:hAnsi="宋体"/>
                <w:sz w:val="24"/>
              </w:rPr>
              <w:t>发育叠瓦构造，整体构造规模较大。区域上看，周边伊拉克类似构造的油气勘探成功</w:t>
            </w:r>
            <w:r w:rsidRPr="003904D8">
              <w:rPr>
                <w:rFonts w:ascii="宋体" w:hAnsi="宋体" w:hint="eastAsia"/>
                <w:sz w:val="24"/>
              </w:rPr>
              <w:t>率</w:t>
            </w:r>
            <w:r w:rsidRPr="003904D8">
              <w:rPr>
                <w:rFonts w:ascii="宋体" w:hAnsi="宋体"/>
                <w:sz w:val="24"/>
              </w:rPr>
              <w:t>非常高，</w:t>
            </w:r>
            <w:r w:rsidRPr="003904D8">
              <w:rPr>
                <w:rFonts w:ascii="宋体" w:hAnsi="宋体" w:hint="eastAsia"/>
                <w:sz w:val="24"/>
              </w:rPr>
              <w:t>南部同一排构造的巴德拉Badrah油田高峰期日产30万桶，现在仍有日产10万桶的产能，所以</w:t>
            </w:r>
            <w:r w:rsidRPr="003904D8">
              <w:rPr>
                <w:rFonts w:ascii="宋体" w:hAnsi="宋体"/>
                <w:sz w:val="24"/>
              </w:rPr>
              <w:t>综合评价</w:t>
            </w:r>
            <w:proofErr w:type="spellStart"/>
            <w:r w:rsidRPr="003904D8">
              <w:rPr>
                <w:rFonts w:ascii="宋体" w:hAnsi="宋体"/>
                <w:sz w:val="24"/>
              </w:rPr>
              <w:t>Zurbatiya</w:t>
            </w:r>
            <w:proofErr w:type="spellEnd"/>
            <w:r w:rsidRPr="003904D8">
              <w:rPr>
                <w:rFonts w:ascii="宋体" w:hAnsi="宋体"/>
                <w:sz w:val="24"/>
              </w:rPr>
              <w:t>勘探风险</w:t>
            </w:r>
            <w:r w:rsidRPr="003904D8">
              <w:rPr>
                <w:rFonts w:ascii="宋体" w:hAnsi="宋体" w:hint="eastAsia"/>
                <w:sz w:val="24"/>
              </w:rPr>
              <w:t>很小</w:t>
            </w:r>
            <w:r w:rsidRPr="003904D8">
              <w:rPr>
                <w:rFonts w:ascii="宋体" w:hAnsi="宋体"/>
                <w:sz w:val="24"/>
              </w:rPr>
              <w:t>。</w:t>
            </w:r>
          </w:p>
          <w:p w14:paraId="6EB2EA51" w14:textId="75CB8BB3" w:rsidR="00C708AE" w:rsidRPr="001F0A15" w:rsidRDefault="00DE39DE" w:rsidP="001F0A15">
            <w:pPr>
              <w:spacing w:line="360" w:lineRule="auto"/>
              <w:ind w:firstLineChars="200" w:firstLine="480"/>
              <w:rPr>
                <w:rFonts w:ascii="宋体" w:hAnsi="宋体"/>
                <w:sz w:val="24"/>
              </w:rPr>
            </w:pPr>
            <w:r w:rsidRPr="003904D8">
              <w:rPr>
                <w:rFonts w:ascii="宋体" w:hAnsi="宋体"/>
                <w:sz w:val="24"/>
              </w:rPr>
              <w:t>Jabal Sanam目前看虽然存在一定程度的勘探风险，其北部区域为Tuba油田的南延，而Tuba油田3D地震采集已经完成，处于Tub、Rumaila和Zubair等大油田之间的油气富集区，地质资源潜力较大，义务工作量较低， 30.9%的高RPB将为我司带来良好的收益。</w:t>
            </w:r>
          </w:p>
          <w:p w14:paraId="411C2435" w14:textId="49DD5206" w:rsidR="006223DF" w:rsidRPr="00C02EEE" w:rsidRDefault="009570EA" w:rsidP="001F0A15">
            <w:pPr>
              <w:spacing w:line="360" w:lineRule="auto"/>
              <w:ind w:firstLineChars="200" w:firstLine="482"/>
              <w:rPr>
                <w:rFonts w:ascii="宋体" w:hAnsi="宋体"/>
                <w:b/>
                <w:bCs/>
                <w:sz w:val="24"/>
              </w:rPr>
            </w:pPr>
            <w:r>
              <w:rPr>
                <w:rFonts w:ascii="宋体" w:hAnsi="宋体" w:hint="eastAsia"/>
                <w:b/>
                <w:bCs/>
                <w:sz w:val="24"/>
              </w:rPr>
              <w:t>4</w:t>
            </w:r>
            <w:r w:rsidR="00D2245B" w:rsidRPr="00C02EEE">
              <w:rPr>
                <w:rFonts w:ascii="宋体" w:hAnsi="宋体" w:hint="eastAsia"/>
                <w:b/>
                <w:bCs/>
                <w:sz w:val="24"/>
              </w:rPr>
              <w:t>、</w:t>
            </w:r>
            <w:r w:rsidR="00A412E9" w:rsidRPr="00C02EEE">
              <w:rPr>
                <w:rFonts w:ascii="宋体" w:hAnsi="宋体" w:hint="eastAsia"/>
                <w:b/>
                <w:bCs/>
                <w:sz w:val="24"/>
              </w:rPr>
              <w:t>伊拉克四个区块中标的报酬率为何有巨大差异？</w:t>
            </w:r>
          </w:p>
          <w:p w14:paraId="6AC92E76" w14:textId="45F53222" w:rsidR="00DE39DE" w:rsidRPr="003904D8" w:rsidRDefault="00727AAC" w:rsidP="001F0A15">
            <w:pPr>
              <w:spacing w:line="360" w:lineRule="auto"/>
              <w:ind w:firstLineChars="200" w:firstLine="480"/>
              <w:rPr>
                <w:rFonts w:ascii="宋体" w:hAnsi="宋体"/>
                <w:sz w:val="24"/>
              </w:rPr>
            </w:pPr>
            <w:r w:rsidRPr="00727AAC">
              <w:rPr>
                <w:rFonts w:ascii="宋体" w:hAnsi="宋体" w:hint="eastAsia"/>
                <w:sz w:val="24"/>
              </w:rPr>
              <w:t>答</w:t>
            </w:r>
            <w:r w:rsidR="00DE39DE" w:rsidRPr="00727AAC">
              <w:rPr>
                <w:rFonts w:ascii="宋体" w:hAnsi="宋体" w:hint="eastAsia"/>
                <w:sz w:val="24"/>
              </w:rPr>
              <w:t>：</w:t>
            </w:r>
            <w:r w:rsidR="00DE39DE" w:rsidRPr="003904D8">
              <w:rPr>
                <w:rFonts w:ascii="宋体" w:hAnsi="宋体" w:hint="eastAsia"/>
                <w:sz w:val="24"/>
              </w:rPr>
              <w:t>洲际油气在伊拉克4个区块</w:t>
            </w:r>
            <w:proofErr w:type="spellStart"/>
            <w:r w:rsidR="00DE39DE" w:rsidRPr="003904D8">
              <w:rPr>
                <w:rFonts w:ascii="宋体" w:hAnsi="宋体" w:hint="eastAsia"/>
                <w:sz w:val="24"/>
              </w:rPr>
              <w:t>Huwaiza</w:t>
            </w:r>
            <w:proofErr w:type="spellEnd"/>
            <w:r w:rsidR="00DE39DE" w:rsidRPr="003904D8">
              <w:rPr>
                <w:rFonts w:ascii="宋体" w:hAnsi="宋体" w:hint="eastAsia"/>
                <w:sz w:val="24"/>
              </w:rPr>
              <w:t>、</w:t>
            </w:r>
            <w:proofErr w:type="spellStart"/>
            <w:r w:rsidR="00DE39DE" w:rsidRPr="003904D8">
              <w:rPr>
                <w:rFonts w:ascii="宋体" w:hAnsi="宋体" w:hint="eastAsia"/>
                <w:sz w:val="24"/>
              </w:rPr>
              <w:t>Zurbatiya</w:t>
            </w:r>
            <w:proofErr w:type="spellEnd"/>
            <w:r w:rsidR="00DE39DE" w:rsidRPr="003904D8">
              <w:rPr>
                <w:rFonts w:ascii="宋体" w:hAnsi="宋体" w:hint="eastAsia"/>
                <w:sz w:val="24"/>
              </w:rPr>
              <w:t>、NK、</w:t>
            </w:r>
            <w:proofErr w:type="spellStart"/>
            <w:r w:rsidR="00DE39DE" w:rsidRPr="003904D8">
              <w:rPr>
                <w:rFonts w:ascii="宋体" w:hAnsi="宋体" w:hint="eastAsia"/>
                <w:sz w:val="24"/>
              </w:rPr>
              <w:t>Jabel</w:t>
            </w:r>
            <w:proofErr w:type="spellEnd"/>
            <w:r w:rsidR="00DE39DE" w:rsidRPr="003904D8">
              <w:rPr>
                <w:rFonts w:ascii="宋体" w:hAnsi="宋体" w:hint="eastAsia"/>
                <w:sz w:val="24"/>
              </w:rPr>
              <w:t>的报酬费比例是有差异，但伊拉克油田油气富集，单井产量高，操作成本低：</w:t>
            </w:r>
          </w:p>
          <w:p w14:paraId="430843E0" w14:textId="77777777" w:rsidR="00DE39DE" w:rsidRPr="003904D8" w:rsidRDefault="00DE39DE" w:rsidP="001F0A15">
            <w:pPr>
              <w:spacing w:line="360" w:lineRule="auto"/>
              <w:ind w:firstLineChars="200" w:firstLine="480"/>
              <w:rPr>
                <w:rFonts w:ascii="宋体" w:hAnsi="宋体"/>
                <w:sz w:val="24"/>
              </w:rPr>
            </w:pPr>
            <w:r w:rsidRPr="003904D8">
              <w:rPr>
                <w:rFonts w:ascii="宋体" w:hAnsi="宋体" w:hint="eastAsia"/>
                <w:sz w:val="24"/>
              </w:rPr>
              <w:t>首先最主要的相关性是资产的价值和风险因素。比如</w:t>
            </w:r>
            <w:proofErr w:type="spellStart"/>
            <w:r w:rsidRPr="003904D8">
              <w:rPr>
                <w:rFonts w:ascii="宋体" w:hAnsi="宋体" w:hint="eastAsia"/>
                <w:sz w:val="24"/>
              </w:rPr>
              <w:t>Huwaiza</w:t>
            </w:r>
            <w:proofErr w:type="spellEnd"/>
            <w:r w:rsidRPr="003904D8">
              <w:rPr>
                <w:rFonts w:ascii="宋体" w:hAnsi="宋体" w:hint="eastAsia"/>
                <w:sz w:val="24"/>
              </w:rPr>
              <w:t>油田，除伊拉克境内有一口发现井外，伊朗境内还存在2口探井证实了油田的存在，因此是开发合同，针对的对象是已经落实的油田，几乎不存在勘探风险，因此报酬率就较低，而同期发布的区块</w:t>
            </w:r>
            <w:proofErr w:type="spellStart"/>
            <w:r w:rsidRPr="003904D8">
              <w:rPr>
                <w:rFonts w:ascii="宋体" w:hAnsi="宋体" w:hint="eastAsia"/>
                <w:sz w:val="24"/>
              </w:rPr>
              <w:t>Naft</w:t>
            </w:r>
            <w:proofErr w:type="spellEnd"/>
            <w:r w:rsidRPr="003904D8">
              <w:rPr>
                <w:rFonts w:ascii="宋体" w:hAnsi="宋体" w:hint="eastAsia"/>
                <w:sz w:val="24"/>
              </w:rPr>
              <w:t xml:space="preserve"> Khana为勘探区块，但有老油田复产会很快建产。</w:t>
            </w:r>
          </w:p>
          <w:p w14:paraId="2F20CE81" w14:textId="77777777" w:rsidR="00DE39DE" w:rsidRPr="003904D8" w:rsidRDefault="00DE39DE" w:rsidP="001F0A15">
            <w:pPr>
              <w:spacing w:line="360" w:lineRule="auto"/>
              <w:ind w:firstLineChars="200" w:firstLine="480"/>
              <w:rPr>
                <w:rFonts w:ascii="宋体" w:hAnsi="宋体"/>
                <w:sz w:val="24"/>
              </w:rPr>
            </w:pPr>
            <w:proofErr w:type="spellStart"/>
            <w:r w:rsidRPr="003904D8">
              <w:rPr>
                <w:rFonts w:ascii="宋体" w:hAnsi="宋体" w:hint="eastAsia"/>
                <w:sz w:val="24"/>
              </w:rPr>
              <w:t>Zurbatiya</w:t>
            </w:r>
            <w:proofErr w:type="spellEnd"/>
            <w:r w:rsidRPr="003904D8">
              <w:rPr>
                <w:rFonts w:ascii="宋体" w:hAnsi="宋体" w:hint="eastAsia"/>
                <w:sz w:val="24"/>
              </w:rPr>
              <w:t>同样作为勘探区块，其构造位置处于扎格罗斯油气富集构造带，地质研究上判断存在一个大型的长轴背斜构造，油气的充满度均较高，伊拉克石油部对该区块的重视，几轮招标压低报酬率，本次中标的报酬率是非常有竞争力的。</w:t>
            </w:r>
          </w:p>
          <w:p w14:paraId="189EF472" w14:textId="77777777" w:rsidR="00DE39DE" w:rsidRPr="003904D8" w:rsidRDefault="00DE39DE" w:rsidP="001F0A15">
            <w:pPr>
              <w:spacing w:line="360" w:lineRule="auto"/>
              <w:ind w:firstLineChars="200" w:firstLine="480"/>
              <w:rPr>
                <w:rFonts w:ascii="宋体" w:hAnsi="宋体"/>
                <w:sz w:val="24"/>
              </w:rPr>
            </w:pPr>
            <w:r w:rsidRPr="003904D8">
              <w:rPr>
                <w:rFonts w:ascii="宋体" w:hAnsi="宋体" w:hint="eastAsia"/>
                <w:sz w:val="24"/>
              </w:rPr>
              <w:lastRenderedPageBreak/>
              <w:t>Jabal Sanam区块虽然有一定的勘探风险，但处于Tub、Rumaila和Zubair等大油田之间的油气富集区，地质资源潜力较大，</w:t>
            </w:r>
            <w:proofErr w:type="gramStart"/>
            <w:r w:rsidRPr="003904D8">
              <w:rPr>
                <w:rFonts w:ascii="宋体" w:hAnsi="宋体" w:hint="eastAsia"/>
                <w:sz w:val="24"/>
              </w:rPr>
              <w:t>洲际在</w:t>
            </w:r>
            <w:proofErr w:type="gramEnd"/>
            <w:r w:rsidRPr="003904D8">
              <w:rPr>
                <w:rFonts w:ascii="宋体" w:hAnsi="宋体" w:hint="eastAsia"/>
                <w:sz w:val="24"/>
              </w:rPr>
              <w:t>本轮区块投标中，采取积极稳健进取的投标策略，最终以最高的报酬率中标。</w:t>
            </w:r>
          </w:p>
          <w:p w14:paraId="530FDEE7" w14:textId="0A12A80E" w:rsidR="00C708AE" w:rsidRPr="00C02EEE" w:rsidRDefault="009570EA" w:rsidP="001F0A15">
            <w:pPr>
              <w:spacing w:line="360" w:lineRule="auto"/>
              <w:ind w:firstLineChars="200" w:firstLine="482"/>
              <w:rPr>
                <w:rFonts w:ascii="宋体" w:hAnsi="宋体"/>
                <w:b/>
                <w:bCs/>
                <w:sz w:val="24"/>
              </w:rPr>
            </w:pPr>
            <w:r>
              <w:rPr>
                <w:rFonts w:ascii="宋体" w:hAnsi="宋体" w:hint="eastAsia"/>
                <w:b/>
                <w:bCs/>
                <w:sz w:val="24"/>
              </w:rPr>
              <w:t>5</w:t>
            </w:r>
            <w:r w:rsidR="00A412E9" w:rsidRPr="00C02EEE">
              <w:rPr>
                <w:rFonts w:ascii="宋体" w:hAnsi="宋体" w:hint="eastAsia"/>
                <w:b/>
                <w:bCs/>
                <w:sz w:val="24"/>
              </w:rPr>
              <w:t>、近日，伊拉克政府发言人表示：中东地区仍然处于爆发全面战争的边缘。公司投资伊拉克有战争风险吗？有什么应对措施？</w:t>
            </w:r>
          </w:p>
          <w:p w14:paraId="7F2587DB" w14:textId="770309E6" w:rsidR="00DE39DE" w:rsidRPr="003904D8" w:rsidRDefault="00727AAC" w:rsidP="001F0A15">
            <w:pPr>
              <w:spacing w:line="360" w:lineRule="auto"/>
              <w:ind w:firstLineChars="200" w:firstLine="480"/>
              <w:rPr>
                <w:rFonts w:ascii="宋体" w:hAnsi="宋体"/>
                <w:sz w:val="24"/>
              </w:rPr>
            </w:pPr>
            <w:r>
              <w:rPr>
                <w:rFonts w:ascii="宋体" w:hAnsi="宋体" w:hint="eastAsia"/>
                <w:sz w:val="24"/>
              </w:rPr>
              <w:t>答：</w:t>
            </w:r>
            <w:r w:rsidR="00DE39DE" w:rsidRPr="003904D8">
              <w:rPr>
                <w:rFonts w:ascii="宋体" w:hAnsi="宋体" w:hint="eastAsia"/>
                <w:sz w:val="24"/>
              </w:rPr>
              <w:t>外交部、商务部有风险区域划分，目前我们的区块都在安全区间。我们区块周边都有国际大区块，生产运行正常；我们大部分油田区块在南部安全成熟区。</w:t>
            </w:r>
          </w:p>
          <w:p w14:paraId="5DD9CF7F" w14:textId="77777777" w:rsidR="00DE39DE" w:rsidRPr="003904D8" w:rsidRDefault="00DE39DE" w:rsidP="001F0A15">
            <w:pPr>
              <w:spacing w:line="360" w:lineRule="auto"/>
              <w:ind w:firstLineChars="200" w:firstLine="480"/>
              <w:rPr>
                <w:rFonts w:ascii="宋体" w:hAnsi="宋体"/>
                <w:sz w:val="24"/>
              </w:rPr>
            </w:pPr>
            <w:r w:rsidRPr="003904D8">
              <w:rPr>
                <w:rFonts w:ascii="宋体" w:hAnsi="宋体" w:hint="eastAsia"/>
                <w:sz w:val="24"/>
              </w:rPr>
              <w:t>巴以战争导致的中东纷争，是不争的事实，但目前来看，伊拉克陷入战争的风险因素暂时还不大，主要由从上到下的民意基础决定的。一是伊拉克政府（包括总理）对战争的厌恶态度是明确的，政府用明确的声音警告民兵组织不要把伊拉克拉入漩涡，要求武装组织不得在伊拉克境内展开对以色列的袭击活动；二是经过多年的战争，伊拉克目前处于发展阶段，到处都是基建的工地，人民的生活正在得到明显的改善，基层的民众对战争也是厌恶的态度，这也会从侧面影响政客的决定。三是伊拉克还是一个事实上受美国管控的国家，在国家管理体系中，特别是军事体系中还有很深的影响。</w:t>
            </w:r>
          </w:p>
          <w:p w14:paraId="07FA2D8E" w14:textId="77777777" w:rsidR="00DE39DE" w:rsidRPr="003904D8" w:rsidRDefault="00DE39DE" w:rsidP="001F0A15">
            <w:pPr>
              <w:spacing w:line="360" w:lineRule="auto"/>
              <w:ind w:firstLineChars="200" w:firstLine="480"/>
              <w:rPr>
                <w:rFonts w:ascii="宋体" w:hAnsi="宋体"/>
                <w:sz w:val="24"/>
              </w:rPr>
            </w:pPr>
            <w:r w:rsidRPr="003904D8">
              <w:rPr>
                <w:rFonts w:ascii="宋体" w:hAnsi="宋体" w:hint="eastAsia"/>
                <w:sz w:val="24"/>
              </w:rPr>
              <w:t>洲际油气所有区块都处于低风险区。众多国际大型石油公司包括BP、Exxon、Total、中石油、中海油等等都在伊拉克运行油田已有十余年，收获颇丰。2022年伊拉克完成新政府的组建并提出200余项改革建议，百废待兴，未来十年正式伊拉克和平发展建设国家的黄金时期。</w:t>
            </w:r>
          </w:p>
          <w:p w14:paraId="723B0F5A" w14:textId="23B26213" w:rsidR="00A412E9" w:rsidRPr="001F0A15" w:rsidRDefault="00DE39DE" w:rsidP="001F0A15">
            <w:pPr>
              <w:spacing w:line="360" w:lineRule="auto"/>
              <w:ind w:firstLineChars="200" w:firstLine="480"/>
              <w:rPr>
                <w:rFonts w:ascii="宋体" w:hAnsi="宋体"/>
                <w:sz w:val="24"/>
              </w:rPr>
            </w:pPr>
            <w:r w:rsidRPr="003904D8">
              <w:rPr>
                <w:rFonts w:ascii="宋体" w:hAnsi="宋体" w:hint="eastAsia"/>
                <w:sz w:val="24"/>
              </w:rPr>
              <w:t>整体而言，中东的风险暂时还不能排除，但伊拉克陷入战争的风险是本届政府力求避免的。</w:t>
            </w:r>
          </w:p>
          <w:p w14:paraId="316BF134" w14:textId="28DD0576" w:rsidR="00A412E9" w:rsidRPr="00C02EEE" w:rsidRDefault="009570EA" w:rsidP="001F0A15">
            <w:pPr>
              <w:spacing w:line="360" w:lineRule="auto"/>
              <w:ind w:firstLineChars="200" w:firstLine="482"/>
              <w:rPr>
                <w:rFonts w:ascii="宋体" w:hAnsi="宋体"/>
                <w:b/>
                <w:bCs/>
                <w:sz w:val="24"/>
              </w:rPr>
            </w:pPr>
            <w:r>
              <w:rPr>
                <w:rFonts w:ascii="宋体" w:hAnsi="宋体" w:hint="eastAsia"/>
                <w:b/>
                <w:bCs/>
                <w:sz w:val="24"/>
              </w:rPr>
              <w:t>6</w:t>
            </w:r>
            <w:r w:rsidR="00A412E9" w:rsidRPr="00C02EEE">
              <w:rPr>
                <w:rFonts w:ascii="宋体" w:hAnsi="宋体" w:hint="eastAsia"/>
                <w:b/>
                <w:bCs/>
                <w:sz w:val="24"/>
              </w:rPr>
              <w:t>、哈萨克斯坦销售模式、原油销售情况？</w:t>
            </w:r>
          </w:p>
          <w:p w14:paraId="2ED1A321" w14:textId="18CF38A5" w:rsidR="00DE39DE" w:rsidRPr="001F0A15" w:rsidRDefault="00727AAC" w:rsidP="001F0A15">
            <w:pPr>
              <w:spacing w:line="360" w:lineRule="auto"/>
              <w:ind w:firstLineChars="200" w:firstLine="480"/>
              <w:rPr>
                <w:rFonts w:ascii="宋体" w:hAnsi="宋体"/>
                <w:sz w:val="24"/>
              </w:rPr>
            </w:pPr>
            <w:r>
              <w:rPr>
                <w:rFonts w:ascii="宋体" w:hAnsi="宋体" w:hint="eastAsia"/>
                <w:sz w:val="24"/>
              </w:rPr>
              <w:t>答：</w:t>
            </w:r>
            <w:r w:rsidR="00DE39DE" w:rsidRPr="001F0A15">
              <w:rPr>
                <w:rFonts w:ascii="宋体" w:hAnsi="宋体" w:hint="eastAsia"/>
                <w:sz w:val="24"/>
              </w:rPr>
              <w:t>一、销售模式：</w:t>
            </w:r>
          </w:p>
          <w:p w14:paraId="3B6C029A" w14:textId="77777777" w:rsidR="00DE39DE" w:rsidRPr="001F0A15" w:rsidRDefault="00DE39DE" w:rsidP="001F0A15">
            <w:pPr>
              <w:spacing w:line="360" w:lineRule="auto"/>
              <w:ind w:firstLineChars="200" w:firstLine="480"/>
              <w:rPr>
                <w:rFonts w:ascii="宋体" w:hAnsi="宋体"/>
                <w:sz w:val="24"/>
              </w:rPr>
            </w:pPr>
            <w:r w:rsidRPr="001F0A15">
              <w:rPr>
                <w:rFonts w:ascii="宋体" w:hAnsi="宋体" w:hint="eastAsia"/>
                <w:sz w:val="24"/>
              </w:rPr>
              <w:t>公司销售业务分为出口和哈国内销，销售模式为自主销售。2023年全年原油销售量共计75.28万吨，其中出口原油量占比55%，内销原油量占比45%。2023年公司出口原油全部通过CPC里海石油管道过境俄罗斯后进入国际市场，出口的交货方式为FOB俄罗斯新罗西斯克港口，原</w:t>
            </w:r>
            <w:r w:rsidRPr="001F0A15">
              <w:rPr>
                <w:rFonts w:ascii="宋体" w:hAnsi="宋体" w:hint="eastAsia"/>
                <w:sz w:val="24"/>
              </w:rPr>
              <w:lastRenderedPageBreak/>
              <w:t>油在目的港完成装船时，所有权由卖方转移至买方。CPC管道全称Caspian Pipeline Consortium（里海管道财团），连接哈萨克斯坦西部油田和俄罗斯里海沿岸油田直至黑海港口新罗西斯克，管道全长1511公里。通过CPC管道在黑海装船出口的原油品种为CPC Blend，主要来自哈萨克斯坦，亦混有俄罗斯轻质油与凝析油。CPC Blend是典型的轻质低硫原油。CPC Blend原油出口目的地主要集中在欧洲国家，其中意大利22％、荷兰10％、法国8％、土耳其8％，西班牙7％，亚洲市场客户主要为韩国8％、中国6％、印度4％。</w:t>
            </w:r>
          </w:p>
          <w:p w14:paraId="39ACB113" w14:textId="77777777" w:rsidR="00DE39DE" w:rsidRPr="001F0A15" w:rsidRDefault="00DE39DE" w:rsidP="001F0A15">
            <w:pPr>
              <w:spacing w:line="360" w:lineRule="auto"/>
              <w:ind w:firstLineChars="200" w:firstLine="480"/>
              <w:rPr>
                <w:rFonts w:ascii="宋体" w:hAnsi="宋体"/>
                <w:sz w:val="24"/>
              </w:rPr>
            </w:pPr>
            <w:r w:rsidRPr="001F0A15">
              <w:rPr>
                <w:rFonts w:ascii="宋体" w:hAnsi="宋体" w:hint="eastAsia"/>
                <w:sz w:val="24"/>
              </w:rPr>
              <w:t>马腾公司和克山公司原油通过CPC 管道出到欧洲为CPC Blend品种原油，按照国际惯例CPC Blend品种原油以即期布伦</w:t>
            </w:r>
            <w:proofErr w:type="gramStart"/>
            <w:r w:rsidRPr="001F0A15">
              <w:rPr>
                <w:rFonts w:ascii="宋体" w:hAnsi="宋体" w:hint="eastAsia"/>
                <w:sz w:val="24"/>
              </w:rPr>
              <w:t>特</w:t>
            </w:r>
            <w:proofErr w:type="gramEnd"/>
            <w:r w:rsidRPr="001F0A15">
              <w:rPr>
                <w:rFonts w:ascii="宋体" w:hAnsi="宋体" w:hint="eastAsia"/>
                <w:sz w:val="24"/>
              </w:rPr>
              <w:t>原油价格(Brent Dated)定价。作为世界上最具流动性的原油之一，布伦</w:t>
            </w:r>
            <w:proofErr w:type="gramStart"/>
            <w:r w:rsidRPr="001F0A15">
              <w:rPr>
                <w:rFonts w:ascii="宋体" w:hAnsi="宋体" w:hint="eastAsia"/>
                <w:sz w:val="24"/>
              </w:rPr>
              <w:t>特</w:t>
            </w:r>
            <w:proofErr w:type="gramEnd"/>
            <w:r w:rsidRPr="001F0A15">
              <w:rPr>
                <w:rFonts w:ascii="宋体" w:hAnsi="宋体" w:hint="eastAsia"/>
                <w:sz w:val="24"/>
              </w:rPr>
              <w:t>原油直接或间接地构成了全球78%以上出口原油的定价基准，包括俄罗斯乌拉尔原油、CPC Blend原油、尼日利亚和安哥拉的西非原油，以及欧佩克最大产油地的中东原油。</w:t>
            </w:r>
          </w:p>
          <w:p w14:paraId="31120BA8" w14:textId="77777777" w:rsidR="00DE39DE" w:rsidRPr="001F0A15" w:rsidRDefault="00DE39DE" w:rsidP="001F0A15">
            <w:pPr>
              <w:spacing w:line="360" w:lineRule="auto"/>
              <w:ind w:firstLineChars="200" w:firstLine="480"/>
              <w:rPr>
                <w:rFonts w:ascii="宋体" w:hAnsi="宋体"/>
                <w:sz w:val="24"/>
              </w:rPr>
            </w:pPr>
            <w:r w:rsidRPr="001F0A15">
              <w:rPr>
                <w:rFonts w:ascii="宋体" w:hAnsi="宋体" w:hint="eastAsia"/>
                <w:sz w:val="24"/>
              </w:rPr>
              <w:t xml:space="preserve">公司原油出口业务定价以《Platt’s Crude Oil </w:t>
            </w:r>
            <w:proofErr w:type="spellStart"/>
            <w:r w:rsidRPr="001F0A15">
              <w:rPr>
                <w:rFonts w:ascii="宋体" w:hAnsi="宋体" w:hint="eastAsia"/>
                <w:sz w:val="24"/>
              </w:rPr>
              <w:t>Marketwire</w:t>
            </w:r>
            <w:proofErr w:type="spellEnd"/>
            <w:r w:rsidRPr="001F0A15">
              <w:rPr>
                <w:rFonts w:ascii="宋体" w:hAnsi="宋体" w:hint="eastAsia"/>
                <w:sz w:val="24"/>
              </w:rPr>
              <w:t>》公布的即期布伦</w:t>
            </w:r>
            <w:proofErr w:type="gramStart"/>
            <w:r w:rsidRPr="001F0A15">
              <w:rPr>
                <w:rFonts w:ascii="宋体" w:hAnsi="宋体" w:hint="eastAsia"/>
                <w:sz w:val="24"/>
              </w:rPr>
              <w:t>特</w:t>
            </w:r>
            <w:proofErr w:type="gramEnd"/>
            <w:r w:rsidRPr="001F0A15">
              <w:rPr>
                <w:rFonts w:ascii="宋体" w:hAnsi="宋体" w:hint="eastAsia"/>
                <w:sz w:val="24"/>
              </w:rPr>
              <w:t>原油价格（Brent Dated）为计价基准，计价方式为：海运提单日当天的即期布伦</w:t>
            </w:r>
            <w:proofErr w:type="gramStart"/>
            <w:r w:rsidRPr="001F0A15">
              <w:rPr>
                <w:rFonts w:ascii="宋体" w:hAnsi="宋体" w:hint="eastAsia"/>
                <w:sz w:val="24"/>
              </w:rPr>
              <w:t>特</w:t>
            </w:r>
            <w:proofErr w:type="gramEnd"/>
            <w:r w:rsidRPr="001F0A15">
              <w:rPr>
                <w:rFonts w:ascii="宋体" w:hAnsi="宋体" w:hint="eastAsia"/>
                <w:sz w:val="24"/>
              </w:rPr>
              <w:t>原油价格（Brent Dated）减去折扣（含CPC Blend与Brent Dated价差、船运费、油商利润）。付款条件为装船海运提单日后第30天100%电汇付款（海运提单日为第0天）。装船后约15-20天与买方确认最终定价和折扣组成明细价格，向买方开具销售发票，发票包含出口合同及附件编号、海运提单日期、提单编号、油轮名称、Brent Dated价格($/</w:t>
            </w:r>
            <w:proofErr w:type="spellStart"/>
            <w:r w:rsidRPr="001F0A15">
              <w:rPr>
                <w:rFonts w:ascii="宋体" w:hAnsi="宋体" w:hint="eastAsia"/>
                <w:sz w:val="24"/>
              </w:rPr>
              <w:t>bbl</w:t>
            </w:r>
            <w:proofErr w:type="spellEnd"/>
            <w:r w:rsidRPr="001F0A15">
              <w:rPr>
                <w:rFonts w:ascii="宋体" w:hAnsi="宋体" w:hint="eastAsia"/>
                <w:sz w:val="24"/>
              </w:rPr>
              <w:t>), 折扣($/</w:t>
            </w:r>
            <w:proofErr w:type="spellStart"/>
            <w:r w:rsidRPr="001F0A15">
              <w:rPr>
                <w:rFonts w:ascii="宋体" w:hAnsi="宋体" w:hint="eastAsia"/>
                <w:sz w:val="24"/>
              </w:rPr>
              <w:t>bbl</w:t>
            </w:r>
            <w:proofErr w:type="spellEnd"/>
            <w:r w:rsidRPr="001F0A15">
              <w:rPr>
                <w:rFonts w:ascii="宋体" w:hAnsi="宋体" w:hint="eastAsia"/>
                <w:sz w:val="24"/>
              </w:rPr>
              <w:t>)，结算单价（$/</w:t>
            </w:r>
            <w:proofErr w:type="spellStart"/>
            <w:r w:rsidRPr="001F0A15">
              <w:rPr>
                <w:rFonts w:ascii="宋体" w:hAnsi="宋体" w:hint="eastAsia"/>
                <w:sz w:val="24"/>
              </w:rPr>
              <w:t>bbl</w:t>
            </w:r>
            <w:proofErr w:type="spellEnd"/>
            <w:r w:rsidRPr="001F0A15">
              <w:rPr>
                <w:rFonts w:ascii="宋体" w:hAnsi="宋体" w:hint="eastAsia"/>
                <w:sz w:val="24"/>
              </w:rPr>
              <w:t>）、数量（t）、数量（</w:t>
            </w:r>
            <w:proofErr w:type="spellStart"/>
            <w:r w:rsidRPr="001F0A15">
              <w:rPr>
                <w:rFonts w:ascii="宋体" w:hAnsi="宋体" w:hint="eastAsia"/>
                <w:sz w:val="24"/>
              </w:rPr>
              <w:t>bbl</w:t>
            </w:r>
            <w:proofErr w:type="spellEnd"/>
            <w:r w:rsidRPr="001F0A15">
              <w:rPr>
                <w:rFonts w:ascii="宋体" w:hAnsi="宋体" w:hint="eastAsia"/>
                <w:sz w:val="24"/>
              </w:rPr>
              <w:t>）、总价($)等信息。买方收到发票后在海运提单日第30天按期付款。以海运提单日期为确认收入的时点，基于海运提单、价格折扣支持文件、销售发票等文件确认收入。</w:t>
            </w:r>
          </w:p>
          <w:p w14:paraId="1C55F923" w14:textId="77777777" w:rsidR="00DE39DE" w:rsidRPr="001F0A15" w:rsidRDefault="00DE39DE" w:rsidP="001F0A15">
            <w:pPr>
              <w:spacing w:line="360" w:lineRule="auto"/>
              <w:ind w:firstLineChars="200" w:firstLine="480"/>
              <w:rPr>
                <w:rFonts w:ascii="宋体" w:hAnsi="宋体"/>
                <w:sz w:val="24"/>
              </w:rPr>
            </w:pPr>
            <w:r w:rsidRPr="001F0A15">
              <w:rPr>
                <w:rFonts w:ascii="宋体" w:hAnsi="宋体" w:hint="eastAsia"/>
                <w:sz w:val="24"/>
              </w:rPr>
              <w:t>由于哈萨克斯坦法律环境改变，2023年1月起哈萨克斯坦内销市场发生结构性改革，马腾、克山开启内销原油加工、成品油销售新业务。内销原油由马腾、克</w:t>
            </w:r>
            <w:proofErr w:type="gramStart"/>
            <w:r w:rsidRPr="001F0A15">
              <w:rPr>
                <w:rFonts w:ascii="宋体" w:hAnsi="宋体" w:hint="eastAsia"/>
                <w:sz w:val="24"/>
              </w:rPr>
              <w:t>山根据</w:t>
            </w:r>
            <w:proofErr w:type="gramEnd"/>
            <w:r w:rsidRPr="001F0A15">
              <w:rPr>
                <w:rFonts w:ascii="宋体" w:hAnsi="宋体" w:hint="eastAsia"/>
                <w:sz w:val="24"/>
              </w:rPr>
              <w:t>能源部配额办理输油手续运输至哈国境内炼厂加工，然后销售成品油，主要产品包含汽油、柴油、航煤、重油、石</w:t>
            </w:r>
            <w:r w:rsidRPr="001F0A15">
              <w:rPr>
                <w:rFonts w:ascii="宋体" w:hAnsi="宋体" w:hint="eastAsia"/>
                <w:sz w:val="24"/>
              </w:rPr>
              <w:lastRenderedPageBreak/>
              <w:t>油焦、硫磺、液化气等。成品</w:t>
            </w:r>
            <w:proofErr w:type="gramStart"/>
            <w:r w:rsidRPr="001F0A15">
              <w:rPr>
                <w:rFonts w:ascii="宋体" w:hAnsi="宋体" w:hint="eastAsia"/>
                <w:sz w:val="24"/>
              </w:rPr>
              <w:t>油客户</w:t>
            </w:r>
            <w:proofErr w:type="gramEnd"/>
            <w:r w:rsidRPr="001F0A15">
              <w:rPr>
                <w:rFonts w:ascii="宋体" w:hAnsi="宋体" w:hint="eastAsia"/>
                <w:sz w:val="24"/>
              </w:rPr>
              <w:t>主要为哈国境内加油站零售商、批发商、贸易商、终端用户等。成品油销售价格参照政府指导价和Argus公布的哈国成品油市场交易价格区间，根据</w:t>
            </w:r>
            <w:proofErr w:type="gramStart"/>
            <w:r w:rsidRPr="001F0A15">
              <w:rPr>
                <w:rFonts w:ascii="宋体" w:hAnsi="宋体" w:hint="eastAsia"/>
                <w:sz w:val="24"/>
              </w:rPr>
              <w:t>交易时哈国内</w:t>
            </w:r>
            <w:proofErr w:type="gramEnd"/>
            <w:r w:rsidRPr="001F0A15">
              <w:rPr>
                <w:rFonts w:ascii="宋体" w:hAnsi="宋体" w:hint="eastAsia"/>
                <w:sz w:val="24"/>
              </w:rPr>
              <w:t>成品油市场供需情况，通过买卖双方谈判确定。付款方式为签订合同后三个工作日内买方100%预付款。收到预付款以后，根据买方订单发货申请，卖方开始向炼厂申请出库发货。成品油的运输方式为铁路罐车运输或公路汽运罐车运输，根据销售合同，成品油交货方式主要为EXW炼厂交货，油品从炼厂储罐完成铁路罐车或者汽运罐车装车时，实现所有权由卖方转移至买方，此时双方确认电子运单。电子运单包含开票日期、货物品名、数量、单价、总价、增值税等信息。同时由炼厂、卖方、承运人签署货物交接单，作为双方货物交接的凭证，该交接单包含铁路或汽车运单号、罐车编号、罐车类型、油品密度、装运数量、铅封编码等信息。基于以上电子运单和交接单，卖方向买方开具销售发票。销售发票是确认销售收入所必须的凭证，销售发票应详细列明销售商品的名称、数量、单价、金额等信息。电子运单、货物交接单、销售发票三者日期一致，为该批次货物完成装车发运的日期，以该日期为确认收入的时点，基于以上文件确认收入。</w:t>
            </w:r>
          </w:p>
          <w:p w14:paraId="294363AC" w14:textId="77777777" w:rsidR="00DE39DE" w:rsidRPr="001F0A15" w:rsidRDefault="00DE39DE" w:rsidP="001F0A15">
            <w:pPr>
              <w:spacing w:line="360" w:lineRule="auto"/>
              <w:ind w:firstLine="480"/>
              <w:rPr>
                <w:rFonts w:ascii="宋体" w:hAnsi="宋体"/>
                <w:sz w:val="24"/>
              </w:rPr>
            </w:pPr>
            <w:r w:rsidRPr="001F0A15">
              <w:rPr>
                <w:rFonts w:ascii="宋体" w:hAnsi="宋体" w:hint="eastAsia"/>
                <w:sz w:val="24"/>
              </w:rPr>
              <w:t>二、原油销售情况</w:t>
            </w:r>
          </w:p>
          <w:p w14:paraId="19537A8E" w14:textId="77777777" w:rsidR="00DE39DE" w:rsidRPr="001F0A15" w:rsidRDefault="00DE39DE" w:rsidP="001F0A15">
            <w:pPr>
              <w:spacing w:line="360" w:lineRule="auto"/>
              <w:ind w:firstLine="480"/>
              <w:rPr>
                <w:rFonts w:ascii="宋体" w:hAnsi="宋体"/>
                <w:sz w:val="24"/>
              </w:rPr>
            </w:pPr>
            <w:r w:rsidRPr="001F0A15">
              <w:rPr>
                <w:rFonts w:ascii="宋体" w:hAnsi="宋体" w:hint="eastAsia"/>
                <w:sz w:val="24"/>
              </w:rPr>
              <w:t>公司作业区块位于哈萨克石油主产区的阿特劳州，产量规模名列哈萨克斯坦第12位，属于中等规模独立石油公司。但公司的销售业绩在所有哈萨克矿税制企业中表现最好，主要得力于以下几个方面的因素：</w:t>
            </w:r>
          </w:p>
          <w:p w14:paraId="32914E7D" w14:textId="77777777" w:rsidR="00DE39DE" w:rsidRPr="001F0A15" w:rsidRDefault="00DE39DE" w:rsidP="00C02EEE">
            <w:pPr>
              <w:pStyle w:val="aa"/>
              <w:numPr>
                <w:ilvl w:val="0"/>
                <w:numId w:val="1"/>
              </w:numPr>
            </w:pPr>
            <w:r w:rsidRPr="001F0A15">
              <w:rPr>
                <w:rFonts w:hint="eastAsia"/>
              </w:rPr>
              <w:t>始终坚持出口最大化与出口渠道多元化相结合的原则。</w:t>
            </w:r>
          </w:p>
          <w:p w14:paraId="0B7CCE08" w14:textId="77777777" w:rsidR="00DE39DE" w:rsidRPr="001F0A15" w:rsidRDefault="00DE39DE" w:rsidP="001F0A15">
            <w:pPr>
              <w:spacing w:line="360" w:lineRule="auto"/>
              <w:ind w:firstLine="480"/>
              <w:rPr>
                <w:rFonts w:ascii="宋体" w:hAnsi="宋体"/>
                <w:sz w:val="24"/>
              </w:rPr>
            </w:pPr>
            <w:r w:rsidRPr="001F0A15">
              <w:rPr>
                <w:rFonts w:ascii="宋体" w:hAnsi="宋体" w:hint="eastAsia"/>
                <w:sz w:val="24"/>
              </w:rPr>
              <w:t>哈萨克斯坦是石油生产国，资源国国内成品油市场价格管控，国内销售效益相比出口低。所以，公司一直致力于维持最低的内销比例，尽一切可能获取出口配额。多年以来公司在哈项目的内销比例一直是同业内最低水平，22年以前公司内销比例低于30%，22年至今内销比例43%-45%-50%，而同期哈萨克斯坦矿税制企业的内销比例为58%。</w:t>
            </w:r>
          </w:p>
          <w:p w14:paraId="4DF8BA5C" w14:textId="77777777" w:rsidR="00DE39DE" w:rsidRPr="001F0A15" w:rsidRDefault="00DE39DE" w:rsidP="001F0A15">
            <w:pPr>
              <w:spacing w:line="360" w:lineRule="auto"/>
              <w:ind w:firstLine="480"/>
              <w:rPr>
                <w:rFonts w:ascii="宋体" w:hAnsi="宋体"/>
                <w:sz w:val="24"/>
              </w:rPr>
            </w:pPr>
            <w:r w:rsidRPr="001F0A15">
              <w:rPr>
                <w:rFonts w:ascii="宋体" w:hAnsi="宋体" w:hint="eastAsia"/>
                <w:sz w:val="24"/>
              </w:rPr>
              <w:t>哈萨克斯坦是世界上最大的内陆国，距离任何一个国际市场距离非常遥远，公司多年来秉承坚持经营安全至上、效益第一的理念，保持持</w:t>
            </w:r>
            <w:r w:rsidRPr="001F0A15">
              <w:rPr>
                <w:rFonts w:ascii="宋体" w:hAnsi="宋体" w:hint="eastAsia"/>
                <w:sz w:val="24"/>
              </w:rPr>
              <w:lastRenderedPageBreak/>
              <w:t>有与各个出口方向的销售合同，在出口渠道多元化的基础上，</w:t>
            </w:r>
            <w:proofErr w:type="gramStart"/>
            <w:r w:rsidRPr="001F0A15">
              <w:rPr>
                <w:rFonts w:ascii="宋体" w:hAnsi="宋体" w:hint="eastAsia"/>
                <w:sz w:val="24"/>
              </w:rPr>
              <w:t>建立净回价</w:t>
            </w:r>
            <w:proofErr w:type="gramEnd"/>
            <w:r w:rsidRPr="001F0A15">
              <w:rPr>
                <w:rFonts w:ascii="宋体" w:hAnsi="宋体" w:hint="eastAsia"/>
                <w:sz w:val="24"/>
              </w:rPr>
              <w:t>动态分析机制，时时更新各个方向的</w:t>
            </w:r>
            <w:proofErr w:type="gramStart"/>
            <w:r w:rsidRPr="001F0A15">
              <w:rPr>
                <w:rFonts w:ascii="宋体" w:hAnsi="宋体" w:hint="eastAsia"/>
                <w:sz w:val="24"/>
              </w:rPr>
              <w:t>净回价格</w:t>
            </w:r>
            <w:proofErr w:type="gramEnd"/>
            <w:r w:rsidRPr="001F0A15">
              <w:rPr>
                <w:rFonts w:ascii="宋体" w:hAnsi="宋体" w:hint="eastAsia"/>
                <w:sz w:val="24"/>
              </w:rPr>
              <w:t>变化，始终把握效益最好的资源配置方向。</w:t>
            </w:r>
          </w:p>
          <w:p w14:paraId="5A1230C4" w14:textId="77777777" w:rsidR="00DE39DE" w:rsidRPr="001F0A15" w:rsidRDefault="00DE39DE" w:rsidP="00C02EEE">
            <w:pPr>
              <w:pStyle w:val="aa"/>
              <w:numPr>
                <w:ilvl w:val="0"/>
                <w:numId w:val="1"/>
              </w:numPr>
            </w:pPr>
            <w:r w:rsidRPr="003904D8">
              <w:rPr>
                <w:rFonts w:hint="eastAsia"/>
              </w:rPr>
              <w:t>实现出口、内销资源最优配置，实现销售效益最大化。</w:t>
            </w:r>
            <w:r w:rsidRPr="001F0A15">
              <w:rPr>
                <w:rFonts w:hint="eastAsia"/>
              </w:rPr>
              <w:t> </w:t>
            </w:r>
          </w:p>
          <w:p w14:paraId="06E5A4C6" w14:textId="77777777" w:rsidR="00DE39DE" w:rsidRPr="001F0A15" w:rsidRDefault="00DE39DE" w:rsidP="001F0A15">
            <w:pPr>
              <w:pStyle w:val="paragraph"/>
              <w:widowControl w:val="0"/>
              <w:spacing w:before="0" w:beforeAutospacing="0" w:after="0" w:afterAutospacing="0" w:line="360" w:lineRule="auto"/>
              <w:ind w:firstLine="480"/>
              <w:jc w:val="both"/>
              <w:textAlignment w:val="baseline"/>
              <w:rPr>
                <w:rFonts w:cs="Times New Roman"/>
                <w:kern w:val="2"/>
              </w:rPr>
            </w:pPr>
            <w:r w:rsidRPr="001F0A15">
              <w:rPr>
                <w:rFonts w:cs="Times New Roman" w:hint="eastAsia"/>
                <w:kern w:val="2"/>
              </w:rPr>
              <w:t>哈萨克政府对矿税制油公司的销售实行严格的配额管理，受俄</w:t>
            </w:r>
            <w:proofErr w:type="gramStart"/>
            <w:r w:rsidRPr="001F0A15">
              <w:rPr>
                <w:rFonts w:cs="Times New Roman" w:hint="eastAsia"/>
                <w:kern w:val="2"/>
              </w:rPr>
              <w:t>乌战争</w:t>
            </w:r>
            <w:proofErr w:type="gramEnd"/>
            <w:r w:rsidRPr="001F0A15">
              <w:rPr>
                <w:rFonts w:cs="Times New Roman" w:hint="eastAsia"/>
                <w:kern w:val="2"/>
              </w:rPr>
              <w:t>影响，传统过境俄罗斯出口的ULAS与CPC存在巨大的销售价差（2023年全年两个</w:t>
            </w:r>
            <w:proofErr w:type="gramStart"/>
            <w:r w:rsidRPr="001F0A15">
              <w:rPr>
                <w:rFonts w:cs="Times New Roman" w:hint="eastAsia"/>
                <w:kern w:val="2"/>
              </w:rPr>
              <w:t>方向净回价</w:t>
            </w:r>
            <w:proofErr w:type="gramEnd"/>
            <w:r w:rsidRPr="001F0A15">
              <w:rPr>
                <w:rFonts w:cs="Times New Roman" w:hint="eastAsia"/>
                <w:kern w:val="2"/>
              </w:rPr>
              <w:t>价差达106.77美元/吨）。内销配置的三个炼厂在产品出率、加工费率、加工生产和油品发运的组织存在巨大差异，致使同一吨原油配置到不同炼厂，</w:t>
            </w:r>
            <w:proofErr w:type="gramStart"/>
            <w:r w:rsidRPr="001F0A15">
              <w:rPr>
                <w:rFonts w:cs="Times New Roman" w:hint="eastAsia"/>
                <w:kern w:val="2"/>
              </w:rPr>
              <w:t>净回价</w:t>
            </w:r>
            <w:proofErr w:type="gramEnd"/>
            <w:r w:rsidRPr="001F0A15">
              <w:rPr>
                <w:rFonts w:cs="Times New Roman" w:hint="eastAsia"/>
                <w:kern w:val="2"/>
              </w:rPr>
              <w:t>差距巨大（根据与里海石油公司1-9月份内销油价格的对比，我们</w:t>
            </w:r>
            <w:proofErr w:type="gramStart"/>
            <w:r w:rsidRPr="001F0A15">
              <w:rPr>
                <w:rFonts w:cs="Times New Roman" w:hint="eastAsia"/>
                <w:kern w:val="2"/>
              </w:rPr>
              <w:t>内销净回价</w:t>
            </w:r>
            <w:proofErr w:type="gramEnd"/>
            <w:r w:rsidRPr="001F0A15">
              <w:rPr>
                <w:rFonts w:cs="Times New Roman" w:hint="eastAsia"/>
                <w:kern w:val="2"/>
              </w:rPr>
              <w:t>比里海石油高84美元/吨。大致反映</w:t>
            </w:r>
            <w:proofErr w:type="gramStart"/>
            <w:r w:rsidRPr="001F0A15">
              <w:rPr>
                <w:rFonts w:cs="Times New Roman" w:hint="eastAsia"/>
                <w:kern w:val="2"/>
              </w:rPr>
              <w:t>配置巴炼</w:t>
            </w:r>
            <w:proofErr w:type="gramEnd"/>
            <w:r w:rsidRPr="001F0A15">
              <w:rPr>
                <w:rFonts w:cs="Times New Roman" w:hint="eastAsia"/>
                <w:kern w:val="2"/>
              </w:rPr>
              <w:t>/阿炼的效益差别）。 </w:t>
            </w:r>
          </w:p>
          <w:p w14:paraId="32EF040A" w14:textId="60BCC87D" w:rsidR="00DE39DE" w:rsidRPr="003904D8" w:rsidRDefault="00DE39DE" w:rsidP="00C02EEE">
            <w:pPr>
              <w:pStyle w:val="aa"/>
              <w:numPr>
                <w:ilvl w:val="0"/>
                <w:numId w:val="1"/>
              </w:numPr>
            </w:pPr>
            <w:r w:rsidRPr="003904D8">
              <w:rPr>
                <w:rFonts w:hint="eastAsia"/>
              </w:rPr>
              <w:t>开拓成品油销售业务，合理优化税负，获取销售业务链</w:t>
            </w:r>
            <w:proofErr w:type="gramStart"/>
            <w:r w:rsidRPr="003904D8">
              <w:rPr>
                <w:rFonts w:hint="eastAsia"/>
              </w:rPr>
              <w:t>延申</w:t>
            </w:r>
            <w:proofErr w:type="gramEnd"/>
            <w:r w:rsidRPr="003904D8">
              <w:rPr>
                <w:rFonts w:hint="eastAsia"/>
              </w:rPr>
              <w:t>的新价值。</w:t>
            </w:r>
          </w:p>
          <w:p w14:paraId="167AD1BF" w14:textId="77777777" w:rsidR="00DE39DE" w:rsidRPr="001F0A15" w:rsidRDefault="00DE39DE" w:rsidP="001F0A15">
            <w:pPr>
              <w:pStyle w:val="paragraph"/>
              <w:widowControl w:val="0"/>
              <w:spacing w:before="0" w:beforeAutospacing="0" w:after="0" w:afterAutospacing="0" w:line="360" w:lineRule="auto"/>
              <w:ind w:firstLine="480"/>
              <w:jc w:val="both"/>
              <w:textAlignment w:val="baseline"/>
              <w:rPr>
                <w:rFonts w:cs="Times New Roman"/>
                <w:kern w:val="2"/>
              </w:rPr>
            </w:pPr>
            <w:r w:rsidRPr="001F0A15">
              <w:rPr>
                <w:rFonts w:cs="Times New Roman" w:hint="eastAsia"/>
                <w:kern w:val="2"/>
              </w:rPr>
              <w:t>2022年12月30日哈国总统托卡耶夫签署了“关于修改和补充有关落实国家元首某些指示的相关法案”，根据该法律修订案要求，2023年1月起内销市场结构发生根本性变化，原油供应商（内销商）必须是与地下资源使用者（油公司）相关方。</w:t>
            </w:r>
          </w:p>
          <w:p w14:paraId="00CD4543" w14:textId="77777777" w:rsidR="00DE39DE" w:rsidRPr="001F0A15" w:rsidRDefault="00DE39DE" w:rsidP="001F0A15">
            <w:pPr>
              <w:pStyle w:val="paragraph"/>
              <w:widowControl w:val="0"/>
              <w:spacing w:before="0" w:beforeAutospacing="0" w:after="0" w:afterAutospacing="0" w:line="360" w:lineRule="auto"/>
              <w:ind w:firstLine="480"/>
              <w:jc w:val="both"/>
              <w:textAlignment w:val="baseline"/>
              <w:rPr>
                <w:rFonts w:cs="Times New Roman"/>
                <w:kern w:val="2"/>
              </w:rPr>
            </w:pPr>
            <w:r w:rsidRPr="001F0A15">
              <w:rPr>
                <w:rFonts w:cs="Times New Roman" w:hint="eastAsia"/>
                <w:kern w:val="2"/>
              </w:rPr>
              <w:t>成品</w:t>
            </w:r>
            <w:proofErr w:type="gramStart"/>
            <w:r w:rsidRPr="001F0A15">
              <w:rPr>
                <w:rFonts w:cs="Times New Roman" w:hint="eastAsia"/>
                <w:kern w:val="2"/>
              </w:rPr>
              <w:t>油业务</w:t>
            </w:r>
            <w:proofErr w:type="gramEnd"/>
            <w:r w:rsidRPr="001F0A15">
              <w:rPr>
                <w:rFonts w:cs="Times New Roman" w:hint="eastAsia"/>
                <w:kern w:val="2"/>
              </w:rPr>
              <w:t>实行一个团队两块牌子，保证成本最低。为最大化地规避风险和实现合理降低上游项目超额利润税，同时通过销售业务的</w:t>
            </w:r>
            <w:proofErr w:type="gramStart"/>
            <w:r w:rsidRPr="001F0A15">
              <w:rPr>
                <w:rFonts w:cs="Times New Roman" w:hint="eastAsia"/>
                <w:kern w:val="2"/>
              </w:rPr>
              <w:t>延申</w:t>
            </w:r>
            <w:proofErr w:type="gramEnd"/>
            <w:r w:rsidRPr="001F0A15">
              <w:rPr>
                <w:rFonts w:cs="Times New Roman" w:hint="eastAsia"/>
                <w:kern w:val="2"/>
              </w:rPr>
              <w:t>获取成品</w:t>
            </w:r>
            <w:proofErr w:type="gramStart"/>
            <w:r w:rsidRPr="001F0A15">
              <w:rPr>
                <w:rFonts w:cs="Times New Roman" w:hint="eastAsia"/>
                <w:kern w:val="2"/>
              </w:rPr>
              <w:t>油业务</w:t>
            </w:r>
            <w:proofErr w:type="gramEnd"/>
            <w:r w:rsidRPr="001F0A15">
              <w:rPr>
                <w:rFonts w:cs="Times New Roman" w:hint="eastAsia"/>
                <w:kern w:val="2"/>
              </w:rPr>
              <w:t>的价值链利润。年成品油公司的税后利润2500万美元以上。</w:t>
            </w:r>
          </w:p>
          <w:p w14:paraId="47CE57BD" w14:textId="7639D982" w:rsidR="00A412E9" w:rsidRPr="00C02EEE" w:rsidRDefault="009570EA" w:rsidP="00C02EEE">
            <w:pPr>
              <w:spacing w:line="360" w:lineRule="auto"/>
              <w:ind w:firstLineChars="200" w:firstLine="482"/>
              <w:rPr>
                <w:rFonts w:ascii="宋体" w:hAnsi="宋体"/>
                <w:b/>
                <w:bCs/>
                <w:sz w:val="24"/>
              </w:rPr>
            </w:pPr>
            <w:r>
              <w:rPr>
                <w:rFonts w:ascii="宋体" w:hAnsi="宋体" w:hint="eastAsia"/>
                <w:b/>
                <w:bCs/>
                <w:sz w:val="24"/>
              </w:rPr>
              <w:t>7</w:t>
            </w:r>
            <w:r w:rsidR="00A412E9" w:rsidRPr="00C02EEE">
              <w:rPr>
                <w:rFonts w:ascii="宋体" w:hAnsi="宋体" w:hint="eastAsia"/>
                <w:b/>
                <w:bCs/>
                <w:sz w:val="24"/>
              </w:rPr>
              <w:t>、苏克气田含有大量氦气，公司有分离氦气的技术和能力吗？公司有什么安排？什么时候可以产气？氦气产出后，资源国对外销售有限制吗? 国际上是如何定价的？</w:t>
            </w:r>
          </w:p>
          <w:p w14:paraId="2AC74DDD" w14:textId="08820630" w:rsidR="00DE39DE" w:rsidRPr="003904D8" w:rsidRDefault="00727AAC" w:rsidP="001F0A15">
            <w:pPr>
              <w:spacing w:line="360" w:lineRule="auto"/>
              <w:ind w:firstLineChars="200" w:firstLine="480"/>
              <w:rPr>
                <w:rFonts w:ascii="宋体" w:hAnsi="宋体"/>
                <w:sz w:val="24"/>
              </w:rPr>
            </w:pPr>
            <w:r>
              <w:rPr>
                <w:rFonts w:ascii="宋体" w:hAnsi="宋体" w:hint="eastAsia"/>
                <w:sz w:val="24"/>
              </w:rPr>
              <w:t>答：</w:t>
            </w:r>
            <w:r w:rsidR="00DE39DE" w:rsidRPr="003904D8">
              <w:rPr>
                <w:rFonts w:ascii="宋体" w:hAnsi="宋体" w:hint="eastAsia"/>
                <w:sz w:val="24"/>
              </w:rPr>
              <w:t>苏克公司将会与国内外特种气体行业的高水平公司合作，设计和建造天然气处理和氦气分离装置，争取同步与天然气进行开发。</w:t>
            </w:r>
          </w:p>
          <w:p w14:paraId="3B02CEF5" w14:textId="77777777" w:rsidR="00DE39DE" w:rsidRPr="003904D8" w:rsidRDefault="00DE39DE" w:rsidP="001F0A15">
            <w:pPr>
              <w:spacing w:line="360" w:lineRule="auto"/>
              <w:ind w:firstLineChars="200" w:firstLine="480"/>
              <w:rPr>
                <w:rFonts w:ascii="宋体" w:hAnsi="宋体"/>
                <w:sz w:val="24"/>
              </w:rPr>
            </w:pPr>
            <w:r w:rsidRPr="003904D8">
              <w:rPr>
                <w:rFonts w:ascii="宋体" w:hAnsi="宋体" w:hint="eastAsia"/>
                <w:sz w:val="24"/>
              </w:rPr>
              <w:t>但氦气可能被列为战略资源，出口某些战略资源时，需要获得政府授权或特定的许可证。</w:t>
            </w:r>
          </w:p>
          <w:p w14:paraId="306746EF" w14:textId="77777777" w:rsidR="00C708AE" w:rsidRDefault="00DE39DE" w:rsidP="009570EA">
            <w:pPr>
              <w:spacing w:line="360" w:lineRule="auto"/>
              <w:ind w:firstLineChars="200" w:firstLine="480"/>
              <w:rPr>
                <w:rFonts w:ascii="宋体" w:hAnsi="宋体"/>
                <w:sz w:val="24"/>
              </w:rPr>
            </w:pPr>
            <w:r w:rsidRPr="003904D8">
              <w:rPr>
                <w:rFonts w:ascii="宋体" w:hAnsi="宋体" w:hint="eastAsia"/>
                <w:sz w:val="24"/>
              </w:rPr>
              <w:t>由于其稀缺性和广泛应用，其价格机制相对特殊，氦气的国际市场</w:t>
            </w:r>
            <w:r w:rsidRPr="003904D8">
              <w:rPr>
                <w:rFonts w:ascii="宋体" w:hAnsi="宋体" w:hint="eastAsia"/>
                <w:sz w:val="24"/>
              </w:rPr>
              <w:lastRenderedPageBreak/>
              <w:t>定价受到多种因素的影响。2021中国高纯氦气（40L，13MPa-14MPa）价格保持在700-1000元/瓶。2022高纯氦气价格维持在2000元/瓶的高位。2023年高纯氦气1000元/瓶左右。</w:t>
            </w:r>
          </w:p>
          <w:p w14:paraId="6FA5D75F" w14:textId="2F32DF2A" w:rsidR="00C27A12" w:rsidRPr="001F0A15" w:rsidRDefault="00C27A12" w:rsidP="009570EA">
            <w:pPr>
              <w:spacing w:line="360" w:lineRule="auto"/>
              <w:ind w:firstLineChars="200" w:firstLine="480"/>
              <w:rPr>
                <w:rFonts w:ascii="宋体" w:hAnsi="宋体" w:hint="eastAsia"/>
                <w:sz w:val="24"/>
              </w:rPr>
            </w:pPr>
            <w:r w:rsidRPr="00C27A12">
              <w:rPr>
                <w:rFonts w:ascii="宋体" w:hAnsi="宋体" w:hint="eastAsia"/>
                <w:sz w:val="24"/>
              </w:rPr>
              <w:t>氦气价格受多种因素的影响，所以也会产生周期性波动，具有不确定性。</w:t>
            </w:r>
          </w:p>
        </w:tc>
      </w:tr>
      <w:tr w:rsidR="006223DF" w:rsidRPr="003904D8" w14:paraId="7611DC2D" w14:textId="77777777" w:rsidTr="003904D8">
        <w:trPr>
          <w:trHeight w:val="211"/>
        </w:trPr>
        <w:tc>
          <w:tcPr>
            <w:tcW w:w="704" w:type="dxa"/>
            <w:vAlign w:val="center"/>
          </w:tcPr>
          <w:p w14:paraId="0158D40F" w14:textId="77777777" w:rsidR="006223DF" w:rsidRPr="003904D8" w:rsidRDefault="00000000">
            <w:pPr>
              <w:rPr>
                <w:rFonts w:ascii="宋体" w:hAnsi="宋体"/>
                <w:b/>
                <w:bCs/>
                <w:iCs/>
                <w:color w:val="000000"/>
                <w:kern w:val="0"/>
                <w:sz w:val="24"/>
              </w:rPr>
            </w:pPr>
            <w:r w:rsidRPr="003904D8">
              <w:rPr>
                <w:rFonts w:ascii="宋体" w:hAnsi="宋体" w:hint="eastAsia"/>
                <w:b/>
                <w:bCs/>
                <w:iCs/>
                <w:color w:val="000000"/>
                <w:kern w:val="0"/>
                <w:sz w:val="24"/>
              </w:rPr>
              <w:lastRenderedPageBreak/>
              <w:t>附件清单</w:t>
            </w:r>
          </w:p>
        </w:tc>
        <w:tc>
          <w:tcPr>
            <w:tcW w:w="7592" w:type="dxa"/>
            <w:vAlign w:val="center"/>
          </w:tcPr>
          <w:p w14:paraId="47CBF20E" w14:textId="77777777" w:rsidR="006223DF" w:rsidRPr="003904D8" w:rsidRDefault="00000000">
            <w:pPr>
              <w:rPr>
                <w:rFonts w:ascii="宋体" w:hAnsi="宋体"/>
                <w:bCs/>
                <w:iCs/>
                <w:color w:val="000000"/>
                <w:kern w:val="0"/>
                <w:sz w:val="24"/>
              </w:rPr>
            </w:pPr>
            <w:r w:rsidRPr="003904D8">
              <w:rPr>
                <w:rFonts w:ascii="宋体" w:hAnsi="宋体"/>
                <w:bCs/>
                <w:iCs/>
                <w:color w:val="000000"/>
                <w:kern w:val="0"/>
                <w:sz w:val="24"/>
              </w:rPr>
              <w:t>无</w:t>
            </w:r>
          </w:p>
        </w:tc>
      </w:tr>
      <w:tr w:rsidR="006223DF" w:rsidRPr="003904D8" w14:paraId="1393BB59" w14:textId="77777777" w:rsidTr="003904D8">
        <w:trPr>
          <w:trHeight w:val="211"/>
        </w:trPr>
        <w:tc>
          <w:tcPr>
            <w:tcW w:w="704" w:type="dxa"/>
            <w:vAlign w:val="center"/>
          </w:tcPr>
          <w:p w14:paraId="26388E87" w14:textId="77777777" w:rsidR="006223DF" w:rsidRPr="003904D8" w:rsidRDefault="00000000">
            <w:pPr>
              <w:rPr>
                <w:rFonts w:ascii="宋体" w:hAnsi="宋体"/>
                <w:b/>
                <w:bCs/>
                <w:iCs/>
                <w:color w:val="000000"/>
                <w:kern w:val="0"/>
                <w:sz w:val="24"/>
              </w:rPr>
            </w:pPr>
            <w:r w:rsidRPr="003904D8">
              <w:rPr>
                <w:rFonts w:ascii="宋体" w:hAnsi="宋体" w:hint="eastAsia"/>
                <w:b/>
                <w:bCs/>
                <w:iCs/>
                <w:color w:val="000000"/>
                <w:kern w:val="0"/>
                <w:sz w:val="24"/>
              </w:rPr>
              <w:t>日期</w:t>
            </w:r>
          </w:p>
        </w:tc>
        <w:tc>
          <w:tcPr>
            <w:tcW w:w="7592" w:type="dxa"/>
            <w:vAlign w:val="center"/>
          </w:tcPr>
          <w:p w14:paraId="62C0A556" w14:textId="2B7D71A2" w:rsidR="006223DF" w:rsidRPr="003904D8" w:rsidRDefault="00000000">
            <w:pPr>
              <w:rPr>
                <w:rFonts w:ascii="宋体" w:hAnsi="宋体"/>
                <w:bCs/>
                <w:iCs/>
                <w:color w:val="000000"/>
                <w:kern w:val="0"/>
                <w:sz w:val="24"/>
              </w:rPr>
            </w:pPr>
            <w:r w:rsidRPr="003904D8">
              <w:rPr>
                <w:rFonts w:ascii="宋体" w:hAnsi="宋体" w:hint="eastAsia"/>
                <w:bCs/>
                <w:iCs/>
                <w:color w:val="000000"/>
                <w:kern w:val="0"/>
                <w:sz w:val="24"/>
              </w:rPr>
              <w:t>2</w:t>
            </w:r>
            <w:r w:rsidRPr="003904D8">
              <w:rPr>
                <w:rFonts w:ascii="宋体" w:hAnsi="宋体"/>
                <w:bCs/>
                <w:iCs/>
                <w:color w:val="000000"/>
                <w:kern w:val="0"/>
                <w:sz w:val="24"/>
              </w:rPr>
              <w:t>024</w:t>
            </w:r>
            <w:r w:rsidRPr="003904D8">
              <w:rPr>
                <w:rFonts w:ascii="宋体" w:hAnsi="宋体" w:hint="eastAsia"/>
                <w:bCs/>
                <w:iCs/>
                <w:color w:val="000000"/>
                <w:kern w:val="0"/>
                <w:sz w:val="24"/>
              </w:rPr>
              <w:t>年</w:t>
            </w:r>
            <w:r w:rsidR="00C71E46" w:rsidRPr="003904D8">
              <w:rPr>
                <w:rFonts w:ascii="宋体" w:hAnsi="宋体" w:hint="eastAsia"/>
                <w:bCs/>
                <w:iCs/>
                <w:color w:val="000000"/>
                <w:kern w:val="0"/>
                <w:sz w:val="24"/>
              </w:rPr>
              <w:t>11</w:t>
            </w:r>
            <w:r w:rsidRPr="003904D8">
              <w:rPr>
                <w:rFonts w:ascii="宋体" w:hAnsi="宋体" w:hint="eastAsia"/>
                <w:bCs/>
                <w:iCs/>
                <w:color w:val="000000"/>
                <w:kern w:val="0"/>
                <w:sz w:val="24"/>
              </w:rPr>
              <w:t>月</w:t>
            </w:r>
            <w:r w:rsidR="0022306A" w:rsidRPr="003904D8">
              <w:rPr>
                <w:rFonts w:ascii="宋体" w:hAnsi="宋体" w:hint="eastAsia"/>
                <w:bCs/>
                <w:iCs/>
                <w:color w:val="000000"/>
                <w:kern w:val="0"/>
                <w:sz w:val="24"/>
              </w:rPr>
              <w:t>20</w:t>
            </w:r>
            <w:r w:rsidR="007B0E46" w:rsidRPr="003904D8">
              <w:rPr>
                <w:rFonts w:ascii="宋体" w:hAnsi="宋体"/>
                <w:bCs/>
                <w:iCs/>
                <w:color w:val="000000"/>
                <w:kern w:val="0"/>
                <w:sz w:val="24"/>
              </w:rPr>
              <w:t>日</w:t>
            </w:r>
          </w:p>
        </w:tc>
      </w:tr>
      <w:tr w:rsidR="006223DF" w:rsidRPr="003904D8" w14:paraId="57227DE6" w14:textId="77777777" w:rsidTr="003904D8">
        <w:trPr>
          <w:trHeight w:val="211"/>
        </w:trPr>
        <w:tc>
          <w:tcPr>
            <w:tcW w:w="704" w:type="dxa"/>
            <w:vAlign w:val="center"/>
          </w:tcPr>
          <w:p w14:paraId="2586F669" w14:textId="77777777" w:rsidR="006223DF" w:rsidRPr="003904D8" w:rsidRDefault="00000000">
            <w:pPr>
              <w:rPr>
                <w:rFonts w:ascii="宋体" w:hAnsi="宋体"/>
                <w:b/>
                <w:bCs/>
                <w:iCs/>
                <w:color w:val="000000"/>
                <w:kern w:val="0"/>
                <w:sz w:val="24"/>
              </w:rPr>
            </w:pPr>
            <w:r w:rsidRPr="003904D8">
              <w:rPr>
                <w:rFonts w:ascii="宋体" w:hAnsi="宋体"/>
                <w:sz w:val="24"/>
              </w:rPr>
              <w:br w:type="page"/>
            </w:r>
            <w:r w:rsidRPr="003904D8">
              <w:rPr>
                <w:rFonts w:ascii="宋体" w:hAnsi="宋体"/>
                <w:sz w:val="24"/>
              </w:rPr>
              <w:br w:type="page"/>
            </w:r>
            <w:r w:rsidRPr="003904D8">
              <w:rPr>
                <w:rFonts w:ascii="宋体" w:hAnsi="宋体" w:hint="eastAsia"/>
                <w:b/>
                <w:bCs/>
                <w:iCs/>
                <w:color w:val="000000"/>
                <w:kern w:val="0"/>
                <w:sz w:val="24"/>
              </w:rPr>
              <w:t>备注</w:t>
            </w:r>
          </w:p>
        </w:tc>
        <w:tc>
          <w:tcPr>
            <w:tcW w:w="7592" w:type="dxa"/>
            <w:vAlign w:val="center"/>
          </w:tcPr>
          <w:p w14:paraId="45A7F302" w14:textId="77777777" w:rsidR="006223DF" w:rsidRPr="003904D8" w:rsidRDefault="00000000">
            <w:pPr>
              <w:rPr>
                <w:rFonts w:ascii="宋体" w:hAnsi="宋体"/>
                <w:bCs/>
                <w:iCs/>
                <w:color w:val="000000"/>
                <w:kern w:val="0"/>
                <w:sz w:val="24"/>
              </w:rPr>
            </w:pPr>
            <w:r w:rsidRPr="003904D8">
              <w:rPr>
                <w:rFonts w:ascii="宋体" w:hAnsi="宋体" w:hint="eastAsia"/>
                <w:bCs/>
                <w:iCs/>
                <w:color w:val="000000"/>
                <w:kern w:val="0"/>
                <w:sz w:val="24"/>
              </w:rPr>
              <w:t>公司与投资者进行了充分的沟通交流，并严格按照有关制度规定，保证信息披露的真实、准确、完整、及时、公平，没有出现未公开重大信息泄露等情况。</w:t>
            </w:r>
          </w:p>
        </w:tc>
      </w:tr>
    </w:tbl>
    <w:p w14:paraId="6144C927" w14:textId="77777777" w:rsidR="006223DF" w:rsidRDefault="006223DF" w:rsidP="00C708AE">
      <w:pPr>
        <w:tabs>
          <w:tab w:val="left" w:pos="3420"/>
        </w:tabs>
      </w:pPr>
    </w:p>
    <w:sectPr w:rsidR="0062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6D5B" w14:textId="77777777" w:rsidR="00B61A27" w:rsidRDefault="00B61A27" w:rsidP="00AF10EF">
      <w:r>
        <w:separator/>
      </w:r>
    </w:p>
  </w:endnote>
  <w:endnote w:type="continuationSeparator" w:id="0">
    <w:p w14:paraId="664E8ADF" w14:textId="77777777" w:rsidR="00B61A27" w:rsidRDefault="00B61A27" w:rsidP="00AF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3FC3" w14:textId="77777777" w:rsidR="00B61A27" w:rsidRDefault="00B61A27" w:rsidP="00AF10EF">
      <w:r>
        <w:separator/>
      </w:r>
    </w:p>
  </w:footnote>
  <w:footnote w:type="continuationSeparator" w:id="0">
    <w:p w14:paraId="5E59616A" w14:textId="77777777" w:rsidR="00B61A27" w:rsidRDefault="00B61A27" w:rsidP="00AF1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405B8"/>
    <w:multiLevelType w:val="multilevel"/>
    <w:tmpl w:val="35F405B8"/>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10017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kN2U0NTE2ZWZjNGNkOGYwMTY5ODIwZjEyYjUxNGMifQ=="/>
  </w:docVars>
  <w:rsids>
    <w:rsidRoot w:val="00C92B34"/>
    <w:rsid w:val="00001093"/>
    <w:rsid w:val="00002451"/>
    <w:rsid w:val="00003533"/>
    <w:rsid w:val="00005693"/>
    <w:rsid w:val="000061EB"/>
    <w:rsid w:val="00007CAC"/>
    <w:rsid w:val="00013510"/>
    <w:rsid w:val="0001465E"/>
    <w:rsid w:val="000150BC"/>
    <w:rsid w:val="000155D2"/>
    <w:rsid w:val="00015FDA"/>
    <w:rsid w:val="00017ACC"/>
    <w:rsid w:val="00017CDA"/>
    <w:rsid w:val="0002106F"/>
    <w:rsid w:val="00021C82"/>
    <w:rsid w:val="000229FE"/>
    <w:rsid w:val="00022FBB"/>
    <w:rsid w:val="000239A3"/>
    <w:rsid w:val="00023FD1"/>
    <w:rsid w:val="00024172"/>
    <w:rsid w:val="000256BA"/>
    <w:rsid w:val="00030163"/>
    <w:rsid w:val="00030F29"/>
    <w:rsid w:val="000339C2"/>
    <w:rsid w:val="00033B6E"/>
    <w:rsid w:val="00035AAB"/>
    <w:rsid w:val="00036C9E"/>
    <w:rsid w:val="00036D2B"/>
    <w:rsid w:val="00041FA1"/>
    <w:rsid w:val="00043447"/>
    <w:rsid w:val="00047A17"/>
    <w:rsid w:val="00051935"/>
    <w:rsid w:val="0005221F"/>
    <w:rsid w:val="0006288D"/>
    <w:rsid w:val="000635E5"/>
    <w:rsid w:val="00063F37"/>
    <w:rsid w:val="000665BF"/>
    <w:rsid w:val="0006688A"/>
    <w:rsid w:val="00067997"/>
    <w:rsid w:val="000728C1"/>
    <w:rsid w:val="0007292B"/>
    <w:rsid w:val="0007303B"/>
    <w:rsid w:val="0007367D"/>
    <w:rsid w:val="00073BA5"/>
    <w:rsid w:val="0007512A"/>
    <w:rsid w:val="0007616B"/>
    <w:rsid w:val="00077B96"/>
    <w:rsid w:val="000806DD"/>
    <w:rsid w:val="00080D15"/>
    <w:rsid w:val="00083227"/>
    <w:rsid w:val="00083672"/>
    <w:rsid w:val="0008494F"/>
    <w:rsid w:val="00084B1B"/>
    <w:rsid w:val="00084E46"/>
    <w:rsid w:val="000850C7"/>
    <w:rsid w:val="00086656"/>
    <w:rsid w:val="00086FDE"/>
    <w:rsid w:val="000873EB"/>
    <w:rsid w:val="00090447"/>
    <w:rsid w:val="00090C17"/>
    <w:rsid w:val="00091181"/>
    <w:rsid w:val="00092AE1"/>
    <w:rsid w:val="000967BA"/>
    <w:rsid w:val="000A032B"/>
    <w:rsid w:val="000A0CD4"/>
    <w:rsid w:val="000A2FE1"/>
    <w:rsid w:val="000A3FA9"/>
    <w:rsid w:val="000A4EA2"/>
    <w:rsid w:val="000A68B6"/>
    <w:rsid w:val="000A746A"/>
    <w:rsid w:val="000A7547"/>
    <w:rsid w:val="000A7EEB"/>
    <w:rsid w:val="000B17D3"/>
    <w:rsid w:val="000B185E"/>
    <w:rsid w:val="000B19D8"/>
    <w:rsid w:val="000B1C04"/>
    <w:rsid w:val="000B2D73"/>
    <w:rsid w:val="000B34C6"/>
    <w:rsid w:val="000B4993"/>
    <w:rsid w:val="000B5489"/>
    <w:rsid w:val="000B651A"/>
    <w:rsid w:val="000B6C50"/>
    <w:rsid w:val="000C03A3"/>
    <w:rsid w:val="000C14ED"/>
    <w:rsid w:val="000C16D1"/>
    <w:rsid w:val="000C16D8"/>
    <w:rsid w:val="000C5BEF"/>
    <w:rsid w:val="000C73FD"/>
    <w:rsid w:val="000C77BA"/>
    <w:rsid w:val="000C77DA"/>
    <w:rsid w:val="000C7A45"/>
    <w:rsid w:val="000D1972"/>
    <w:rsid w:val="000D3964"/>
    <w:rsid w:val="000D7DE0"/>
    <w:rsid w:val="000E37AA"/>
    <w:rsid w:val="000E4E2C"/>
    <w:rsid w:val="000E75A5"/>
    <w:rsid w:val="000F1548"/>
    <w:rsid w:val="000F28DE"/>
    <w:rsid w:val="000F31AE"/>
    <w:rsid w:val="000F3F08"/>
    <w:rsid w:val="000F528D"/>
    <w:rsid w:val="000F7C9B"/>
    <w:rsid w:val="00101C11"/>
    <w:rsid w:val="001047EE"/>
    <w:rsid w:val="001065A7"/>
    <w:rsid w:val="00106B00"/>
    <w:rsid w:val="00107943"/>
    <w:rsid w:val="00111FEF"/>
    <w:rsid w:val="00112126"/>
    <w:rsid w:val="00114DCB"/>
    <w:rsid w:val="0011607C"/>
    <w:rsid w:val="0011694C"/>
    <w:rsid w:val="0011772A"/>
    <w:rsid w:val="00117FF8"/>
    <w:rsid w:val="00120CE7"/>
    <w:rsid w:val="00120FC0"/>
    <w:rsid w:val="00121E17"/>
    <w:rsid w:val="00121F8A"/>
    <w:rsid w:val="001242E7"/>
    <w:rsid w:val="0012462D"/>
    <w:rsid w:val="00124D26"/>
    <w:rsid w:val="00126664"/>
    <w:rsid w:val="00131029"/>
    <w:rsid w:val="001340BF"/>
    <w:rsid w:val="00134C73"/>
    <w:rsid w:val="00143BBD"/>
    <w:rsid w:val="00144511"/>
    <w:rsid w:val="0015029C"/>
    <w:rsid w:val="001505F0"/>
    <w:rsid w:val="001520AF"/>
    <w:rsid w:val="00154DE5"/>
    <w:rsid w:val="0015502E"/>
    <w:rsid w:val="001562CF"/>
    <w:rsid w:val="00156818"/>
    <w:rsid w:val="001645D0"/>
    <w:rsid w:val="001711DA"/>
    <w:rsid w:val="00173F90"/>
    <w:rsid w:val="00174F30"/>
    <w:rsid w:val="00182AF9"/>
    <w:rsid w:val="00184261"/>
    <w:rsid w:val="001911D2"/>
    <w:rsid w:val="00191B63"/>
    <w:rsid w:val="00192B34"/>
    <w:rsid w:val="00192BAD"/>
    <w:rsid w:val="00194CC2"/>
    <w:rsid w:val="00195235"/>
    <w:rsid w:val="001A17DA"/>
    <w:rsid w:val="001A1F5B"/>
    <w:rsid w:val="001A279B"/>
    <w:rsid w:val="001A36A5"/>
    <w:rsid w:val="001A3938"/>
    <w:rsid w:val="001A4AB5"/>
    <w:rsid w:val="001A6313"/>
    <w:rsid w:val="001A6489"/>
    <w:rsid w:val="001B187D"/>
    <w:rsid w:val="001B4B14"/>
    <w:rsid w:val="001B7658"/>
    <w:rsid w:val="001C1748"/>
    <w:rsid w:val="001C190F"/>
    <w:rsid w:val="001C1B80"/>
    <w:rsid w:val="001C33CB"/>
    <w:rsid w:val="001C5C1E"/>
    <w:rsid w:val="001C6E0E"/>
    <w:rsid w:val="001D191C"/>
    <w:rsid w:val="001E0DD9"/>
    <w:rsid w:val="001E1EFA"/>
    <w:rsid w:val="001E1FD4"/>
    <w:rsid w:val="001E4A15"/>
    <w:rsid w:val="001E4C23"/>
    <w:rsid w:val="001E6120"/>
    <w:rsid w:val="001E7A8F"/>
    <w:rsid w:val="001E7C85"/>
    <w:rsid w:val="001F0260"/>
    <w:rsid w:val="001F0A15"/>
    <w:rsid w:val="001F108C"/>
    <w:rsid w:val="001F26EB"/>
    <w:rsid w:val="001F2B9B"/>
    <w:rsid w:val="001F3226"/>
    <w:rsid w:val="001F4361"/>
    <w:rsid w:val="00200925"/>
    <w:rsid w:val="00202804"/>
    <w:rsid w:val="002029C6"/>
    <w:rsid w:val="002036A6"/>
    <w:rsid w:val="00204704"/>
    <w:rsid w:val="002048D1"/>
    <w:rsid w:val="00205246"/>
    <w:rsid w:val="002139D2"/>
    <w:rsid w:val="00217A22"/>
    <w:rsid w:val="0022096A"/>
    <w:rsid w:val="002224C9"/>
    <w:rsid w:val="00222E7F"/>
    <w:rsid w:val="0022306A"/>
    <w:rsid w:val="00224D05"/>
    <w:rsid w:val="0022646D"/>
    <w:rsid w:val="00227123"/>
    <w:rsid w:val="00227E77"/>
    <w:rsid w:val="00230DAA"/>
    <w:rsid w:val="002319E1"/>
    <w:rsid w:val="00231CED"/>
    <w:rsid w:val="002324D9"/>
    <w:rsid w:val="00233547"/>
    <w:rsid w:val="00234D19"/>
    <w:rsid w:val="002350B7"/>
    <w:rsid w:val="00235F13"/>
    <w:rsid w:val="002375A4"/>
    <w:rsid w:val="00241084"/>
    <w:rsid w:val="00243A49"/>
    <w:rsid w:val="0024666D"/>
    <w:rsid w:val="002468E9"/>
    <w:rsid w:val="002478D4"/>
    <w:rsid w:val="002506B0"/>
    <w:rsid w:val="002538C6"/>
    <w:rsid w:val="00253FF4"/>
    <w:rsid w:val="00255F73"/>
    <w:rsid w:val="00260B06"/>
    <w:rsid w:val="002615E8"/>
    <w:rsid w:val="00262E2B"/>
    <w:rsid w:val="00262E7D"/>
    <w:rsid w:val="00263432"/>
    <w:rsid w:val="00263ABC"/>
    <w:rsid w:val="00266C87"/>
    <w:rsid w:val="002713C8"/>
    <w:rsid w:val="00272A96"/>
    <w:rsid w:val="0027313A"/>
    <w:rsid w:val="00273C10"/>
    <w:rsid w:val="00274578"/>
    <w:rsid w:val="00281885"/>
    <w:rsid w:val="002837FE"/>
    <w:rsid w:val="002840DE"/>
    <w:rsid w:val="00284CEB"/>
    <w:rsid w:val="002858C3"/>
    <w:rsid w:val="00286AC6"/>
    <w:rsid w:val="002911C3"/>
    <w:rsid w:val="002913D0"/>
    <w:rsid w:val="00292AD8"/>
    <w:rsid w:val="002934E8"/>
    <w:rsid w:val="002942FF"/>
    <w:rsid w:val="0029573C"/>
    <w:rsid w:val="0029768A"/>
    <w:rsid w:val="002A0433"/>
    <w:rsid w:val="002A379B"/>
    <w:rsid w:val="002A4308"/>
    <w:rsid w:val="002B2795"/>
    <w:rsid w:val="002B3591"/>
    <w:rsid w:val="002B541B"/>
    <w:rsid w:val="002B7210"/>
    <w:rsid w:val="002C2942"/>
    <w:rsid w:val="002C2F0F"/>
    <w:rsid w:val="002C330C"/>
    <w:rsid w:val="002C402F"/>
    <w:rsid w:val="002C5893"/>
    <w:rsid w:val="002C5AAC"/>
    <w:rsid w:val="002D2146"/>
    <w:rsid w:val="002D49C5"/>
    <w:rsid w:val="002D6AF2"/>
    <w:rsid w:val="002D73CF"/>
    <w:rsid w:val="002D77BE"/>
    <w:rsid w:val="002E00FD"/>
    <w:rsid w:val="002E08E2"/>
    <w:rsid w:val="002E5B77"/>
    <w:rsid w:val="002E6B25"/>
    <w:rsid w:val="002E705F"/>
    <w:rsid w:val="002E7ED6"/>
    <w:rsid w:val="002F06A5"/>
    <w:rsid w:val="002F0A4A"/>
    <w:rsid w:val="002F0C1A"/>
    <w:rsid w:val="002F3E52"/>
    <w:rsid w:val="002F3F02"/>
    <w:rsid w:val="002F478D"/>
    <w:rsid w:val="00303B90"/>
    <w:rsid w:val="00305D01"/>
    <w:rsid w:val="00312D13"/>
    <w:rsid w:val="0031635F"/>
    <w:rsid w:val="00321762"/>
    <w:rsid w:val="0032187A"/>
    <w:rsid w:val="00327F34"/>
    <w:rsid w:val="00330834"/>
    <w:rsid w:val="003331CF"/>
    <w:rsid w:val="00333B11"/>
    <w:rsid w:val="00334DB3"/>
    <w:rsid w:val="00335C13"/>
    <w:rsid w:val="00335E40"/>
    <w:rsid w:val="00337466"/>
    <w:rsid w:val="00337D6D"/>
    <w:rsid w:val="003407D2"/>
    <w:rsid w:val="0034080F"/>
    <w:rsid w:val="00341982"/>
    <w:rsid w:val="00343EA9"/>
    <w:rsid w:val="00345620"/>
    <w:rsid w:val="00345DDE"/>
    <w:rsid w:val="00350E8B"/>
    <w:rsid w:val="00352A23"/>
    <w:rsid w:val="0035401C"/>
    <w:rsid w:val="00354946"/>
    <w:rsid w:val="00360F5A"/>
    <w:rsid w:val="003610D0"/>
    <w:rsid w:val="00365681"/>
    <w:rsid w:val="00365863"/>
    <w:rsid w:val="0036675D"/>
    <w:rsid w:val="003678CC"/>
    <w:rsid w:val="003706A1"/>
    <w:rsid w:val="00370984"/>
    <w:rsid w:val="00371E89"/>
    <w:rsid w:val="003727CF"/>
    <w:rsid w:val="00382D12"/>
    <w:rsid w:val="0038360C"/>
    <w:rsid w:val="00385CF5"/>
    <w:rsid w:val="00386B96"/>
    <w:rsid w:val="0038794C"/>
    <w:rsid w:val="003904D8"/>
    <w:rsid w:val="00390B0F"/>
    <w:rsid w:val="003940E2"/>
    <w:rsid w:val="003949F9"/>
    <w:rsid w:val="00394CCB"/>
    <w:rsid w:val="003A08A6"/>
    <w:rsid w:val="003A23A0"/>
    <w:rsid w:val="003A4255"/>
    <w:rsid w:val="003A7E27"/>
    <w:rsid w:val="003B7A04"/>
    <w:rsid w:val="003C0B17"/>
    <w:rsid w:val="003C0C8D"/>
    <w:rsid w:val="003C3C01"/>
    <w:rsid w:val="003C5D64"/>
    <w:rsid w:val="003C793A"/>
    <w:rsid w:val="003C7DA2"/>
    <w:rsid w:val="003D1522"/>
    <w:rsid w:val="003D154B"/>
    <w:rsid w:val="003D1785"/>
    <w:rsid w:val="003D1F89"/>
    <w:rsid w:val="003D28D5"/>
    <w:rsid w:val="003D3CDD"/>
    <w:rsid w:val="003D42F9"/>
    <w:rsid w:val="003D44B8"/>
    <w:rsid w:val="003D4909"/>
    <w:rsid w:val="003D668B"/>
    <w:rsid w:val="003E37CA"/>
    <w:rsid w:val="003E6EB4"/>
    <w:rsid w:val="003E7A4C"/>
    <w:rsid w:val="003E7BC3"/>
    <w:rsid w:val="003F41EA"/>
    <w:rsid w:val="003F589D"/>
    <w:rsid w:val="003F5F95"/>
    <w:rsid w:val="00401F8F"/>
    <w:rsid w:val="00402513"/>
    <w:rsid w:val="004027D4"/>
    <w:rsid w:val="00402BB9"/>
    <w:rsid w:val="004051C9"/>
    <w:rsid w:val="0040565D"/>
    <w:rsid w:val="0040639B"/>
    <w:rsid w:val="00407F6C"/>
    <w:rsid w:val="004137A0"/>
    <w:rsid w:val="00416D5B"/>
    <w:rsid w:val="004179DB"/>
    <w:rsid w:val="00417CF3"/>
    <w:rsid w:val="004203BA"/>
    <w:rsid w:val="00421A3D"/>
    <w:rsid w:val="00421C6A"/>
    <w:rsid w:val="004246C2"/>
    <w:rsid w:val="00424B8C"/>
    <w:rsid w:val="0042509A"/>
    <w:rsid w:val="00425892"/>
    <w:rsid w:val="004270A7"/>
    <w:rsid w:val="00427E0E"/>
    <w:rsid w:val="00427E7F"/>
    <w:rsid w:val="0043114B"/>
    <w:rsid w:val="004311B6"/>
    <w:rsid w:val="0043270A"/>
    <w:rsid w:val="00432A65"/>
    <w:rsid w:val="004343B1"/>
    <w:rsid w:val="00434958"/>
    <w:rsid w:val="00434A82"/>
    <w:rsid w:val="004362C1"/>
    <w:rsid w:val="00437E97"/>
    <w:rsid w:val="00437EC1"/>
    <w:rsid w:val="004401C3"/>
    <w:rsid w:val="00440993"/>
    <w:rsid w:val="004411B3"/>
    <w:rsid w:val="00442496"/>
    <w:rsid w:val="004435A1"/>
    <w:rsid w:val="00444D03"/>
    <w:rsid w:val="004467CB"/>
    <w:rsid w:val="00452CBC"/>
    <w:rsid w:val="004532E8"/>
    <w:rsid w:val="004534E0"/>
    <w:rsid w:val="004548AF"/>
    <w:rsid w:val="00454E65"/>
    <w:rsid w:val="00454ED8"/>
    <w:rsid w:val="004560B3"/>
    <w:rsid w:val="00456776"/>
    <w:rsid w:val="00456DEE"/>
    <w:rsid w:val="00460A37"/>
    <w:rsid w:val="00461184"/>
    <w:rsid w:val="00465854"/>
    <w:rsid w:val="00474174"/>
    <w:rsid w:val="004751DD"/>
    <w:rsid w:val="00477010"/>
    <w:rsid w:val="0047736A"/>
    <w:rsid w:val="0047788F"/>
    <w:rsid w:val="004819F5"/>
    <w:rsid w:val="00483165"/>
    <w:rsid w:val="004834E7"/>
    <w:rsid w:val="004863EC"/>
    <w:rsid w:val="00490395"/>
    <w:rsid w:val="004918EA"/>
    <w:rsid w:val="00491F17"/>
    <w:rsid w:val="0049366B"/>
    <w:rsid w:val="00494956"/>
    <w:rsid w:val="00495593"/>
    <w:rsid w:val="0049727C"/>
    <w:rsid w:val="004A1FAA"/>
    <w:rsid w:val="004A2B1D"/>
    <w:rsid w:val="004A4197"/>
    <w:rsid w:val="004A4E00"/>
    <w:rsid w:val="004B2F3F"/>
    <w:rsid w:val="004B352D"/>
    <w:rsid w:val="004B4E07"/>
    <w:rsid w:val="004B50C6"/>
    <w:rsid w:val="004B738C"/>
    <w:rsid w:val="004C0DC9"/>
    <w:rsid w:val="004C0F99"/>
    <w:rsid w:val="004C2796"/>
    <w:rsid w:val="004C2FE7"/>
    <w:rsid w:val="004C6B67"/>
    <w:rsid w:val="004C74DE"/>
    <w:rsid w:val="004D1C0E"/>
    <w:rsid w:val="004D1D5C"/>
    <w:rsid w:val="004D3402"/>
    <w:rsid w:val="004D4B79"/>
    <w:rsid w:val="004D52DD"/>
    <w:rsid w:val="004D5DE6"/>
    <w:rsid w:val="004D608A"/>
    <w:rsid w:val="004D75FD"/>
    <w:rsid w:val="004D7C84"/>
    <w:rsid w:val="004E0286"/>
    <w:rsid w:val="004E128A"/>
    <w:rsid w:val="004E2E20"/>
    <w:rsid w:val="004E3414"/>
    <w:rsid w:val="004E37EA"/>
    <w:rsid w:val="004E403A"/>
    <w:rsid w:val="004E4BAA"/>
    <w:rsid w:val="004E5329"/>
    <w:rsid w:val="004F04BC"/>
    <w:rsid w:val="004F0A45"/>
    <w:rsid w:val="004F216C"/>
    <w:rsid w:val="004F261B"/>
    <w:rsid w:val="004F2972"/>
    <w:rsid w:val="004F6674"/>
    <w:rsid w:val="004F68A2"/>
    <w:rsid w:val="004F7720"/>
    <w:rsid w:val="00504CB3"/>
    <w:rsid w:val="005056FD"/>
    <w:rsid w:val="00507064"/>
    <w:rsid w:val="005074E2"/>
    <w:rsid w:val="00507D87"/>
    <w:rsid w:val="00507E0C"/>
    <w:rsid w:val="00510E1C"/>
    <w:rsid w:val="00510FEE"/>
    <w:rsid w:val="00512DB1"/>
    <w:rsid w:val="00513076"/>
    <w:rsid w:val="0051354D"/>
    <w:rsid w:val="0051486E"/>
    <w:rsid w:val="00514B6D"/>
    <w:rsid w:val="00521024"/>
    <w:rsid w:val="00522B26"/>
    <w:rsid w:val="00524E0B"/>
    <w:rsid w:val="005265B7"/>
    <w:rsid w:val="005273FF"/>
    <w:rsid w:val="00531BC2"/>
    <w:rsid w:val="005324BE"/>
    <w:rsid w:val="00533729"/>
    <w:rsid w:val="00533CF6"/>
    <w:rsid w:val="0053794E"/>
    <w:rsid w:val="00541D36"/>
    <w:rsid w:val="0054388A"/>
    <w:rsid w:val="00543C8D"/>
    <w:rsid w:val="00545206"/>
    <w:rsid w:val="0054774B"/>
    <w:rsid w:val="00547874"/>
    <w:rsid w:val="005504D9"/>
    <w:rsid w:val="00550DD8"/>
    <w:rsid w:val="00551E38"/>
    <w:rsid w:val="00551EE0"/>
    <w:rsid w:val="00552454"/>
    <w:rsid w:val="00553046"/>
    <w:rsid w:val="005608F4"/>
    <w:rsid w:val="00562859"/>
    <w:rsid w:val="00563A46"/>
    <w:rsid w:val="00565B2B"/>
    <w:rsid w:val="00567205"/>
    <w:rsid w:val="005674AF"/>
    <w:rsid w:val="00572F05"/>
    <w:rsid w:val="00573F74"/>
    <w:rsid w:val="005746B8"/>
    <w:rsid w:val="005756DE"/>
    <w:rsid w:val="00575C25"/>
    <w:rsid w:val="00582D3F"/>
    <w:rsid w:val="00584DDE"/>
    <w:rsid w:val="00586D83"/>
    <w:rsid w:val="00587D6D"/>
    <w:rsid w:val="00587F2C"/>
    <w:rsid w:val="005901BF"/>
    <w:rsid w:val="00590B2E"/>
    <w:rsid w:val="00590D7A"/>
    <w:rsid w:val="005910A9"/>
    <w:rsid w:val="00591F55"/>
    <w:rsid w:val="00594E03"/>
    <w:rsid w:val="005964CF"/>
    <w:rsid w:val="00597342"/>
    <w:rsid w:val="005A12E2"/>
    <w:rsid w:val="005A1CE9"/>
    <w:rsid w:val="005A2519"/>
    <w:rsid w:val="005A268A"/>
    <w:rsid w:val="005A320B"/>
    <w:rsid w:val="005A70D1"/>
    <w:rsid w:val="005B2414"/>
    <w:rsid w:val="005B4D04"/>
    <w:rsid w:val="005C1F31"/>
    <w:rsid w:val="005C32A5"/>
    <w:rsid w:val="005C60D3"/>
    <w:rsid w:val="005C71E2"/>
    <w:rsid w:val="005D0918"/>
    <w:rsid w:val="005D20C7"/>
    <w:rsid w:val="005D31D3"/>
    <w:rsid w:val="005D69AA"/>
    <w:rsid w:val="005D7858"/>
    <w:rsid w:val="005D7B15"/>
    <w:rsid w:val="005E1CAE"/>
    <w:rsid w:val="005E281E"/>
    <w:rsid w:val="005E30C3"/>
    <w:rsid w:val="005E3DC7"/>
    <w:rsid w:val="005E3FF0"/>
    <w:rsid w:val="005E4D9E"/>
    <w:rsid w:val="005E5CAA"/>
    <w:rsid w:val="005E6269"/>
    <w:rsid w:val="005E6EE6"/>
    <w:rsid w:val="005E7C47"/>
    <w:rsid w:val="005F0EAE"/>
    <w:rsid w:val="005F3106"/>
    <w:rsid w:val="005F316D"/>
    <w:rsid w:val="005F4563"/>
    <w:rsid w:val="005F5595"/>
    <w:rsid w:val="00600449"/>
    <w:rsid w:val="00600713"/>
    <w:rsid w:val="00601BBE"/>
    <w:rsid w:val="00604B59"/>
    <w:rsid w:val="00606258"/>
    <w:rsid w:val="00610EEF"/>
    <w:rsid w:val="00611287"/>
    <w:rsid w:val="00612824"/>
    <w:rsid w:val="00613EBF"/>
    <w:rsid w:val="00620246"/>
    <w:rsid w:val="006223DF"/>
    <w:rsid w:val="006234D5"/>
    <w:rsid w:val="00625266"/>
    <w:rsid w:val="00632EA3"/>
    <w:rsid w:val="006333B6"/>
    <w:rsid w:val="00635F67"/>
    <w:rsid w:val="00637CF2"/>
    <w:rsid w:val="00646446"/>
    <w:rsid w:val="0064650B"/>
    <w:rsid w:val="00646E75"/>
    <w:rsid w:val="00650E05"/>
    <w:rsid w:val="006526EE"/>
    <w:rsid w:val="00653809"/>
    <w:rsid w:val="00655627"/>
    <w:rsid w:val="00657900"/>
    <w:rsid w:val="00661EDA"/>
    <w:rsid w:val="0066221C"/>
    <w:rsid w:val="00663827"/>
    <w:rsid w:val="006652A3"/>
    <w:rsid w:val="00665AA1"/>
    <w:rsid w:val="00666F9D"/>
    <w:rsid w:val="00671CEA"/>
    <w:rsid w:val="00672A17"/>
    <w:rsid w:val="0067357D"/>
    <w:rsid w:val="006737FA"/>
    <w:rsid w:val="0067599D"/>
    <w:rsid w:val="00677CAB"/>
    <w:rsid w:val="00682D1B"/>
    <w:rsid w:val="00683BC2"/>
    <w:rsid w:val="00683BF2"/>
    <w:rsid w:val="00684D2B"/>
    <w:rsid w:val="0068559B"/>
    <w:rsid w:val="00686C08"/>
    <w:rsid w:val="00690B6D"/>
    <w:rsid w:val="00690F9A"/>
    <w:rsid w:val="00691A93"/>
    <w:rsid w:val="006923C0"/>
    <w:rsid w:val="006926BE"/>
    <w:rsid w:val="00692AF0"/>
    <w:rsid w:val="00694211"/>
    <w:rsid w:val="00694568"/>
    <w:rsid w:val="00694E7E"/>
    <w:rsid w:val="006963D1"/>
    <w:rsid w:val="00697037"/>
    <w:rsid w:val="006A11F2"/>
    <w:rsid w:val="006A4F21"/>
    <w:rsid w:val="006A4F6C"/>
    <w:rsid w:val="006A5236"/>
    <w:rsid w:val="006B24B8"/>
    <w:rsid w:val="006B5E87"/>
    <w:rsid w:val="006B5F85"/>
    <w:rsid w:val="006B6565"/>
    <w:rsid w:val="006C273E"/>
    <w:rsid w:val="006C2EFD"/>
    <w:rsid w:val="006C62EE"/>
    <w:rsid w:val="006D004B"/>
    <w:rsid w:val="006D0AFC"/>
    <w:rsid w:val="006D0D41"/>
    <w:rsid w:val="006D359F"/>
    <w:rsid w:val="006D6467"/>
    <w:rsid w:val="006E024D"/>
    <w:rsid w:val="006E0DCC"/>
    <w:rsid w:val="006E394C"/>
    <w:rsid w:val="006E4F63"/>
    <w:rsid w:val="006E6BFD"/>
    <w:rsid w:val="006F18ED"/>
    <w:rsid w:val="006F25B8"/>
    <w:rsid w:val="006F3859"/>
    <w:rsid w:val="006F52CE"/>
    <w:rsid w:val="007019ED"/>
    <w:rsid w:val="007031AC"/>
    <w:rsid w:val="00705CD9"/>
    <w:rsid w:val="00705F23"/>
    <w:rsid w:val="00706600"/>
    <w:rsid w:val="00711AB1"/>
    <w:rsid w:val="00714119"/>
    <w:rsid w:val="0071545D"/>
    <w:rsid w:val="007244E6"/>
    <w:rsid w:val="007257DB"/>
    <w:rsid w:val="00726E43"/>
    <w:rsid w:val="00727AAC"/>
    <w:rsid w:val="007305C4"/>
    <w:rsid w:val="00732A90"/>
    <w:rsid w:val="00732FAC"/>
    <w:rsid w:val="00735A6D"/>
    <w:rsid w:val="00735A7F"/>
    <w:rsid w:val="00735B66"/>
    <w:rsid w:val="00737168"/>
    <w:rsid w:val="00740CFF"/>
    <w:rsid w:val="00742020"/>
    <w:rsid w:val="0074311E"/>
    <w:rsid w:val="00746F6E"/>
    <w:rsid w:val="00752FFD"/>
    <w:rsid w:val="00753579"/>
    <w:rsid w:val="007546F1"/>
    <w:rsid w:val="00754F38"/>
    <w:rsid w:val="007557DE"/>
    <w:rsid w:val="00756170"/>
    <w:rsid w:val="00756C68"/>
    <w:rsid w:val="00760129"/>
    <w:rsid w:val="00761837"/>
    <w:rsid w:val="0076628D"/>
    <w:rsid w:val="00771AEB"/>
    <w:rsid w:val="00771C9C"/>
    <w:rsid w:val="00772432"/>
    <w:rsid w:val="00774F7A"/>
    <w:rsid w:val="00775A53"/>
    <w:rsid w:val="0078025E"/>
    <w:rsid w:val="00781FFB"/>
    <w:rsid w:val="00783E4D"/>
    <w:rsid w:val="00784A7C"/>
    <w:rsid w:val="00785F8D"/>
    <w:rsid w:val="00787FD3"/>
    <w:rsid w:val="00790CB3"/>
    <w:rsid w:val="00794E7D"/>
    <w:rsid w:val="00797B52"/>
    <w:rsid w:val="00797C76"/>
    <w:rsid w:val="007A088D"/>
    <w:rsid w:val="007A2A44"/>
    <w:rsid w:val="007A3EA6"/>
    <w:rsid w:val="007A40DB"/>
    <w:rsid w:val="007A5134"/>
    <w:rsid w:val="007B0E46"/>
    <w:rsid w:val="007B3299"/>
    <w:rsid w:val="007B4102"/>
    <w:rsid w:val="007B4550"/>
    <w:rsid w:val="007B53E0"/>
    <w:rsid w:val="007B547B"/>
    <w:rsid w:val="007C0024"/>
    <w:rsid w:val="007C05A4"/>
    <w:rsid w:val="007C455A"/>
    <w:rsid w:val="007D02AF"/>
    <w:rsid w:val="007D098D"/>
    <w:rsid w:val="007D0C7C"/>
    <w:rsid w:val="007D0CDF"/>
    <w:rsid w:val="007D1155"/>
    <w:rsid w:val="007D43B7"/>
    <w:rsid w:val="007D4A02"/>
    <w:rsid w:val="007D5845"/>
    <w:rsid w:val="007D634C"/>
    <w:rsid w:val="007D757E"/>
    <w:rsid w:val="007D75E3"/>
    <w:rsid w:val="007E0C3D"/>
    <w:rsid w:val="007E3295"/>
    <w:rsid w:val="007E3D70"/>
    <w:rsid w:val="007E4856"/>
    <w:rsid w:val="007E4BC9"/>
    <w:rsid w:val="007E6C42"/>
    <w:rsid w:val="007F0163"/>
    <w:rsid w:val="007F17C5"/>
    <w:rsid w:val="007F1F89"/>
    <w:rsid w:val="007F39B2"/>
    <w:rsid w:val="007F7980"/>
    <w:rsid w:val="0080050B"/>
    <w:rsid w:val="00800DA1"/>
    <w:rsid w:val="00803A20"/>
    <w:rsid w:val="00804B4D"/>
    <w:rsid w:val="008053C2"/>
    <w:rsid w:val="00805C43"/>
    <w:rsid w:val="00806BBF"/>
    <w:rsid w:val="00807820"/>
    <w:rsid w:val="00814C9E"/>
    <w:rsid w:val="00817981"/>
    <w:rsid w:val="008209D8"/>
    <w:rsid w:val="00821002"/>
    <w:rsid w:val="0082104D"/>
    <w:rsid w:val="008258A9"/>
    <w:rsid w:val="00825D5E"/>
    <w:rsid w:val="00831C79"/>
    <w:rsid w:val="00835D3D"/>
    <w:rsid w:val="00836F47"/>
    <w:rsid w:val="008372D5"/>
    <w:rsid w:val="008412A7"/>
    <w:rsid w:val="00841D8F"/>
    <w:rsid w:val="00842064"/>
    <w:rsid w:val="008435DB"/>
    <w:rsid w:val="00846005"/>
    <w:rsid w:val="00846E2F"/>
    <w:rsid w:val="00851AAD"/>
    <w:rsid w:val="00852D7F"/>
    <w:rsid w:val="00853068"/>
    <w:rsid w:val="00854870"/>
    <w:rsid w:val="00854D9C"/>
    <w:rsid w:val="00855C65"/>
    <w:rsid w:val="00860CAA"/>
    <w:rsid w:val="00866EEE"/>
    <w:rsid w:val="00867D6E"/>
    <w:rsid w:val="00870304"/>
    <w:rsid w:val="00872689"/>
    <w:rsid w:val="0087291A"/>
    <w:rsid w:val="008744F8"/>
    <w:rsid w:val="00875877"/>
    <w:rsid w:val="00883FDE"/>
    <w:rsid w:val="00885987"/>
    <w:rsid w:val="00885D71"/>
    <w:rsid w:val="00891EF9"/>
    <w:rsid w:val="008930A9"/>
    <w:rsid w:val="008932EB"/>
    <w:rsid w:val="00893F96"/>
    <w:rsid w:val="008948BC"/>
    <w:rsid w:val="00895E41"/>
    <w:rsid w:val="0089703D"/>
    <w:rsid w:val="008972C4"/>
    <w:rsid w:val="008A0F2E"/>
    <w:rsid w:val="008A10C6"/>
    <w:rsid w:val="008A1C9B"/>
    <w:rsid w:val="008A60EA"/>
    <w:rsid w:val="008B25A8"/>
    <w:rsid w:val="008B292D"/>
    <w:rsid w:val="008B3395"/>
    <w:rsid w:val="008B38D5"/>
    <w:rsid w:val="008B50FA"/>
    <w:rsid w:val="008B57C0"/>
    <w:rsid w:val="008B5CA7"/>
    <w:rsid w:val="008B5CE2"/>
    <w:rsid w:val="008B5CF3"/>
    <w:rsid w:val="008B7D83"/>
    <w:rsid w:val="008C0464"/>
    <w:rsid w:val="008C0948"/>
    <w:rsid w:val="008C1AB4"/>
    <w:rsid w:val="008C2811"/>
    <w:rsid w:val="008C53BB"/>
    <w:rsid w:val="008C57A1"/>
    <w:rsid w:val="008C73A3"/>
    <w:rsid w:val="008D0EA5"/>
    <w:rsid w:val="008D16DB"/>
    <w:rsid w:val="008D23EA"/>
    <w:rsid w:val="008D3242"/>
    <w:rsid w:val="008D4E97"/>
    <w:rsid w:val="008D63FC"/>
    <w:rsid w:val="008D699B"/>
    <w:rsid w:val="008E2559"/>
    <w:rsid w:val="008E4812"/>
    <w:rsid w:val="008E4E0A"/>
    <w:rsid w:val="008E4FBB"/>
    <w:rsid w:val="008F0B91"/>
    <w:rsid w:val="008F4226"/>
    <w:rsid w:val="008F7ADC"/>
    <w:rsid w:val="00900D48"/>
    <w:rsid w:val="0090151E"/>
    <w:rsid w:val="00902D56"/>
    <w:rsid w:val="00903AD1"/>
    <w:rsid w:val="0090488C"/>
    <w:rsid w:val="00905DD5"/>
    <w:rsid w:val="009075B8"/>
    <w:rsid w:val="00907BDB"/>
    <w:rsid w:val="009106F1"/>
    <w:rsid w:val="00911139"/>
    <w:rsid w:val="00911A7B"/>
    <w:rsid w:val="009132FF"/>
    <w:rsid w:val="00914A11"/>
    <w:rsid w:val="00914CC6"/>
    <w:rsid w:val="009150CF"/>
    <w:rsid w:val="0091534B"/>
    <w:rsid w:val="00915FD0"/>
    <w:rsid w:val="00916139"/>
    <w:rsid w:val="009179F0"/>
    <w:rsid w:val="00920925"/>
    <w:rsid w:val="00920B1C"/>
    <w:rsid w:val="009214B4"/>
    <w:rsid w:val="00921BCF"/>
    <w:rsid w:val="00921D1F"/>
    <w:rsid w:val="00922525"/>
    <w:rsid w:val="0092373B"/>
    <w:rsid w:val="00925DD8"/>
    <w:rsid w:val="009310A3"/>
    <w:rsid w:val="00934372"/>
    <w:rsid w:val="00934951"/>
    <w:rsid w:val="00934F0E"/>
    <w:rsid w:val="00934F67"/>
    <w:rsid w:val="009352AC"/>
    <w:rsid w:val="00940181"/>
    <w:rsid w:val="009461E0"/>
    <w:rsid w:val="0094773E"/>
    <w:rsid w:val="00947DDA"/>
    <w:rsid w:val="009502A2"/>
    <w:rsid w:val="009513AC"/>
    <w:rsid w:val="009530F3"/>
    <w:rsid w:val="00955919"/>
    <w:rsid w:val="00955B06"/>
    <w:rsid w:val="009570EA"/>
    <w:rsid w:val="00957839"/>
    <w:rsid w:val="00960B0B"/>
    <w:rsid w:val="00961B40"/>
    <w:rsid w:val="00962407"/>
    <w:rsid w:val="00963CE6"/>
    <w:rsid w:val="00965EF4"/>
    <w:rsid w:val="009679BB"/>
    <w:rsid w:val="00970071"/>
    <w:rsid w:val="00970C3E"/>
    <w:rsid w:val="00971C75"/>
    <w:rsid w:val="00972A89"/>
    <w:rsid w:val="00972E4F"/>
    <w:rsid w:val="009736CD"/>
    <w:rsid w:val="00975417"/>
    <w:rsid w:val="0098263C"/>
    <w:rsid w:val="009826A7"/>
    <w:rsid w:val="00982EF9"/>
    <w:rsid w:val="009845D0"/>
    <w:rsid w:val="009845FE"/>
    <w:rsid w:val="009855ED"/>
    <w:rsid w:val="009860D3"/>
    <w:rsid w:val="00987363"/>
    <w:rsid w:val="00990C3F"/>
    <w:rsid w:val="00990CF9"/>
    <w:rsid w:val="00992564"/>
    <w:rsid w:val="00992D3B"/>
    <w:rsid w:val="00994B9F"/>
    <w:rsid w:val="0099529D"/>
    <w:rsid w:val="00995AAE"/>
    <w:rsid w:val="009A040F"/>
    <w:rsid w:val="009A19F0"/>
    <w:rsid w:val="009A2DCE"/>
    <w:rsid w:val="009A40EE"/>
    <w:rsid w:val="009A475D"/>
    <w:rsid w:val="009A5D01"/>
    <w:rsid w:val="009B08A6"/>
    <w:rsid w:val="009B1149"/>
    <w:rsid w:val="009B1A07"/>
    <w:rsid w:val="009B33E2"/>
    <w:rsid w:val="009B3C07"/>
    <w:rsid w:val="009B6990"/>
    <w:rsid w:val="009B791C"/>
    <w:rsid w:val="009B7A3F"/>
    <w:rsid w:val="009C0405"/>
    <w:rsid w:val="009C2ADE"/>
    <w:rsid w:val="009C4394"/>
    <w:rsid w:val="009C48AE"/>
    <w:rsid w:val="009C77C5"/>
    <w:rsid w:val="009C7E45"/>
    <w:rsid w:val="009D1344"/>
    <w:rsid w:val="009D188C"/>
    <w:rsid w:val="009D21B0"/>
    <w:rsid w:val="009D3967"/>
    <w:rsid w:val="009D3B07"/>
    <w:rsid w:val="009D4BA8"/>
    <w:rsid w:val="009D58F1"/>
    <w:rsid w:val="009D769A"/>
    <w:rsid w:val="009D778A"/>
    <w:rsid w:val="009E014E"/>
    <w:rsid w:val="009E0AE3"/>
    <w:rsid w:val="009E133A"/>
    <w:rsid w:val="009E235A"/>
    <w:rsid w:val="009E4E0B"/>
    <w:rsid w:val="009E5663"/>
    <w:rsid w:val="009E782B"/>
    <w:rsid w:val="009F0A4A"/>
    <w:rsid w:val="009F0E0F"/>
    <w:rsid w:val="009F1D79"/>
    <w:rsid w:val="009F20FA"/>
    <w:rsid w:val="009F4F1B"/>
    <w:rsid w:val="009F608E"/>
    <w:rsid w:val="009F65DB"/>
    <w:rsid w:val="00A00DFF"/>
    <w:rsid w:val="00A0295E"/>
    <w:rsid w:val="00A04022"/>
    <w:rsid w:val="00A05456"/>
    <w:rsid w:val="00A057F3"/>
    <w:rsid w:val="00A06900"/>
    <w:rsid w:val="00A0785E"/>
    <w:rsid w:val="00A07C8C"/>
    <w:rsid w:val="00A1091C"/>
    <w:rsid w:val="00A11B0A"/>
    <w:rsid w:val="00A142AA"/>
    <w:rsid w:val="00A142EA"/>
    <w:rsid w:val="00A1486A"/>
    <w:rsid w:val="00A15A55"/>
    <w:rsid w:val="00A17032"/>
    <w:rsid w:val="00A176F0"/>
    <w:rsid w:val="00A1793B"/>
    <w:rsid w:val="00A21D2B"/>
    <w:rsid w:val="00A22A95"/>
    <w:rsid w:val="00A23180"/>
    <w:rsid w:val="00A24271"/>
    <w:rsid w:val="00A24607"/>
    <w:rsid w:val="00A24770"/>
    <w:rsid w:val="00A24D09"/>
    <w:rsid w:val="00A26757"/>
    <w:rsid w:val="00A27425"/>
    <w:rsid w:val="00A300C0"/>
    <w:rsid w:val="00A33224"/>
    <w:rsid w:val="00A3351F"/>
    <w:rsid w:val="00A33881"/>
    <w:rsid w:val="00A3577B"/>
    <w:rsid w:val="00A36FB8"/>
    <w:rsid w:val="00A4100C"/>
    <w:rsid w:val="00A412E9"/>
    <w:rsid w:val="00A42A99"/>
    <w:rsid w:val="00A453E9"/>
    <w:rsid w:val="00A4546C"/>
    <w:rsid w:val="00A46E18"/>
    <w:rsid w:val="00A4757E"/>
    <w:rsid w:val="00A47F6E"/>
    <w:rsid w:val="00A50B87"/>
    <w:rsid w:val="00A5475C"/>
    <w:rsid w:val="00A63BDF"/>
    <w:rsid w:val="00A672AE"/>
    <w:rsid w:val="00A67D18"/>
    <w:rsid w:val="00A702DE"/>
    <w:rsid w:val="00A70E61"/>
    <w:rsid w:val="00A73D1B"/>
    <w:rsid w:val="00A74DFE"/>
    <w:rsid w:val="00A74FA7"/>
    <w:rsid w:val="00A76C55"/>
    <w:rsid w:val="00A770B9"/>
    <w:rsid w:val="00A772A1"/>
    <w:rsid w:val="00A774FA"/>
    <w:rsid w:val="00A807B4"/>
    <w:rsid w:val="00A80C8F"/>
    <w:rsid w:val="00A8100B"/>
    <w:rsid w:val="00A83349"/>
    <w:rsid w:val="00A840D2"/>
    <w:rsid w:val="00A85930"/>
    <w:rsid w:val="00A863CA"/>
    <w:rsid w:val="00A878A0"/>
    <w:rsid w:val="00A901A4"/>
    <w:rsid w:val="00A91FA5"/>
    <w:rsid w:val="00A920CC"/>
    <w:rsid w:val="00A9384A"/>
    <w:rsid w:val="00A93BBD"/>
    <w:rsid w:val="00A95100"/>
    <w:rsid w:val="00A95C3D"/>
    <w:rsid w:val="00A95F8B"/>
    <w:rsid w:val="00A96AD0"/>
    <w:rsid w:val="00A97287"/>
    <w:rsid w:val="00AA0727"/>
    <w:rsid w:val="00AA14C4"/>
    <w:rsid w:val="00AA22FC"/>
    <w:rsid w:val="00AA31BE"/>
    <w:rsid w:val="00AA471B"/>
    <w:rsid w:val="00AA4A6D"/>
    <w:rsid w:val="00AA4E61"/>
    <w:rsid w:val="00AA4EDF"/>
    <w:rsid w:val="00AA6880"/>
    <w:rsid w:val="00AA7BE3"/>
    <w:rsid w:val="00AB0198"/>
    <w:rsid w:val="00AB1477"/>
    <w:rsid w:val="00AB18F5"/>
    <w:rsid w:val="00AB1B89"/>
    <w:rsid w:val="00AB1E51"/>
    <w:rsid w:val="00AB2C2C"/>
    <w:rsid w:val="00AB3190"/>
    <w:rsid w:val="00AB57D8"/>
    <w:rsid w:val="00AB5A53"/>
    <w:rsid w:val="00AB6067"/>
    <w:rsid w:val="00AB6ACD"/>
    <w:rsid w:val="00AB6EAB"/>
    <w:rsid w:val="00AC502C"/>
    <w:rsid w:val="00AC7204"/>
    <w:rsid w:val="00AD0ADC"/>
    <w:rsid w:val="00AD17B6"/>
    <w:rsid w:val="00AD193C"/>
    <w:rsid w:val="00AD3D29"/>
    <w:rsid w:val="00AD51F8"/>
    <w:rsid w:val="00AE0ECF"/>
    <w:rsid w:val="00AE138B"/>
    <w:rsid w:val="00AE22AA"/>
    <w:rsid w:val="00AE25F6"/>
    <w:rsid w:val="00AE277F"/>
    <w:rsid w:val="00AE2F3A"/>
    <w:rsid w:val="00AE4A99"/>
    <w:rsid w:val="00AF10EF"/>
    <w:rsid w:val="00AF2B5B"/>
    <w:rsid w:val="00AF37A0"/>
    <w:rsid w:val="00AF3A0E"/>
    <w:rsid w:val="00AF5A59"/>
    <w:rsid w:val="00AF72F6"/>
    <w:rsid w:val="00AF7366"/>
    <w:rsid w:val="00AF7880"/>
    <w:rsid w:val="00B02570"/>
    <w:rsid w:val="00B027FF"/>
    <w:rsid w:val="00B03361"/>
    <w:rsid w:val="00B035B0"/>
    <w:rsid w:val="00B0424E"/>
    <w:rsid w:val="00B04E66"/>
    <w:rsid w:val="00B0565A"/>
    <w:rsid w:val="00B06029"/>
    <w:rsid w:val="00B06B8A"/>
    <w:rsid w:val="00B075D7"/>
    <w:rsid w:val="00B077E3"/>
    <w:rsid w:val="00B115E8"/>
    <w:rsid w:val="00B15465"/>
    <w:rsid w:val="00B17EA6"/>
    <w:rsid w:val="00B20EBE"/>
    <w:rsid w:val="00B25612"/>
    <w:rsid w:val="00B26E0C"/>
    <w:rsid w:val="00B31ADD"/>
    <w:rsid w:val="00B32515"/>
    <w:rsid w:val="00B32DB7"/>
    <w:rsid w:val="00B33F88"/>
    <w:rsid w:val="00B3423E"/>
    <w:rsid w:val="00B3492A"/>
    <w:rsid w:val="00B36233"/>
    <w:rsid w:val="00B37669"/>
    <w:rsid w:val="00B40629"/>
    <w:rsid w:val="00B408FE"/>
    <w:rsid w:val="00B41C89"/>
    <w:rsid w:val="00B41FB2"/>
    <w:rsid w:val="00B44957"/>
    <w:rsid w:val="00B471FC"/>
    <w:rsid w:val="00B50A1F"/>
    <w:rsid w:val="00B55E78"/>
    <w:rsid w:val="00B617C0"/>
    <w:rsid w:val="00B61A27"/>
    <w:rsid w:val="00B62089"/>
    <w:rsid w:val="00B62FDA"/>
    <w:rsid w:val="00B6623C"/>
    <w:rsid w:val="00B66E98"/>
    <w:rsid w:val="00B67AAF"/>
    <w:rsid w:val="00B705FC"/>
    <w:rsid w:val="00B7134D"/>
    <w:rsid w:val="00B71897"/>
    <w:rsid w:val="00B73072"/>
    <w:rsid w:val="00B732AD"/>
    <w:rsid w:val="00B74E39"/>
    <w:rsid w:val="00B75338"/>
    <w:rsid w:val="00B756D1"/>
    <w:rsid w:val="00B75B2B"/>
    <w:rsid w:val="00B80DBF"/>
    <w:rsid w:val="00B81A2D"/>
    <w:rsid w:val="00B82255"/>
    <w:rsid w:val="00B847FB"/>
    <w:rsid w:val="00B8517B"/>
    <w:rsid w:val="00B85BF7"/>
    <w:rsid w:val="00B86286"/>
    <w:rsid w:val="00B874CD"/>
    <w:rsid w:val="00B87C46"/>
    <w:rsid w:val="00B90FC1"/>
    <w:rsid w:val="00B91CAC"/>
    <w:rsid w:val="00B94E4D"/>
    <w:rsid w:val="00B9567D"/>
    <w:rsid w:val="00B96DB4"/>
    <w:rsid w:val="00BA1890"/>
    <w:rsid w:val="00BA43BF"/>
    <w:rsid w:val="00BA4937"/>
    <w:rsid w:val="00BA7010"/>
    <w:rsid w:val="00BA7A47"/>
    <w:rsid w:val="00BB1A37"/>
    <w:rsid w:val="00BB3DF4"/>
    <w:rsid w:val="00BB5E2E"/>
    <w:rsid w:val="00BB5F80"/>
    <w:rsid w:val="00BB6737"/>
    <w:rsid w:val="00BB6964"/>
    <w:rsid w:val="00BC0AFE"/>
    <w:rsid w:val="00BC3E2E"/>
    <w:rsid w:val="00BC4670"/>
    <w:rsid w:val="00BC5366"/>
    <w:rsid w:val="00BC5A9C"/>
    <w:rsid w:val="00BC5C63"/>
    <w:rsid w:val="00BC6323"/>
    <w:rsid w:val="00BC6655"/>
    <w:rsid w:val="00BC76DB"/>
    <w:rsid w:val="00BD1291"/>
    <w:rsid w:val="00BD222A"/>
    <w:rsid w:val="00BD2675"/>
    <w:rsid w:val="00BD2695"/>
    <w:rsid w:val="00BD35C9"/>
    <w:rsid w:val="00BD3718"/>
    <w:rsid w:val="00BD3F2C"/>
    <w:rsid w:val="00BD45CF"/>
    <w:rsid w:val="00BD4B61"/>
    <w:rsid w:val="00BD4E31"/>
    <w:rsid w:val="00BD7D94"/>
    <w:rsid w:val="00BE26D6"/>
    <w:rsid w:val="00BE7C44"/>
    <w:rsid w:val="00BE7F84"/>
    <w:rsid w:val="00BF1076"/>
    <w:rsid w:val="00BF28A8"/>
    <w:rsid w:val="00BF6116"/>
    <w:rsid w:val="00BF6642"/>
    <w:rsid w:val="00BF7FFD"/>
    <w:rsid w:val="00C012C3"/>
    <w:rsid w:val="00C02EEE"/>
    <w:rsid w:val="00C05F09"/>
    <w:rsid w:val="00C11DFC"/>
    <w:rsid w:val="00C12A72"/>
    <w:rsid w:val="00C13838"/>
    <w:rsid w:val="00C14320"/>
    <w:rsid w:val="00C17761"/>
    <w:rsid w:val="00C20A02"/>
    <w:rsid w:val="00C20D74"/>
    <w:rsid w:val="00C217A6"/>
    <w:rsid w:val="00C22B26"/>
    <w:rsid w:val="00C23B5A"/>
    <w:rsid w:val="00C2453D"/>
    <w:rsid w:val="00C24A41"/>
    <w:rsid w:val="00C2746C"/>
    <w:rsid w:val="00C27A12"/>
    <w:rsid w:val="00C27B17"/>
    <w:rsid w:val="00C30ED9"/>
    <w:rsid w:val="00C32811"/>
    <w:rsid w:val="00C352C4"/>
    <w:rsid w:val="00C3568B"/>
    <w:rsid w:val="00C4046C"/>
    <w:rsid w:val="00C444BD"/>
    <w:rsid w:val="00C44E81"/>
    <w:rsid w:val="00C45D10"/>
    <w:rsid w:val="00C4675C"/>
    <w:rsid w:val="00C468F1"/>
    <w:rsid w:val="00C51E4B"/>
    <w:rsid w:val="00C51F75"/>
    <w:rsid w:val="00C52B9D"/>
    <w:rsid w:val="00C52DBA"/>
    <w:rsid w:val="00C57AB8"/>
    <w:rsid w:val="00C57C9E"/>
    <w:rsid w:val="00C624A0"/>
    <w:rsid w:val="00C64574"/>
    <w:rsid w:val="00C647A4"/>
    <w:rsid w:val="00C66A87"/>
    <w:rsid w:val="00C7008D"/>
    <w:rsid w:val="00C70397"/>
    <w:rsid w:val="00C708AE"/>
    <w:rsid w:val="00C70A9B"/>
    <w:rsid w:val="00C71E46"/>
    <w:rsid w:val="00C73227"/>
    <w:rsid w:val="00C841B9"/>
    <w:rsid w:val="00C84687"/>
    <w:rsid w:val="00C85261"/>
    <w:rsid w:val="00C8555A"/>
    <w:rsid w:val="00C8669D"/>
    <w:rsid w:val="00C87D7C"/>
    <w:rsid w:val="00C9086C"/>
    <w:rsid w:val="00C9092A"/>
    <w:rsid w:val="00C90E11"/>
    <w:rsid w:val="00C912B1"/>
    <w:rsid w:val="00C91C17"/>
    <w:rsid w:val="00C927EC"/>
    <w:rsid w:val="00C92B34"/>
    <w:rsid w:val="00C930BB"/>
    <w:rsid w:val="00C945D6"/>
    <w:rsid w:val="00C94C56"/>
    <w:rsid w:val="00C9533B"/>
    <w:rsid w:val="00C959C2"/>
    <w:rsid w:val="00CA2BC1"/>
    <w:rsid w:val="00CA3D5D"/>
    <w:rsid w:val="00CA52F5"/>
    <w:rsid w:val="00CA6DA9"/>
    <w:rsid w:val="00CA6F70"/>
    <w:rsid w:val="00CA7346"/>
    <w:rsid w:val="00CB0305"/>
    <w:rsid w:val="00CB21D8"/>
    <w:rsid w:val="00CB4085"/>
    <w:rsid w:val="00CB7159"/>
    <w:rsid w:val="00CB748F"/>
    <w:rsid w:val="00CB7519"/>
    <w:rsid w:val="00CB7AC9"/>
    <w:rsid w:val="00CB7D06"/>
    <w:rsid w:val="00CC023A"/>
    <w:rsid w:val="00CD1039"/>
    <w:rsid w:val="00CD1A4E"/>
    <w:rsid w:val="00CD5D19"/>
    <w:rsid w:val="00CD6384"/>
    <w:rsid w:val="00CD6520"/>
    <w:rsid w:val="00CD6ECD"/>
    <w:rsid w:val="00CE2FF0"/>
    <w:rsid w:val="00CE5933"/>
    <w:rsid w:val="00CE610F"/>
    <w:rsid w:val="00CE7E0C"/>
    <w:rsid w:val="00CF07E1"/>
    <w:rsid w:val="00CF0A90"/>
    <w:rsid w:val="00CF0EA7"/>
    <w:rsid w:val="00CF1902"/>
    <w:rsid w:val="00CF1E5A"/>
    <w:rsid w:val="00CF3DC8"/>
    <w:rsid w:val="00CF3EA8"/>
    <w:rsid w:val="00CF46F4"/>
    <w:rsid w:val="00CF6969"/>
    <w:rsid w:val="00CF7F7F"/>
    <w:rsid w:val="00D00CA9"/>
    <w:rsid w:val="00D00CEC"/>
    <w:rsid w:val="00D01D26"/>
    <w:rsid w:val="00D0281E"/>
    <w:rsid w:val="00D05ED8"/>
    <w:rsid w:val="00D066AB"/>
    <w:rsid w:val="00D072C0"/>
    <w:rsid w:val="00D0782F"/>
    <w:rsid w:val="00D121A7"/>
    <w:rsid w:val="00D13427"/>
    <w:rsid w:val="00D148D4"/>
    <w:rsid w:val="00D1510F"/>
    <w:rsid w:val="00D1572E"/>
    <w:rsid w:val="00D16A93"/>
    <w:rsid w:val="00D1747E"/>
    <w:rsid w:val="00D20D1E"/>
    <w:rsid w:val="00D21AA3"/>
    <w:rsid w:val="00D2245B"/>
    <w:rsid w:val="00D25D0C"/>
    <w:rsid w:val="00D331F9"/>
    <w:rsid w:val="00D34409"/>
    <w:rsid w:val="00D358F9"/>
    <w:rsid w:val="00D37803"/>
    <w:rsid w:val="00D4124C"/>
    <w:rsid w:val="00D41DE9"/>
    <w:rsid w:val="00D440D0"/>
    <w:rsid w:val="00D44797"/>
    <w:rsid w:val="00D46734"/>
    <w:rsid w:val="00D473BB"/>
    <w:rsid w:val="00D4798C"/>
    <w:rsid w:val="00D525BE"/>
    <w:rsid w:val="00D52FFC"/>
    <w:rsid w:val="00D53EEE"/>
    <w:rsid w:val="00D55C66"/>
    <w:rsid w:val="00D56F07"/>
    <w:rsid w:val="00D60E04"/>
    <w:rsid w:val="00D6617A"/>
    <w:rsid w:val="00D66A9F"/>
    <w:rsid w:val="00D70205"/>
    <w:rsid w:val="00D713E7"/>
    <w:rsid w:val="00D727F8"/>
    <w:rsid w:val="00D77404"/>
    <w:rsid w:val="00D77637"/>
    <w:rsid w:val="00D77A7F"/>
    <w:rsid w:val="00D77B87"/>
    <w:rsid w:val="00D77F77"/>
    <w:rsid w:val="00D805C8"/>
    <w:rsid w:val="00D82DCF"/>
    <w:rsid w:val="00D838C5"/>
    <w:rsid w:val="00D83EE9"/>
    <w:rsid w:val="00D85236"/>
    <w:rsid w:val="00D8686E"/>
    <w:rsid w:val="00D873D3"/>
    <w:rsid w:val="00D93DAC"/>
    <w:rsid w:val="00D94095"/>
    <w:rsid w:val="00D95F1C"/>
    <w:rsid w:val="00D96596"/>
    <w:rsid w:val="00D96D46"/>
    <w:rsid w:val="00D96DBC"/>
    <w:rsid w:val="00DA0B60"/>
    <w:rsid w:val="00DA515C"/>
    <w:rsid w:val="00DA52DA"/>
    <w:rsid w:val="00DA5B8A"/>
    <w:rsid w:val="00DB26C0"/>
    <w:rsid w:val="00DB52C5"/>
    <w:rsid w:val="00DB6DF4"/>
    <w:rsid w:val="00DB7C6E"/>
    <w:rsid w:val="00DC1413"/>
    <w:rsid w:val="00DC16E2"/>
    <w:rsid w:val="00DC1748"/>
    <w:rsid w:val="00DC1FAF"/>
    <w:rsid w:val="00DC464B"/>
    <w:rsid w:val="00DC605F"/>
    <w:rsid w:val="00DC7179"/>
    <w:rsid w:val="00DC7760"/>
    <w:rsid w:val="00DC7D31"/>
    <w:rsid w:val="00DD1800"/>
    <w:rsid w:val="00DD298E"/>
    <w:rsid w:val="00DD34A5"/>
    <w:rsid w:val="00DD4775"/>
    <w:rsid w:val="00DD4E05"/>
    <w:rsid w:val="00DE075A"/>
    <w:rsid w:val="00DE1F95"/>
    <w:rsid w:val="00DE39DE"/>
    <w:rsid w:val="00DE402A"/>
    <w:rsid w:val="00DE4899"/>
    <w:rsid w:val="00DE64B5"/>
    <w:rsid w:val="00DE6724"/>
    <w:rsid w:val="00DE735A"/>
    <w:rsid w:val="00DE745F"/>
    <w:rsid w:val="00DF0945"/>
    <w:rsid w:val="00DF0AD0"/>
    <w:rsid w:val="00DF0F4D"/>
    <w:rsid w:val="00DF25E9"/>
    <w:rsid w:val="00DF4E49"/>
    <w:rsid w:val="00E008A4"/>
    <w:rsid w:val="00E01D07"/>
    <w:rsid w:val="00E02A6D"/>
    <w:rsid w:val="00E07176"/>
    <w:rsid w:val="00E16392"/>
    <w:rsid w:val="00E1712B"/>
    <w:rsid w:val="00E2071F"/>
    <w:rsid w:val="00E21C97"/>
    <w:rsid w:val="00E22463"/>
    <w:rsid w:val="00E22C54"/>
    <w:rsid w:val="00E2399A"/>
    <w:rsid w:val="00E24204"/>
    <w:rsid w:val="00E27715"/>
    <w:rsid w:val="00E27BAF"/>
    <w:rsid w:val="00E32192"/>
    <w:rsid w:val="00E346E3"/>
    <w:rsid w:val="00E35A6F"/>
    <w:rsid w:val="00E3648C"/>
    <w:rsid w:val="00E40D74"/>
    <w:rsid w:val="00E41834"/>
    <w:rsid w:val="00E500AA"/>
    <w:rsid w:val="00E51B69"/>
    <w:rsid w:val="00E5323B"/>
    <w:rsid w:val="00E5436D"/>
    <w:rsid w:val="00E54890"/>
    <w:rsid w:val="00E563DD"/>
    <w:rsid w:val="00E56976"/>
    <w:rsid w:val="00E6308F"/>
    <w:rsid w:val="00E6409C"/>
    <w:rsid w:val="00E640DA"/>
    <w:rsid w:val="00E64A7A"/>
    <w:rsid w:val="00E66792"/>
    <w:rsid w:val="00E67715"/>
    <w:rsid w:val="00E67ECB"/>
    <w:rsid w:val="00E70F91"/>
    <w:rsid w:val="00E72541"/>
    <w:rsid w:val="00E735B8"/>
    <w:rsid w:val="00E7441E"/>
    <w:rsid w:val="00E7599A"/>
    <w:rsid w:val="00E77D5D"/>
    <w:rsid w:val="00E77FB7"/>
    <w:rsid w:val="00E8158F"/>
    <w:rsid w:val="00E8192A"/>
    <w:rsid w:val="00E81D06"/>
    <w:rsid w:val="00E82868"/>
    <w:rsid w:val="00E82986"/>
    <w:rsid w:val="00E83C74"/>
    <w:rsid w:val="00E84E1D"/>
    <w:rsid w:val="00E87191"/>
    <w:rsid w:val="00E91AE3"/>
    <w:rsid w:val="00E92D66"/>
    <w:rsid w:val="00E942DB"/>
    <w:rsid w:val="00E95AAC"/>
    <w:rsid w:val="00E966ED"/>
    <w:rsid w:val="00E974D4"/>
    <w:rsid w:val="00EA0106"/>
    <w:rsid w:val="00EA2082"/>
    <w:rsid w:val="00EB056F"/>
    <w:rsid w:val="00EB12D4"/>
    <w:rsid w:val="00EB1C5C"/>
    <w:rsid w:val="00EB225B"/>
    <w:rsid w:val="00EB39B5"/>
    <w:rsid w:val="00EB5867"/>
    <w:rsid w:val="00EC0F51"/>
    <w:rsid w:val="00EC2293"/>
    <w:rsid w:val="00EC53EA"/>
    <w:rsid w:val="00EC7738"/>
    <w:rsid w:val="00ED2E93"/>
    <w:rsid w:val="00ED3E96"/>
    <w:rsid w:val="00ED6918"/>
    <w:rsid w:val="00EE0B6A"/>
    <w:rsid w:val="00EE3ED9"/>
    <w:rsid w:val="00EE4BF2"/>
    <w:rsid w:val="00EE5A6D"/>
    <w:rsid w:val="00EF2B7C"/>
    <w:rsid w:val="00EF3D60"/>
    <w:rsid w:val="00EF47E6"/>
    <w:rsid w:val="00EF4EC0"/>
    <w:rsid w:val="00EF4F28"/>
    <w:rsid w:val="00EF5AB1"/>
    <w:rsid w:val="00EF7066"/>
    <w:rsid w:val="00F00D54"/>
    <w:rsid w:val="00F0218B"/>
    <w:rsid w:val="00F02431"/>
    <w:rsid w:val="00F02A4C"/>
    <w:rsid w:val="00F03775"/>
    <w:rsid w:val="00F07D54"/>
    <w:rsid w:val="00F11A22"/>
    <w:rsid w:val="00F170D8"/>
    <w:rsid w:val="00F176F8"/>
    <w:rsid w:val="00F1782E"/>
    <w:rsid w:val="00F2090F"/>
    <w:rsid w:val="00F24884"/>
    <w:rsid w:val="00F268E5"/>
    <w:rsid w:val="00F27072"/>
    <w:rsid w:val="00F306F9"/>
    <w:rsid w:val="00F3134A"/>
    <w:rsid w:val="00F3157C"/>
    <w:rsid w:val="00F317F0"/>
    <w:rsid w:val="00F3228E"/>
    <w:rsid w:val="00F326EB"/>
    <w:rsid w:val="00F33244"/>
    <w:rsid w:val="00F33889"/>
    <w:rsid w:val="00F35FC1"/>
    <w:rsid w:val="00F3628A"/>
    <w:rsid w:val="00F37CB7"/>
    <w:rsid w:val="00F37E19"/>
    <w:rsid w:val="00F415C1"/>
    <w:rsid w:val="00F41DBD"/>
    <w:rsid w:val="00F42820"/>
    <w:rsid w:val="00F46AAC"/>
    <w:rsid w:val="00F47DD1"/>
    <w:rsid w:val="00F508B8"/>
    <w:rsid w:val="00F51AA5"/>
    <w:rsid w:val="00F5459E"/>
    <w:rsid w:val="00F6085F"/>
    <w:rsid w:val="00F608CA"/>
    <w:rsid w:val="00F63F94"/>
    <w:rsid w:val="00F643BC"/>
    <w:rsid w:val="00F65014"/>
    <w:rsid w:val="00F65376"/>
    <w:rsid w:val="00F65C49"/>
    <w:rsid w:val="00F6625D"/>
    <w:rsid w:val="00F67EF9"/>
    <w:rsid w:val="00F71A8A"/>
    <w:rsid w:val="00F756F0"/>
    <w:rsid w:val="00F76CAE"/>
    <w:rsid w:val="00F81022"/>
    <w:rsid w:val="00F82351"/>
    <w:rsid w:val="00F9067F"/>
    <w:rsid w:val="00F9188A"/>
    <w:rsid w:val="00F92FFC"/>
    <w:rsid w:val="00F93D45"/>
    <w:rsid w:val="00F947E2"/>
    <w:rsid w:val="00F94ACF"/>
    <w:rsid w:val="00F96866"/>
    <w:rsid w:val="00FA1137"/>
    <w:rsid w:val="00FA2914"/>
    <w:rsid w:val="00FB0638"/>
    <w:rsid w:val="00FB7827"/>
    <w:rsid w:val="00FC014C"/>
    <w:rsid w:val="00FC0AFB"/>
    <w:rsid w:val="00FC1A2F"/>
    <w:rsid w:val="00FC2036"/>
    <w:rsid w:val="00FC211A"/>
    <w:rsid w:val="00FC2EAA"/>
    <w:rsid w:val="00FC4035"/>
    <w:rsid w:val="00FC5BEE"/>
    <w:rsid w:val="00FC5FF2"/>
    <w:rsid w:val="00FD150B"/>
    <w:rsid w:val="00FD1C74"/>
    <w:rsid w:val="00FD22A8"/>
    <w:rsid w:val="00FD4F06"/>
    <w:rsid w:val="00FD6CA4"/>
    <w:rsid w:val="00FE350E"/>
    <w:rsid w:val="00FE7AEA"/>
    <w:rsid w:val="00FE7DE3"/>
    <w:rsid w:val="00FF1064"/>
    <w:rsid w:val="00FF4536"/>
    <w:rsid w:val="00FF4BEE"/>
    <w:rsid w:val="10376329"/>
    <w:rsid w:val="2DFC6296"/>
    <w:rsid w:val="2F803DFB"/>
    <w:rsid w:val="355114E5"/>
    <w:rsid w:val="3E0B7583"/>
    <w:rsid w:val="5BB3119B"/>
    <w:rsid w:val="749A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05163"/>
  <w15:docId w15:val="{C9F341CD-22D0-4A39-A9D2-3F807B8C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a">
    <w:name w:val="List Paragraph"/>
    <w:basedOn w:val="a"/>
    <w:autoRedefine/>
    <w:uiPriority w:val="34"/>
    <w:qFormat/>
    <w:rsid w:val="00C02EEE"/>
    <w:pPr>
      <w:spacing w:line="360" w:lineRule="auto"/>
      <w:ind w:firstLine="480"/>
    </w:pPr>
    <w:rPr>
      <w:rFonts w:ascii="宋体" w:hAnsi="宋体"/>
      <w:b/>
      <w:bCs/>
      <w:sz w:val="24"/>
    </w:rPr>
  </w:style>
  <w:style w:type="character" w:customStyle="1" w:styleId="a4">
    <w:name w:val="批注框文本 字符"/>
    <w:basedOn w:val="a0"/>
    <w:link w:val="a3"/>
    <w:autoRedefine/>
    <w:uiPriority w:val="99"/>
    <w:semiHidden/>
    <w:qFormat/>
    <w:rPr>
      <w:rFonts w:ascii="Times New Roman" w:eastAsia="宋体" w:hAnsi="Times New Roman" w:cs="Times New Roman"/>
      <w:sz w:val="18"/>
      <w:szCs w:val="18"/>
    </w:rPr>
  </w:style>
  <w:style w:type="paragraph" w:customStyle="1" w:styleId="paragraph">
    <w:name w:val="paragraph"/>
    <w:basedOn w:val="a"/>
    <w:qFormat/>
    <w:rsid w:val="00DE39DE"/>
    <w:pPr>
      <w:widowControl/>
      <w:spacing w:before="100" w:beforeAutospacing="1" w:after="100" w:afterAutospacing="1"/>
      <w:jc w:val="left"/>
    </w:pPr>
    <w:rPr>
      <w:rFonts w:ascii="宋体" w:hAnsi="宋体" w:cs="宋体"/>
      <w:kern w:val="0"/>
      <w:sz w:val="24"/>
    </w:rPr>
  </w:style>
  <w:style w:type="character" w:customStyle="1" w:styleId="normaltextrun">
    <w:name w:val="normaltextrun"/>
    <w:basedOn w:val="a0"/>
    <w:qFormat/>
    <w:rsid w:val="00DE39DE"/>
  </w:style>
  <w:style w:type="character" w:customStyle="1" w:styleId="eop">
    <w:name w:val="eop"/>
    <w:basedOn w:val="a0"/>
    <w:qFormat/>
    <w:rsid w:val="00DE3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51036-770E-4FEB-B585-A72DE15A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1028</Words>
  <Characters>5860</Characters>
  <Application>Microsoft Office Word</Application>
  <DocSecurity>0</DocSecurity>
  <Lines>48</Lines>
  <Paragraphs>13</Paragraphs>
  <ScaleCrop>false</ScaleCrop>
  <Company>acer</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罗俊群</cp:lastModifiedBy>
  <cp:revision>22</cp:revision>
  <cp:lastPrinted>2022-06-02T07:44:00Z</cp:lastPrinted>
  <dcterms:created xsi:type="dcterms:W3CDTF">2024-11-19T03:15:00Z</dcterms:created>
  <dcterms:modified xsi:type="dcterms:W3CDTF">2024-11-20T11:39:00Z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D9699157037E431C934CD639490F3FE6_12</vt:lpwstr>
  </property>
  <property fmtid="{D5CDD505-2E9C-101B-9397-08002B2CF9AE}" pid="4" name="BD_Document_Page_Count">
    <vt:lpwstr>1</vt:lpwstr>
  </property>
  <property fmtid="{D5CDD505-2E9C-101B-9397-08002B2CF9AE}" pid="5" name="ZX_Claim_Page_Number">
    <vt:lpwstr>1</vt:lpwstr>
  </property>
</Properties>
</file>