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663C3" w14:textId="77777777" w:rsidR="00B01D3E" w:rsidRDefault="005461A0" w:rsidP="0032207E">
      <w:pPr>
        <w:pStyle w:val="a3"/>
        <w:tabs>
          <w:tab w:val="left" w:pos="7867"/>
        </w:tabs>
        <w:spacing w:before="51"/>
        <w:ind w:left="232"/>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rPr>
        <w:t>证券代码</w:t>
      </w:r>
      <w:r>
        <w:rPr>
          <w:rFonts w:asciiTheme="minorEastAsia" w:eastAsiaTheme="minorEastAsia" w:hAnsiTheme="minorEastAsia" w:cstheme="minorEastAsia" w:hint="eastAsia"/>
          <w:spacing w:val="-11"/>
          <w:sz w:val="24"/>
          <w:szCs w:val="24"/>
        </w:rPr>
        <w:t>：</w:t>
      </w:r>
      <w:r>
        <w:rPr>
          <w:rFonts w:asciiTheme="minorEastAsia" w:eastAsiaTheme="minorEastAsia" w:hAnsiTheme="minorEastAsia" w:cstheme="minorEastAsia" w:hint="eastAsia"/>
          <w:spacing w:val="-11"/>
          <w:sz w:val="24"/>
          <w:szCs w:val="24"/>
          <w:lang w:val="en-US"/>
        </w:rPr>
        <w:t>603315</w:t>
      </w:r>
      <w:r>
        <w:rPr>
          <w:rFonts w:asciiTheme="minorEastAsia" w:eastAsiaTheme="minorEastAsia" w:hAnsiTheme="minorEastAsia" w:cstheme="minorEastAsia" w:hint="eastAsia"/>
          <w:spacing w:val="-11"/>
          <w:sz w:val="24"/>
          <w:szCs w:val="24"/>
        </w:rPr>
        <w:tab/>
      </w:r>
      <w:r>
        <w:rPr>
          <w:rFonts w:asciiTheme="minorEastAsia" w:eastAsiaTheme="minorEastAsia" w:hAnsiTheme="minorEastAsia" w:cstheme="minorEastAsia" w:hint="eastAsia"/>
          <w:sz w:val="24"/>
          <w:szCs w:val="24"/>
        </w:rPr>
        <w:t>证券简称：福鞍股份</w:t>
      </w:r>
    </w:p>
    <w:p w14:paraId="70AE0794" w14:textId="77777777" w:rsidR="00B01D3E" w:rsidRDefault="005461A0" w:rsidP="0032207E">
      <w:pPr>
        <w:spacing w:before="252" w:line="283" w:lineRule="auto"/>
        <w:ind w:left="3408" w:right="3522"/>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辽宁福鞍重工股份有限公司</w:t>
      </w:r>
    </w:p>
    <w:p w14:paraId="5F65AD81" w14:textId="77777777" w:rsidR="00B01D3E" w:rsidRDefault="005461A0" w:rsidP="0032207E">
      <w:pPr>
        <w:spacing w:before="252" w:line="283" w:lineRule="auto"/>
        <w:ind w:left="3408" w:right="3522" w:firstLineChars="100" w:firstLine="241"/>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投资者关系活动记录表</w:t>
      </w:r>
    </w:p>
    <w:p w14:paraId="5ABE07B3" w14:textId="017525A5" w:rsidR="00B01D3E" w:rsidRDefault="005461A0" w:rsidP="0032207E">
      <w:pPr>
        <w:jc w:val="both"/>
        <w:rPr>
          <w:rFonts w:hint="eastAsia"/>
          <w:lang w:val="en-US"/>
        </w:rPr>
      </w:pPr>
      <w:r>
        <w:rPr>
          <w:rFonts w:hint="eastAsia"/>
          <w:lang w:val="en-US"/>
        </w:rPr>
        <w:t>编号：</w:t>
      </w:r>
      <w:r w:rsidR="00215612">
        <w:rPr>
          <w:rFonts w:hint="eastAsia"/>
          <w:lang w:val="en-US"/>
        </w:rPr>
        <w:t>202</w:t>
      </w:r>
      <w:r w:rsidR="003E6161">
        <w:rPr>
          <w:lang w:val="en-US"/>
        </w:rPr>
        <w:t>4-</w:t>
      </w:r>
      <w:r w:rsidR="00D85651">
        <w:rPr>
          <w:rFonts w:hint="eastAsia"/>
          <w:lang w:val="en-US"/>
        </w:rPr>
        <w:t>001</w:t>
      </w:r>
    </w:p>
    <w:p w14:paraId="473A5610" w14:textId="77777777" w:rsidR="00B01D3E" w:rsidRDefault="00B01D3E" w:rsidP="0032207E">
      <w:pPr>
        <w:pStyle w:val="a3"/>
        <w:jc w:val="both"/>
        <w:rPr>
          <w:rFonts w:asciiTheme="minorEastAsia" w:eastAsiaTheme="minorEastAsia" w:hAnsiTheme="minorEastAsia" w:cstheme="minorEastAsia" w:hint="eastAsia"/>
          <w:b/>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54"/>
        <w:gridCol w:w="8363"/>
      </w:tblGrid>
      <w:tr w:rsidR="00B01D3E" w14:paraId="0136F792" w14:textId="77777777">
        <w:trPr>
          <w:trHeight w:val="2109"/>
        </w:trPr>
        <w:tc>
          <w:tcPr>
            <w:tcW w:w="1954" w:type="dxa"/>
          </w:tcPr>
          <w:p w14:paraId="24047D34" w14:textId="77777777" w:rsidR="00B01D3E" w:rsidRDefault="00B01D3E" w:rsidP="0032207E">
            <w:pPr>
              <w:pStyle w:val="TableParagraph"/>
              <w:spacing w:before="10"/>
              <w:ind w:left="0"/>
              <w:jc w:val="both"/>
              <w:rPr>
                <w:rFonts w:asciiTheme="minorEastAsia" w:eastAsiaTheme="minorEastAsia" w:hAnsiTheme="minorEastAsia" w:cstheme="minorEastAsia" w:hint="eastAsia"/>
                <w:b/>
                <w:sz w:val="24"/>
                <w:szCs w:val="24"/>
              </w:rPr>
            </w:pPr>
          </w:p>
          <w:p w14:paraId="5B44021D" w14:textId="77777777" w:rsidR="00B01D3E" w:rsidRDefault="005461A0" w:rsidP="004813C1">
            <w:pPr>
              <w:pStyle w:val="TableParagraph"/>
              <w:spacing w:line="290" w:lineRule="auto"/>
              <w:ind w:right="403"/>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投资者来访类别</w:t>
            </w:r>
          </w:p>
        </w:tc>
        <w:tc>
          <w:tcPr>
            <w:tcW w:w="8363" w:type="dxa"/>
          </w:tcPr>
          <w:p w14:paraId="5B1204A6" w14:textId="739A620C" w:rsidR="00B01D3E" w:rsidRDefault="00A12AE6" w:rsidP="0032207E">
            <w:pPr>
              <w:pStyle w:val="TableParagraph"/>
              <w:tabs>
                <w:tab w:val="left" w:pos="3189"/>
                <w:tab w:val="left" w:pos="6831"/>
              </w:tabs>
              <w:spacing w:before="250"/>
              <w:jc w:val="both"/>
              <w:rPr>
                <w:rFonts w:asciiTheme="minorEastAsia" w:eastAsiaTheme="minorEastAsia" w:hAnsiTheme="minorEastAsia" w:cstheme="minorEastAsia" w:hint="eastAsia"/>
                <w:sz w:val="24"/>
                <w:szCs w:val="24"/>
              </w:rPr>
            </w:pPr>
            <w:r w:rsidRPr="00A12AE6">
              <w:rPr>
                <w:rFonts w:asciiTheme="minorEastAsia" w:eastAsiaTheme="minorEastAsia" w:hAnsiTheme="minorEastAsia" w:cstheme="minorEastAsia" w:hint="eastAsia"/>
                <w:spacing w:val="-3"/>
                <w:sz w:val="24"/>
                <w:szCs w:val="24"/>
              </w:rPr>
              <w:t>√</w:t>
            </w:r>
            <w:r w:rsidR="005461A0">
              <w:rPr>
                <w:rFonts w:asciiTheme="minorEastAsia" w:eastAsiaTheme="minorEastAsia" w:hAnsiTheme="minorEastAsia" w:cstheme="minorEastAsia" w:hint="eastAsia"/>
                <w:sz w:val="24"/>
                <w:szCs w:val="24"/>
              </w:rPr>
              <w:t>特定对象调研</w:t>
            </w:r>
            <w:r w:rsidR="005461A0">
              <w:rPr>
                <w:rFonts w:asciiTheme="minorEastAsia" w:eastAsiaTheme="minorEastAsia" w:hAnsiTheme="minorEastAsia" w:cstheme="minorEastAsia" w:hint="eastAsia"/>
                <w:sz w:val="24"/>
                <w:szCs w:val="24"/>
              </w:rPr>
              <w:tab/>
            </w:r>
            <w:r w:rsidR="005461A0">
              <w:rPr>
                <w:rFonts w:asciiTheme="minorEastAsia" w:eastAsiaTheme="minorEastAsia" w:hAnsiTheme="minorEastAsia" w:cstheme="minorEastAsia" w:hint="eastAsia"/>
                <w:spacing w:val="-3"/>
                <w:sz w:val="24"/>
                <w:szCs w:val="24"/>
              </w:rPr>
              <w:t>□</w:t>
            </w:r>
            <w:r w:rsidR="005461A0">
              <w:rPr>
                <w:rFonts w:asciiTheme="minorEastAsia" w:eastAsiaTheme="minorEastAsia" w:hAnsiTheme="minorEastAsia" w:cstheme="minorEastAsia" w:hint="eastAsia"/>
                <w:sz w:val="24"/>
                <w:szCs w:val="24"/>
              </w:rPr>
              <w:t>分析师会议</w:t>
            </w:r>
            <w:r w:rsidR="005461A0">
              <w:rPr>
                <w:rFonts w:asciiTheme="minorEastAsia" w:eastAsiaTheme="minorEastAsia" w:hAnsiTheme="minorEastAsia" w:cstheme="minorEastAsia" w:hint="eastAsia"/>
                <w:sz w:val="24"/>
                <w:szCs w:val="24"/>
              </w:rPr>
              <w:tab/>
            </w:r>
            <w:r w:rsidR="005461A0">
              <w:rPr>
                <w:rFonts w:asciiTheme="minorEastAsia" w:eastAsiaTheme="minorEastAsia" w:hAnsiTheme="minorEastAsia" w:cstheme="minorEastAsia" w:hint="eastAsia"/>
                <w:spacing w:val="-3"/>
                <w:sz w:val="24"/>
                <w:szCs w:val="24"/>
              </w:rPr>
              <w:t>□</w:t>
            </w:r>
            <w:r w:rsidR="005461A0">
              <w:rPr>
                <w:rFonts w:asciiTheme="minorEastAsia" w:eastAsiaTheme="minorEastAsia" w:hAnsiTheme="minorEastAsia" w:cstheme="minorEastAsia" w:hint="eastAsia"/>
                <w:sz w:val="24"/>
                <w:szCs w:val="24"/>
              </w:rPr>
              <w:t>媒体采访</w:t>
            </w:r>
          </w:p>
          <w:p w14:paraId="5D4946A5" w14:textId="77777777" w:rsidR="00B01D3E" w:rsidRDefault="00B01D3E" w:rsidP="0032207E">
            <w:pPr>
              <w:pStyle w:val="TableParagraph"/>
              <w:spacing w:before="8"/>
              <w:ind w:left="0"/>
              <w:jc w:val="both"/>
              <w:rPr>
                <w:rFonts w:asciiTheme="minorEastAsia" w:eastAsiaTheme="minorEastAsia" w:hAnsiTheme="minorEastAsia" w:cstheme="minorEastAsia" w:hint="eastAsia"/>
                <w:b/>
                <w:sz w:val="24"/>
                <w:szCs w:val="24"/>
              </w:rPr>
            </w:pPr>
          </w:p>
          <w:p w14:paraId="5F2808D2" w14:textId="0370580F" w:rsidR="00B01D3E" w:rsidRDefault="005461A0" w:rsidP="0032207E">
            <w:pPr>
              <w:pStyle w:val="TableParagraph"/>
              <w:tabs>
                <w:tab w:val="left" w:pos="3189"/>
                <w:tab w:val="left" w:pos="6831"/>
              </w:tabs>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z w:val="24"/>
                <w:szCs w:val="24"/>
              </w:rPr>
              <w:t>业绩说明会</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z w:val="24"/>
                <w:szCs w:val="24"/>
              </w:rPr>
              <w:t>新闻发布会</w:t>
            </w:r>
            <w:r>
              <w:rPr>
                <w:rFonts w:asciiTheme="minorEastAsia" w:eastAsiaTheme="minorEastAsia" w:hAnsiTheme="minorEastAsia" w:cstheme="minorEastAsia" w:hint="eastAsia"/>
                <w:sz w:val="24"/>
                <w:szCs w:val="24"/>
              </w:rPr>
              <w:tab/>
            </w:r>
            <w:r w:rsidR="00D85651" w:rsidRPr="00D85651">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z w:val="24"/>
                <w:szCs w:val="24"/>
              </w:rPr>
              <w:t>现场参观</w:t>
            </w:r>
          </w:p>
          <w:p w14:paraId="1DE75B2D" w14:textId="77777777" w:rsidR="00B01D3E" w:rsidRDefault="00B01D3E" w:rsidP="0032207E">
            <w:pPr>
              <w:pStyle w:val="TableParagraph"/>
              <w:spacing w:before="8"/>
              <w:ind w:left="0"/>
              <w:jc w:val="both"/>
              <w:rPr>
                <w:rFonts w:asciiTheme="minorEastAsia" w:eastAsiaTheme="minorEastAsia" w:hAnsiTheme="minorEastAsia" w:cstheme="minorEastAsia" w:hint="eastAsia"/>
                <w:b/>
                <w:sz w:val="24"/>
                <w:szCs w:val="24"/>
              </w:rPr>
            </w:pPr>
          </w:p>
          <w:p w14:paraId="4FA17CA0" w14:textId="77777777" w:rsidR="00B01D3E" w:rsidRDefault="005461A0" w:rsidP="0032207E">
            <w:pPr>
              <w:pStyle w:val="TableParagraph"/>
              <w:tabs>
                <w:tab w:val="left" w:pos="3189"/>
                <w:tab w:val="left" w:pos="6615"/>
              </w:tabs>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z w:val="24"/>
                <w:szCs w:val="24"/>
              </w:rPr>
              <w:t>一对一沟通</w:t>
            </w:r>
            <w:r>
              <w:rPr>
                <w:rFonts w:asciiTheme="minorEastAsia" w:eastAsiaTheme="minorEastAsia" w:hAnsiTheme="minorEastAsia" w:cstheme="minorEastAsia" w:hint="eastAsia"/>
                <w:sz w:val="24"/>
                <w:szCs w:val="24"/>
              </w:rPr>
              <w:tab/>
            </w:r>
            <w:r>
              <w:rPr>
                <w:rFonts w:asciiTheme="minorEastAsia" w:eastAsiaTheme="minorEastAsia" w:hAnsiTheme="minorEastAsia" w:cstheme="minorEastAsia" w:hint="eastAsia"/>
                <w:spacing w:val="-3"/>
                <w:sz w:val="24"/>
                <w:szCs w:val="24"/>
              </w:rPr>
              <w:t>□</w:t>
            </w:r>
            <w:r>
              <w:rPr>
                <w:rFonts w:asciiTheme="minorEastAsia" w:eastAsiaTheme="minorEastAsia" w:hAnsiTheme="minorEastAsia" w:cstheme="minorEastAsia" w:hint="eastAsia"/>
                <w:sz w:val="24"/>
                <w:szCs w:val="24"/>
              </w:rPr>
              <w:t>其他</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ab/>
            </w:r>
          </w:p>
        </w:tc>
      </w:tr>
      <w:tr w:rsidR="00B01D3E" w14:paraId="4303C821" w14:textId="77777777">
        <w:trPr>
          <w:trHeight w:val="1240"/>
        </w:trPr>
        <w:tc>
          <w:tcPr>
            <w:tcW w:w="1954" w:type="dxa"/>
          </w:tcPr>
          <w:p w14:paraId="34C44FAA" w14:textId="77777777" w:rsidR="00B01D3E" w:rsidRDefault="00B01D3E" w:rsidP="0032207E">
            <w:pPr>
              <w:pStyle w:val="TableParagraph"/>
              <w:spacing w:before="1"/>
              <w:ind w:left="0"/>
              <w:jc w:val="both"/>
              <w:rPr>
                <w:rFonts w:asciiTheme="minorEastAsia" w:eastAsiaTheme="minorEastAsia" w:hAnsiTheme="minorEastAsia" w:cstheme="minorEastAsia" w:hint="eastAsia"/>
                <w:b/>
                <w:sz w:val="24"/>
                <w:szCs w:val="24"/>
              </w:rPr>
            </w:pPr>
          </w:p>
          <w:p w14:paraId="6A310C5D" w14:textId="77777777" w:rsidR="00B01D3E" w:rsidRDefault="005461A0" w:rsidP="0032207E">
            <w:pPr>
              <w:pStyle w:val="TableParagraph"/>
              <w:spacing w:line="290" w:lineRule="auto"/>
              <w:ind w:left="273" w:right="123" w:hanging="142"/>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来访单位名称及人员名称</w:t>
            </w:r>
          </w:p>
        </w:tc>
        <w:tc>
          <w:tcPr>
            <w:tcW w:w="8363" w:type="dxa"/>
            <w:vAlign w:val="center"/>
          </w:tcPr>
          <w:p w14:paraId="023193E7" w14:textId="7884E683" w:rsidR="00B01D3E" w:rsidRPr="00A54D63" w:rsidRDefault="00D85651" w:rsidP="00A54D63">
            <w:pPr>
              <w:pStyle w:val="TableParagraph"/>
              <w:jc w:val="both"/>
              <w:rPr>
                <w:rFonts w:asciiTheme="minorEastAsia" w:eastAsiaTheme="minorEastAsia" w:hAnsiTheme="minorEastAsia" w:cstheme="minorEastAsia" w:hint="eastAsia"/>
                <w:sz w:val="24"/>
                <w:szCs w:val="24"/>
              </w:rPr>
            </w:pPr>
            <w:r w:rsidRPr="00D85651">
              <w:rPr>
                <w:rFonts w:asciiTheme="minorEastAsia" w:eastAsiaTheme="minorEastAsia" w:hAnsiTheme="minorEastAsia" w:cstheme="minorEastAsia" w:hint="eastAsia"/>
                <w:sz w:val="24"/>
                <w:szCs w:val="24"/>
              </w:rPr>
              <w:t>中金银海（香港）基金有限公司雍心</w:t>
            </w:r>
            <w:r>
              <w:rPr>
                <w:rFonts w:asciiTheme="minorEastAsia" w:eastAsiaTheme="minorEastAsia" w:hAnsiTheme="minorEastAsia" w:cstheme="minorEastAsia" w:hint="eastAsia"/>
                <w:sz w:val="24"/>
                <w:szCs w:val="24"/>
              </w:rPr>
              <w:t>、</w:t>
            </w:r>
            <w:r w:rsidRPr="00D85651">
              <w:rPr>
                <w:rFonts w:asciiTheme="minorEastAsia" w:eastAsiaTheme="minorEastAsia" w:hAnsiTheme="minorEastAsia" w:cstheme="minorEastAsia" w:hint="eastAsia"/>
                <w:sz w:val="24"/>
                <w:szCs w:val="24"/>
              </w:rPr>
              <w:t>诺泉</w:t>
            </w:r>
            <w:r>
              <w:rPr>
                <w:rFonts w:asciiTheme="minorEastAsia" w:eastAsiaTheme="minorEastAsia" w:hAnsiTheme="minorEastAsia" w:cstheme="minorEastAsia" w:hint="eastAsia"/>
                <w:sz w:val="24"/>
                <w:szCs w:val="24"/>
              </w:rPr>
              <w:t>投资</w:t>
            </w:r>
            <w:r w:rsidRPr="00D85651">
              <w:rPr>
                <w:rFonts w:asciiTheme="minorEastAsia" w:eastAsiaTheme="minorEastAsia" w:hAnsiTheme="minorEastAsia" w:cstheme="minorEastAsia" w:hint="eastAsia"/>
                <w:sz w:val="24"/>
                <w:szCs w:val="24"/>
              </w:rPr>
              <w:t>吴伟</w:t>
            </w:r>
            <w:r>
              <w:rPr>
                <w:rFonts w:asciiTheme="minorEastAsia" w:eastAsiaTheme="minorEastAsia" w:hAnsiTheme="minorEastAsia" w:cstheme="minorEastAsia" w:hint="eastAsia"/>
                <w:sz w:val="24"/>
                <w:szCs w:val="24"/>
              </w:rPr>
              <w:t>、</w:t>
            </w:r>
            <w:r w:rsidRPr="00D85651">
              <w:rPr>
                <w:rFonts w:asciiTheme="minorEastAsia" w:eastAsiaTheme="minorEastAsia" w:hAnsiTheme="minorEastAsia" w:cstheme="minorEastAsia" w:hint="eastAsia"/>
                <w:sz w:val="24"/>
                <w:szCs w:val="24"/>
              </w:rPr>
              <w:t>赢仕</w:t>
            </w:r>
            <w:r>
              <w:rPr>
                <w:rFonts w:asciiTheme="minorEastAsia" w:eastAsiaTheme="minorEastAsia" w:hAnsiTheme="minorEastAsia" w:cstheme="minorEastAsia" w:hint="eastAsia"/>
                <w:sz w:val="24"/>
                <w:szCs w:val="24"/>
              </w:rPr>
              <w:t>投资</w:t>
            </w:r>
            <w:r w:rsidRPr="00D85651">
              <w:rPr>
                <w:rFonts w:asciiTheme="minorEastAsia" w:eastAsiaTheme="minorEastAsia" w:hAnsiTheme="minorEastAsia" w:cstheme="minorEastAsia" w:hint="eastAsia"/>
                <w:sz w:val="24"/>
                <w:szCs w:val="24"/>
              </w:rPr>
              <w:t>李柯兵</w:t>
            </w:r>
            <w:r>
              <w:rPr>
                <w:rFonts w:asciiTheme="minorEastAsia" w:eastAsiaTheme="minorEastAsia" w:hAnsiTheme="minorEastAsia" w:cstheme="minorEastAsia" w:hint="eastAsia"/>
                <w:sz w:val="24"/>
                <w:szCs w:val="24"/>
              </w:rPr>
              <w:t>、中航证券辽宁分公司徐秋兰</w:t>
            </w:r>
          </w:p>
        </w:tc>
      </w:tr>
      <w:tr w:rsidR="00B01D3E" w14:paraId="7C9A0073" w14:textId="77777777">
        <w:trPr>
          <w:trHeight w:val="719"/>
        </w:trPr>
        <w:tc>
          <w:tcPr>
            <w:tcW w:w="1954" w:type="dxa"/>
          </w:tcPr>
          <w:p w14:paraId="03217136" w14:textId="77777777" w:rsidR="00B01D3E" w:rsidRDefault="005461A0" w:rsidP="0032207E">
            <w:pPr>
              <w:pStyle w:val="TableParagraph"/>
              <w:spacing w:before="88"/>
              <w:ind w:left="92" w:right="82"/>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来访时间</w:t>
            </w:r>
          </w:p>
        </w:tc>
        <w:tc>
          <w:tcPr>
            <w:tcW w:w="8363" w:type="dxa"/>
          </w:tcPr>
          <w:p w14:paraId="3500D938" w14:textId="6928A4D2" w:rsidR="00B01D3E" w:rsidRDefault="00D85651" w:rsidP="00A54D63">
            <w:pPr>
              <w:pStyle w:val="TableParagraph"/>
              <w:spacing w:before="18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2024年11月19日</w:t>
            </w:r>
          </w:p>
        </w:tc>
      </w:tr>
      <w:tr w:rsidR="00B01D3E" w14:paraId="2DD6DD22" w14:textId="77777777">
        <w:trPr>
          <w:trHeight w:val="664"/>
        </w:trPr>
        <w:tc>
          <w:tcPr>
            <w:tcW w:w="1954" w:type="dxa"/>
          </w:tcPr>
          <w:p w14:paraId="3B103B15" w14:textId="77777777" w:rsidR="00B01D3E" w:rsidRDefault="005461A0" w:rsidP="0032207E">
            <w:pPr>
              <w:pStyle w:val="TableParagraph"/>
              <w:spacing w:before="61"/>
              <w:ind w:left="92" w:right="82"/>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来访地点</w:t>
            </w:r>
          </w:p>
        </w:tc>
        <w:tc>
          <w:tcPr>
            <w:tcW w:w="8363" w:type="dxa"/>
          </w:tcPr>
          <w:p w14:paraId="78B75F7B" w14:textId="7CECAACD" w:rsidR="00B01D3E" w:rsidRDefault="00D85651" w:rsidP="00215612">
            <w:pPr>
              <w:pStyle w:val="TableParagraph"/>
              <w:spacing w:before="154"/>
              <w:ind w:left="0"/>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公司现场</w:t>
            </w:r>
          </w:p>
        </w:tc>
      </w:tr>
      <w:tr w:rsidR="00B01D3E" w14:paraId="5891B537" w14:textId="77777777">
        <w:trPr>
          <w:trHeight w:val="834"/>
        </w:trPr>
        <w:tc>
          <w:tcPr>
            <w:tcW w:w="1954" w:type="dxa"/>
            <w:tcBorders>
              <w:bottom w:val="single" w:sz="6" w:space="0" w:color="000000"/>
            </w:tcBorders>
          </w:tcPr>
          <w:p w14:paraId="26EE271D" w14:textId="77777777" w:rsidR="00B01D3E" w:rsidRPr="00A54D63" w:rsidRDefault="00B01D3E" w:rsidP="0032207E">
            <w:pPr>
              <w:pStyle w:val="TableParagraph"/>
              <w:spacing w:before="2"/>
              <w:ind w:left="0"/>
              <w:jc w:val="both"/>
              <w:rPr>
                <w:rFonts w:asciiTheme="minorEastAsia" w:eastAsiaTheme="minorEastAsia" w:hAnsiTheme="minorEastAsia" w:cstheme="minorEastAsia" w:hint="eastAsia"/>
                <w:b/>
                <w:sz w:val="24"/>
                <w:szCs w:val="24"/>
              </w:rPr>
            </w:pPr>
          </w:p>
          <w:p w14:paraId="195F3B22" w14:textId="77777777" w:rsidR="00B01D3E" w:rsidRPr="00A54D63" w:rsidRDefault="005461A0" w:rsidP="0032207E">
            <w:pPr>
              <w:pStyle w:val="TableParagraph"/>
              <w:ind w:left="92" w:right="131"/>
              <w:jc w:val="both"/>
              <w:rPr>
                <w:rFonts w:asciiTheme="minorEastAsia" w:eastAsiaTheme="minorEastAsia" w:hAnsiTheme="minorEastAsia" w:cstheme="minorEastAsia" w:hint="eastAsia"/>
                <w:b/>
                <w:sz w:val="24"/>
                <w:szCs w:val="24"/>
              </w:rPr>
            </w:pPr>
            <w:r w:rsidRPr="00A54D63">
              <w:rPr>
                <w:rFonts w:asciiTheme="minorEastAsia" w:eastAsiaTheme="minorEastAsia" w:hAnsiTheme="minorEastAsia" w:cstheme="minorEastAsia" w:hint="eastAsia"/>
                <w:b/>
                <w:sz w:val="24"/>
                <w:szCs w:val="24"/>
              </w:rPr>
              <w:t>公司接待人员</w:t>
            </w:r>
          </w:p>
        </w:tc>
        <w:tc>
          <w:tcPr>
            <w:tcW w:w="8363" w:type="dxa"/>
            <w:tcBorders>
              <w:bottom w:val="single" w:sz="6" w:space="0" w:color="000000"/>
            </w:tcBorders>
            <w:vAlign w:val="center"/>
          </w:tcPr>
          <w:p w14:paraId="756C58A5" w14:textId="1B90CCF1" w:rsidR="00B01D3E" w:rsidRPr="00A54D63" w:rsidRDefault="00D85651" w:rsidP="0032207E">
            <w:pPr>
              <w:pStyle w:val="TableParagraph"/>
              <w:jc w:val="both"/>
              <w:rPr>
                <w:rFonts w:asciiTheme="minorEastAsia" w:eastAsiaTheme="minorEastAsia" w:hAnsiTheme="minorEastAsia" w:cstheme="minorEastAsia" w:hint="eastAsia"/>
                <w:sz w:val="24"/>
                <w:szCs w:val="24"/>
                <w:lang w:val="en-US"/>
              </w:rPr>
            </w:pPr>
            <w:r>
              <w:rPr>
                <w:rFonts w:asciiTheme="minorEastAsia" w:eastAsiaTheme="minorEastAsia" w:hAnsiTheme="minorEastAsia" w:cstheme="minorEastAsia" w:hint="eastAsia"/>
                <w:sz w:val="24"/>
                <w:szCs w:val="24"/>
                <w:lang w:val="en-US"/>
              </w:rPr>
              <w:t>穆建华、王丹阳</w:t>
            </w:r>
          </w:p>
        </w:tc>
      </w:tr>
      <w:tr w:rsidR="00B01D3E" w14:paraId="41B92CEB" w14:textId="77777777" w:rsidTr="00A81968">
        <w:trPr>
          <w:trHeight w:val="2962"/>
        </w:trPr>
        <w:tc>
          <w:tcPr>
            <w:tcW w:w="1954" w:type="dxa"/>
          </w:tcPr>
          <w:p w14:paraId="68E1E1CF" w14:textId="77777777" w:rsidR="00B01D3E" w:rsidRDefault="00B01D3E" w:rsidP="0032207E">
            <w:pPr>
              <w:pStyle w:val="TableParagraph"/>
              <w:ind w:left="0"/>
              <w:jc w:val="both"/>
              <w:rPr>
                <w:rFonts w:asciiTheme="minorEastAsia" w:eastAsiaTheme="minorEastAsia" w:hAnsiTheme="minorEastAsia" w:cstheme="minorEastAsia" w:hint="eastAsia"/>
                <w:b/>
                <w:sz w:val="24"/>
                <w:szCs w:val="24"/>
              </w:rPr>
            </w:pPr>
          </w:p>
          <w:p w14:paraId="3CA0B271" w14:textId="77777777" w:rsidR="00B01D3E" w:rsidRDefault="00B01D3E" w:rsidP="0032207E">
            <w:pPr>
              <w:pStyle w:val="TableParagraph"/>
              <w:ind w:left="0"/>
              <w:jc w:val="both"/>
              <w:rPr>
                <w:rFonts w:asciiTheme="minorEastAsia" w:eastAsiaTheme="minorEastAsia" w:hAnsiTheme="minorEastAsia" w:cstheme="minorEastAsia" w:hint="eastAsia"/>
                <w:b/>
                <w:sz w:val="24"/>
                <w:szCs w:val="24"/>
              </w:rPr>
            </w:pPr>
          </w:p>
          <w:p w14:paraId="0DA59835" w14:textId="77777777" w:rsidR="00B01D3E" w:rsidRPr="003E6161" w:rsidRDefault="00B01D3E" w:rsidP="0032207E">
            <w:pPr>
              <w:pStyle w:val="TableParagraph"/>
              <w:ind w:left="0"/>
              <w:jc w:val="both"/>
              <w:rPr>
                <w:rFonts w:asciiTheme="minorEastAsia" w:eastAsiaTheme="minorEastAsia" w:hAnsiTheme="minorEastAsia" w:cstheme="minorEastAsia" w:hint="eastAsia"/>
                <w:b/>
                <w:sz w:val="24"/>
                <w:szCs w:val="24"/>
                <w:lang w:val="en-US"/>
              </w:rPr>
            </w:pPr>
          </w:p>
          <w:p w14:paraId="24CCE8A5" w14:textId="77777777" w:rsidR="00B01D3E" w:rsidRDefault="00B01D3E" w:rsidP="0032207E">
            <w:pPr>
              <w:pStyle w:val="TableParagraph"/>
              <w:spacing w:before="11"/>
              <w:ind w:left="0"/>
              <w:jc w:val="both"/>
              <w:rPr>
                <w:rFonts w:asciiTheme="minorEastAsia" w:eastAsiaTheme="minorEastAsia" w:hAnsiTheme="minorEastAsia" w:cstheme="minorEastAsia" w:hint="eastAsia"/>
                <w:b/>
                <w:sz w:val="24"/>
                <w:szCs w:val="24"/>
              </w:rPr>
            </w:pPr>
          </w:p>
          <w:p w14:paraId="6405CF0A" w14:textId="77777777" w:rsidR="00B01D3E" w:rsidRDefault="005461A0" w:rsidP="0032207E">
            <w:pPr>
              <w:pStyle w:val="TableParagraph"/>
              <w:spacing w:line="290" w:lineRule="auto"/>
              <w:ind w:left="131" w:right="123" w:firstLine="129"/>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投资者来访主要内容介绍</w:t>
            </w:r>
          </w:p>
        </w:tc>
        <w:tc>
          <w:tcPr>
            <w:tcW w:w="8363" w:type="dxa"/>
          </w:tcPr>
          <w:p w14:paraId="7E160BE9" w14:textId="24DF7D45" w:rsidR="00D85651" w:rsidRDefault="00B84977"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1</w:t>
            </w:r>
            <w:r w:rsidR="00D85651" w:rsidRPr="00D85651">
              <w:rPr>
                <w:rFonts w:asciiTheme="minorEastAsia" w:hAnsiTheme="minorEastAsia" w:hint="eastAsia"/>
                <w:sz w:val="24"/>
                <w:szCs w:val="24"/>
              </w:rPr>
              <w:t>.公司情况介绍</w:t>
            </w:r>
          </w:p>
          <w:p w14:paraId="46ED4E18" w14:textId="77777777" w:rsidR="006B3FFA" w:rsidRDefault="006B3FFA" w:rsidP="006B3FFA">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答：</w:t>
            </w:r>
            <w:r w:rsidRPr="006B3FFA">
              <w:rPr>
                <w:rFonts w:asciiTheme="minorEastAsia" w:hAnsiTheme="minorEastAsia" w:hint="eastAsia"/>
                <w:sz w:val="24"/>
                <w:szCs w:val="24"/>
              </w:rPr>
              <w:t>辽宁福鞍重工股份有限公司成立于2004年，于2015年在上</w:t>
            </w:r>
            <w:r>
              <w:rPr>
                <w:rFonts w:asciiTheme="minorEastAsia" w:hAnsiTheme="minorEastAsia" w:hint="eastAsia"/>
                <w:sz w:val="24"/>
                <w:szCs w:val="24"/>
              </w:rPr>
              <w:t>交所</w:t>
            </w:r>
            <w:r w:rsidRPr="006B3FFA">
              <w:rPr>
                <w:rFonts w:asciiTheme="minorEastAsia" w:hAnsiTheme="minorEastAsia" w:hint="eastAsia"/>
                <w:sz w:val="24"/>
                <w:szCs w:val="24"/>
              </w:rPr>
              <w:t>主板上市，股票代码603315，通过20年的发展，福鞍股份已成为一家涉足装备制造、能源环保服务、新能源新材料等产业的多元化企业。目前福鞍股份为装备制造板块与环境治理板块双主业经营。</w:t>
            </w:r>
          </w:p>
          <w:p w14:paraId="71CEF336" w14:textId="77777777" w:rsidR="006B3FFA" w:rsidRDefault="006B3FFA" w:rsidP="006B3FFA">
            <w:pPr>
              <w:widowControl/>
              <w:adjustRightInd w:val="0"/>
              <w:snapToGrid w:val="0"/>
              <w:spacing w:line="360" w:lineRule="auto"/>
              <w:ind w:firstLineChars="200" w:firstLine="480"/>
              <w:jc w:val="both"/>
              <w:rPr>
                <w:rFonts w:asciiTheme="minorEastAsia" w:hAnsiTheme="minorEastAsia" w:hint="eastAsia"/>
                <w:sz w:val="24"/>
                <w:szCs w:val="24"/>
              </w:rPr>
            </w:pPr>
            <w:r w:rsidRPr="006B3FFA">
              <w:rPr>
                <w:rFonts w:asciiTheme="minorEastAsia" w:hAnsiTheme="minorEastAsia" w:hint="eastAsia"/>
                <w:sz w:val="24"/>
                <w:szCs w:val="24"/>
              </w:rPr>
              <w:t>装备制造板块主要为重大技术装备配套大型铸钢件，主要产品为火电设备铸件、水电设备铸件以及轨道交通铸件，主要客户以世界500强企业为主，已与各大企业形成了长期稳固的合作关系。</w:t>
            </w:r>
          </w:p>
          <w:p w14:paraId="0806941B" w14:textId="30E59542" w:rsidR="006B3FFA" w:rsidRPr="006B3FFA" w:rsidRDefault="006B3FFA" w:rsidP="006B3FFA">
            <w:pPr>
              <w:widowControl/>
              <w:adjustRightInd w:val="0"/>
              <w:snapToGrid w:val="0"/>
              <w:spacing w:line="360" w:lineRule="auto"/>
              <w:ind w:firstLineChars="200" w:firstLine="480"/>
              <w:jc w:val="both"/>
              <w:rPr>
                <w:rFonts w:asciiTheme="minorEastAsia" w:hAnsiTheme="minorEastAsia" w:hint="eastAsia"/>
                <w:sz w:val="24"/>
                <w:szCs w:val="24"/>
              </w:rPr>
            </w:pPr>
            <w:r w:rsidRPr="006B3FFA">
              <w:rPr>
                <w:rFonts w:asciiTheme="minorEastAsia" w:hAnsiTheme="minorEastAsia" w:hint="eastAsia"/>
                <w:sz w:val="24"/>
                <w:szCs w:val="24"/>
              </w:rPr>
              <w:t>环境治理板块的经营主体是子公司辽宁冶金设计研究院，主营业务为烟气治理工程服务和能源管理工程服务。烟气治理方面，设计研究院主要面向钢铁行业冶金系统球团、烧结、矿山烟尘污染治理、市政供暖公司燃煤锅炉、垃圾焚烧炉、燃煤火力发电厂等提供配套的烟气治理工程设计服务、工程总承包服务、运营服务，主要涉及，脱硫、脱硝、除尘等领域。能源管理方面，设计研究院主要面向化工、钢铁等高耗能行业，提供热电联产余热利用及环保方面的工程设计服务、工程总承包服务。同时，设计研究院面向钢铁、市政、化工、</w:t>
            </w:r>
            <w:r w:rsidRPr="006B3FFA">
              <w:rPr>
                <w:rFonts w:asciiTheme="minorEastAsia" w:hAnsiTheme="minorEastAsia" w:hint="eastAsia"/>
                <w:sz w:val="24"/>
                <w:szCs w:val="24"/>
              </w:rPr>
              <w:lastRenderedPageBreak/>
              <w:t>电力等行业提供设计咨询服务。</w:t>
            </w:r>
          </w:p>
          <w:p w14:paraId="7EC7B247" w14:textId="7055040C" w:rsidR="006B3FFA" w:rsidRPr="006B3FFA" w:rsidRDefault="006B3FFA" w:rsidP="006B3FFA">
            <w:pPr>
              <w:widowControl/>
              <w:adjustRightInd w:val="0"/>
              <w:snapToGrid w:val="0"/>
              <w:spacing w:line="360" w:lineRule="auto"/>
              <w:ind w:firstLineChars="200" w:firstLine="480"/>
              <w:jc w:val="both"/>
              <w:rPr>
                <w:rFonts w:asciiTheme="minorEastAsia" w:hAnsiTheme="minorEastAsia" w:hint="eastAsia"/>
                <w:sz w:val="24"/>
                <w:szCs w:val="24"/>
              </w:rPr>
            </w:pPr>
            <w:r w:rsidRPr="006B3FFA">
              <w:rPr>
                <w:rFonts w:asciiTheme="minorEastAsia" w:hAnsiTheme="minorEastAsia" w:hint="eastAsia"/>
                <w:sz w:val="24"/>
                <w:szCs w:val="24"/>
              </w:rPr>
              <w:t>新能源方面，福鞍股份与贝特瑞新材料集团股份有限公司共同出资成立四川瑞鞍新材料科技有限公司，新公司坐落于四川省雅安市芦山经济开发区，是集基础研究、产品监测、生产销售于一体的锂电池负极产业的高新技术企业。目前已建成并投产。</w:t>
            </w:r>
          </w:p>
          <w:p w14:paraId="2ED3ECC5" w14:textId="56CDF013" w:rsidR="00D85651" w:rsidRPr="00D85651" w:rsidRDefault="006B3FFA" w:rsidP="006B3FFA">
            <w:pPr>
              <w:widowControl/>
              <w:adjustRightInd w:val="0"/>
              <w:snapToGrid w:val="0"/>
              <w:spacing w:line="360" w:lineRule="auto"/>
              <w:ind w:firstLineChars="200" w:firstLine="480"/>
              <w:jc w:val="both"/>
              <w:rPr>
                <w:rFonts w:asciiTheme="minorEastAsia" w:hAnsiTheme="minorEastAsia" w:hint="eastAsia"/>
                <w:sz w:val="24"/>
                <w:szCs w:val="24"/>
              </w:rPr>
            </w:pPr>
            <w:r w:rsidRPr="006B3FFA">
              <w:rPr>
                <w:rFonts w:asciiTheme="minorEastAsia" w:hAnsiTheme="minorEastAsia" w:hint="eastAsia"/>
                <w:sz w:val="24"/>
                <w:szCs w:val="24"/>
              </w:rPr>
              <w:t>福鞍股份以推动中国绿色能源发展为使命，以福纳社会、鞍载炳业为企业宗旨来助推企业高质量发展。</w:t>
            </w:r>
          </w:p>
          <w:p w14:paraId="132F169D" w14:textId="5BAD8BE7" w:rsidR="00D85651" w:rsidRDefault="006B3FFA"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2</w:t>
            </w:r>
            <w:r w:rsidR="00D85651" w:rsidRPr="00D85651">
              <w:rPr>
                <w:rFonts w:asciiTheme="minorEastAsia" w:hAnsiTheme="minorEastAsia" w:hint="eastAsia"/>
                <w:sz w:val="24"/>
                <w:szCs w:val="24"/>
              </w:rPr>
              <w:t>.</w:t>
            </w:r>
            <w:r>
              <w:rPr>
                <w:rFonts w:asciiTheme="minorEastAsia" w:hAnsiTheme="minorEastAsia" w:hint="eastAsia"/>
                <w:sz w:val="24"/>
                <w:szCs w:val="24"/>
              </w:rPr>
              <w:t>公司除了传统铸件产品以外，近期有没有新产品在研发？</w:t>
            </w:r>
          </w:p>
          <w:p w14:paraId="2D87A5D7" w14:textId="130691E0" w:rsidR="00497A26" w:rsidRPr="00497A26" w:rsidRDefault="006B3FFA" w:rsidP="00497A26">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答：</w:t>
            </w:r>
            <w:r w:rsidR="00497A26">
              <w:rPr>
                <w:rFonts w:asciiTheme="minorEastAsia" w:hAnsiTheme="minorEastAsia" w:hint="eastAsia"/>
                <w:sz w:val="24"/>
                <w:szCs w:val="24"/>
              </w:rPr>
              <w:t>1）</w:t>
            </w:r>
            <w:r w:rsidR="00497A26" w:rsidRPr="00497A26">
              <w:rPr>
                <w:rFonts w:asciiTheme="minorEastAsia" w:hAnsiTheme="minorEastAsia" w:hint="eastAsia"/>
                <w:sz w:val="24"/>
                <w:szCs w:val="24"/>
              </w:rPr>
              <w:t xml:space="preserve">公司2024年上半年完成了燃烧室兼压缩机排汽缸工艺升级。 </w:t>
            </w:r>
          </w:p>
          <w:p w14:paraId="47F1FE73" w14:textId="6FD9C708" w:rsidR="00497A26" w:rsidRPr="00497A26" w:rsidRDefault="00497A26" w:rsidP="00497A26">
            <w:pPr>
              <w:widowControl/>
              <w:adjustRightInd w:val="0"/>
              <w:snapToGrid w:val="0"/>
              <w:spacing w:line="360" w:lineRule="auto"/>
              <w:ind w:firstLineChars="400" w:firstLine="960"/>
              <w:jc w:val="both"/>
              <w:rPr>
                <w:rFonts w:asciiTheme="minorEastAsia" w:hAnsiTheme="minorEastAsia" w:hint="eastAsia"/>
                <w:sz w:val="24"/>
                <w:szCs w:val="24"/>
              </w:rPr>
            </w:pPr>
            <w:r>
              <w:rPr>
                <w:rFonts w:asciiTheme="minorEastAsia" w:hAnsiTheme="minorEastAsia" w:hint="eastAsia"/>
                <w:sz w:val="24"/>
                <w:szCs w:val="24"/>
              </w:rPr>
              <w:t>2）</w:t>
            </w:r>
            <w:r w:rsidRPr="00497A26">
              <w:rPr>
                <w:rFonts w:asciiTheme="minorEastAsia" w:hAnsiTheme="minorEastAsia" w:hint="eastAsia"/>
                <w:sz w:val="24"/>
                <w:szCs w:val="24"/>
              </w:rPr>
              <w:t>含钴含硼钢（CB2）的研发：公司按计划开展含钴含硼钢（CB2）高压内缸上、下半的研制，其中，首台套高压、超高压内缸产品已在4月顺利发货，产品性能、质量合格得到客户认可。</w:t>
            </w:r>
          </w:p>
          <w:p w14:paraId="29BB5759" w14:textId="21435512" w:rsidR="00497A26" w:rsidRPr="00497A26" w:rsidRDefault="00497A26" w:rsidP="00497A26">
            <w:pPr>
              <w:widowControl/>
              <w:adjustRightInd w:val="0"/>
              <w:snapToGrid w:val="0"/>
              <w:spacing w:line="360" w:lineRule="auto"/>
              <w:ind w:firstLineChars="400" w:firstLine="960"/>
              <w:jc w:val="both"/>
              <w:rPr>
                <w:rFonts w:asciiTheme="minorEastAsia" w:hAnsiTheme="minorEastAsia" w:hint="eastAsia"/>
                <w:sz w:val="24"/>
                <w:szCs w:val="24"/>
              </w:rPr>
            </w:pPr>
            <w:r>
              <w:rPr>
                <w:rFonts w:asciiTheme="minorEastAsia" w:hAnsiTheme="minorEastAsia" w:hint="eastAsia"/>
                <w:sz w:val="24"/>
                <w:szCs w:val="24"/>
              </w:rPr>
              <w:t>3）</w:t>
            </w:r>
            <w:r w:rsidRPr="00497A26">
              <w:rPr>
                <w:rFonts w:asciiTheme="minorEastAsia" w:hAnsiTheme="minorEastAsia" w:hint="eastAsia"/>
                <w:sz w:val="24"/>
                <w:szCs w:val="24"/>
              </w:rPr>
              <w:t>大型核电外缸的工艺研发取得阶段性成功：目前公司正在积极探索开发大型核电外缸生产工艺，针对核电产品的冶炼方案、外缸铸造工艺、热处理工艺、焊接工艺的设计已完成阶段性模拟开发，为产品的实际生产做准备。</w:t>
            </w:r>
          </w:p>
          <w:p w14:paraId="5823F470" w14:textId="67ACDFC0" w:rsidR="006B3FFA" w:rsidRPr="00D85651" w:rsidRDefault="00497A26" w:rsidP="00497A26">
            <w:pPr>
              <w:widowControl/>
              <w:adjustRightInd w:val="0"/>
              <w:snapToGrid w:val="0"/>
              <w:spacing w:line="360" w:lineRule="auto"/>
              <w:ind w:firstLineChars="400" w:firstLine="960"/>
              <w:jc w:val="both"/>
              <w:rPr>
                <w:rFonts w:asciiTheme="minorEastAsia" w:hAnsiTheme="minorEastAsia" w:hint="eastAsia"/>
                <w:sz w:val="24"/>
                <w:szCs w:val="24"/>
              </w:rPr>
            </w:pPr>
            <w:r>
              <w:rPr>
                <w:rFonts w:asciiTheme="minorEastAsia" w:hAnsiTheme="minorEastAsia" w:hint="eastAsia"/>
                <w:sz w:val="24"/>
                <w:szCs w:val="24"/>
              </w:rPr>
              <w:t>4）</w:t>
            </w:r>
            <w:r w:rsidRPr="00497A26">
              <w:rPr>
                <w:rFonts w:asciiTheme="minorEastAsia" w:hAnsiTheme="minorEastAsia" w:hint="eastAsia"/>
                <w:sz w:val="24"/>
                <w:szCs w:val="24"/>
              </w:rPr>
              <w:t>抽水储能电站转轮关键技术的开发</w:t>
            </w:r>
            <w:r>
              <w:rPr>
                <w:rFonts w:asciiTheme="minorEastAsia" w:hAnsiTheme="minorEastAsia" w:hint="eastAsia"/>
                <w:sz w:val="24"/>
                <w:szCs w:val="24"/>
              </w:rPr>
              <w:t>：</w:t>
            </w:r>
            <w:r w:rsidRPr="00497A26">
              <w:rPr>
                <w:rFonts w:asciiTheme="minorEastAsia" w:hAnsiTheme="minorEastAsia" w:hint="eastAsia"/>
                <w:sz w:val="24"/>
                <w:szCs w:val="24"/>
              </w:rPr>
              <w:t>公司开展了直径8米及以上抽水储能电站转轮关键技术的开发，其中包括上冠、下环、叶片生产工艺及技术的开发。现阶段公司已经完成相关工艺设计，产品陆续开展制造生产。</w:t>
            </w:r>
          </w:p>
          <w:p w14:paraId="578F8A6F" w14:textId="77777777" w:rsidR="00715337" w:rsidRDefault="00715337"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3</w:t>
            </w:r>
            <w:r w:rsidRPr="00715337">
              <w:rPr>
                <w:rFonts w:asciiTheme="minorEastAsia" w:hAnsiTheme="minorEastAsia" w:hint="eastAsia"/>
                <w:sz w:val="24"/>
                <w:szCs w:val="24"/>
              </w:rPr>
              <w:t>.</w:t>
            </w:r>
            <w:r>
              <w:rPr>
                <w:rFonts w:asciiTheme="minorEastAsia" w:hAnsiTheme="minorEastAsia" w:hint="eastAsia"/>
                <w:sz w:val="24"/>
                <w:szCs w:val="24"/>
              </w:rPr>
              <w:t>公司所处</w:t>
            </w:r>
            <w:r w:rsidRPr="00715337">
              <w:rPr>
                <w:rFonts w:asciiTheme="minorEastAsia" w:hAnsiTheme="minorEastAsia" w:hint="eastAsia"/>
                <w:sz w:val="24"/>
                <w:szCs w:val="24"/>
              </w:rPr>
              <w:t>铸造行业</w:t>
            </w:r>
            <w:r>
              <w:rPr>
                <w:rFonts w:asciiTheme="minorEastAsia" w:hAnsiTheme="minorEastAsia" w:hint="eastAsia"/>
                <w:sz w:val="24"/>
                <w:szCs w:val="24"/>
              </w:rPr>
              <w:t>细分领域是否存在技术壁垒，其他公司想要进入这一行业存在较大难度吗？</w:t>
            </w:r>
          </w:p>
          <w:p w14:paraId="4421457F" w14:textId="69FA54B2" w:rsidR="00715337" w:rsidRDefault="00715337"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答：公司的客户大部分是世界500强公司，作为世界知名企业，他们对于合格供应商的要求十分严格。</w:t>
            </w:r>
            <w:r w:rsidRPr="00715337">
              <w:rPr>
                <w:rFonts w:asciiTheme="minorEastAsia" w:hAnsiTheme="minorEastAsia" w:hint="eastAsia"/>
                <w:sz w:val="24"/>
                <w:szCs w:val="24"/>
              </w:rPr>
              <w:t>首先要审核公司</w:t>
            </w:r>
            <w:r>
              <w:rPr>
                <w:rFonts w:asciiTheme="minorEastAsia" w:hAnsiTheme="minorEastAsia" w:hint="eastAsia"/>
                <w:sz w:val="24"/>
                <w:szCs w:val="24"/>
              </w:rPr>
              <w:t>的</w:t>
            </w:r>
            <w:r w:rsidRPr="00715337">
              <w:rPr>
                <w:rFonts w:asciiTheme="minorEastAsia" w:hAnsiTheme="minorEastAsia" w:hint="eastAsia"/>
                <w:sz w:val="24"/>
                <w:szCs w:val="24"/>
              </w:rPr>
              <w:t>资质</w:t>
            </w:r>
            <w:r>
              <w:rPr>
                <w:rFonts w:asciiTheme="minorEastAsia" w:hAnsiTheme="minorEastAsia" w:hint="eastAsia"/>
                <w:sz w:val="24"/>
                <w:szCs w:val="24"/>
              </w:rPr>
              <w:t>、</w:t>
            </w:r>
            <w:r w:rsidRPr="00715337">
              <w:rPr>
                <w:rFonts w:asciiTheme="minorEastAsia" w:hAnsiTheme="minorEastAsia" w:hint="eastAsia"/>
                <w:sz w:val="24"/>
                <w:szCs w:val="24"/>
              </w:rPr>
              <w:t>工程体系</w:t>
            </w:r>
            <w:r>
              <w:rPr>
                <w:rFonts w:asciiTheme="minorEastAsia" w:hAnsiTheme="minorEastAsia" w:hint="eastAsia"/>
                <w:sz w:val="24"/>
                <w:szCs w:val="24"/>
              </w:rPr>
              <w:t>及质量管理流程等各道生产流程是否符合要求</w:t>
            </w:r>
            <w:r w:rsidRPr="00715337">
              <w:rPr>
                <w:rFonts w:asciiTheme="minorEastAsia" w:hAnsiTheme="minorEastAsia" w:hint="eastAsia"/>
                <w:sz w:val="24"/>
                <w:szCs w:val="24"/>
              </w:rPr>
              <w:t>，且审核时间</w:t>
            </w:r>
            <w:r>
              <w:rPr>
                <w:rFonts w:asciiTheme="minorEastAsia" w:hAnsiTheme="minorEastAsia" w:hint="eastAsia"/>
                <w:sz w:val="24"/>
                <w:szCs w:val="24"/>
              </w:rPr>
              <w:t>约为半年左右；审核通过后才会进行单一样品</w:t>
            </w:r>
            <w:r w:rsidRPr="00715337">
              <w:rPr>
                <w:rFonts w:asciiTheme="minorEastAsia" w:hAnsiTheme="minorEastAsia" w:hint="eastAsia"/>
                <w:sz w:val="24"/>
                <w:szCs w:val="24"/>
              </w:rPr>
              <w:t>试生产，</w:t>
            </w:r>
            <w:r>
              <w:rPr>
                <w:rFonts w:asciiTheme="minorEastAsia" w:hAnsiTheme="minorEastAsia" w:hint="eastAsia"/>
                <w:sz w:val="24"/>
                <w:szCs w:val="24"/>
              </w:rPr>
              <w:t>试生产的每道工序、产品质量全部合格后才会进行多个</w:t>
            </w:r>
            <w:r w:rsidRPr="00715337">
              <w:rPr>
                <w:rFonts w:asciiTheme="minorEastAsia" w:hAnsiTheme="minorEastAsia" w:hint="eastAsia"/>
                <w:sz w:val="24"/>
                <w:szCs w:val="24"/>
              </w:rPr>
              <w:t>样品试生产，全部合格后才能成为</w:t>
            </w:r>
            <w:r>
              <w:rPr>
                <w:rFonts w:asciiTheme="minorEastAsia" w:hAnsiTheme="minorEastAsia" w:hint="eastAsia"/>
                <w:sz w:val="24"/>
                <w:szCs w:val="24"/>
              </w:rPr>
              <w:t>合格</w:t>
            </w:r>
            <w:r w:rsidRPr="00715337">
              <w:rPr>
                <w:rFonts w:asciiTheme="minorEastAsia" w:hAnsiTheme="minorEastAsia" w:hint="eastAsia"/>
                <w:sz w:val="24"/>
                <w:szCs w:val="24"/>
              </w:rPr>
              <w:t>供应商</w:t>
            </w:r>
            <w:r>
              <w:rPr>
                <w:rFonts w:asciiTheme="minorEastAsia" w:hAnsiTheme="minorEastAsia" w:hint="eastAsia"/>
                <w:sz w:val="24"/>
                <w:szCs w:val="24"/>
              </w:rPr>
              <w:t>，整个过程</w:t>
            </w:r>
            <w:r w:rsidRPr="00715337">
              <w:rPr>
                <w:rFonts w:asciiTheme="minorEastAsia" w:hAnsiTheme="minorEastAsia" w:hint="eastAsia"/>
                <w:sz w:val="24"/>
                <w:szCs w:val="24"/>
              </w:rPr>
              <w:t>大约耗时两年半，</w:t>
            </w:r>
            <w:r>
              <w:rPr>
                <w:rFonts w:asciiTheme="minorEastAsia" w:hAnsiTheme="minorEastAsia" w:hint="eastAsia"/>
                <w:sz w:val="24"/>
                <w:szCs w:val="24"/>
              </w:rPr>
              <w:t>且随着客户产品需求的多样化及技术进步，要</w:t>
            </w:r>
            <w:r w:rsidR="00F14552">
              <w:rPr>
                <w:rFonts w:asciiTheme="minorEastAsia" w:hAnsiTheme="minorEastAsia" w:hint="eastAsia"/>
                <w:sz w:val="24"/>
                <w:szCs w:val="24"/>
              </w:rPr>
              <w:t>不断提高公司的生产水平，才能与客户建立长久的合作关系。因此，公司与客户</w:t>
            </w:r>
            <w:r w:rsidRPr="00715337">
              <w:rPr>
                <w:rFonts w:asciiTheme="minorEastAsia" w:hAnsiTheme="minorEastAsia" w:hint="eastAsia"/>
                <w:sz w:val="24"/>
                <w:szCs w:val="24"/>
              </w:rPr>
              <w:t>粘性</w:t>
            </w:r>
            <w:r w:rsidR="00F14552">
              <w:rPr>
                <w:rFonts w:asciiTheme="minorEastAsia" w:hAnsiTheme="minorEastAsia" w:hint="eastAsia"/>
                <w:sz w:val="24"/>
                <w:szCs w:val="24"/>
              </w:rPr>
              <w:t>较</w:t>
            </w:r>
            <w:r w:rsidRPr="00715337">
              <w:rPr>
                <w:rFonts w:asciiTheme="minorEastAsia" w:hAnsiTheme="minorEastAsia" w:hint="eastAsia"/>
                <w:sz w:val="24"/>
                <w:szCs w:val="24"/>
              </w:rPr>
              <w:t>高，</w:t>
            </w:r>
            <w:r w:rsidR="00F14552">
              <w:rPr>
                <w:rFonts w:asciiTheme="minorEastAsia" w:hAnsiTheme="minorEastAsia" w:hint="eastAsia"/>
                <w:sz w:val="24"/>
                <w:szCs w:val="24"/>
              </w:rPr>
              <w:t>新进入的企业难以获得客户资源，也无法进行持续的研发投入</w:t>
            </w:r>
            <w:r w:rsidRPr="00715337">
              <w:rPr>
                <w:rFonts w:asciiTheme="minorEastAsia" w:hAnsiTheme="minorEastAsia" w:hint="eastAsia"/>
                <w:sz w:val="24"/>
                <w:szCs w:val="24"/>
              </w:rPr>
              <w:t>。</w:t>
            </w:r>
          </w:p>
          <w:p w14:paraId="0CE08FA3" w14:textId="62C2A0CD" w:rsidR="00F14552" w:rsidRDefault="00F14552"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4.</w:t>
            </w:r>
            <w:r>
              <w:rPr>
                <w:rFonts w:hint="eastAsia"/>
              </w:rPr>
              <w:t xml:space="preserve"> </w:t>
            </w:r>
            <w:r w:rsidRPr="00F14552">
              <w:rPr>
                <w:rFonts w:asciiTheme="minorEastAsia" w:hAnsiTheme="minorEastAsia" w:hint="eastAsia"/>
                <w:sz w:val="24"/>
                <w:szCs w:val="24"/>
              </w:rPr>
              <w:t>合资公司产能怎么样？</w:t>
            </w:r>
          </w:p>
          <w:p w14:paraId="0FAF1157" w14:textId="43D03904" w:rsidR="00F14552" w:rsidRDefault="00F14552" w:rsidP="00D85651">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答：合资公司为</w:t>
            </w:r>
            <w:r w:rsidR="00E92214" w:rsidRPr="00E92214">
              <w:rPr>
                <w:rFonts w:asciiTheme="minorEastAsia" w:hAnsiTheme="minorEastAsia" w:hint="eastAsia"/>
                <w:sz w:val="24"/>
                <w:szCs w:val="24"/>
              </w:rPr>
              <w:t>年产10万吨锂电池负极材料一体化生产线</w:t>
            </w:r>
            <w:r w:rsidR="00E92214">
              <w:rPr>
                <w:rFonts w:asciiTheme="minorEastAsia" w:hAnsiTheme="minorEastAsia" w:hint="eastAsia"/>
                <w:sz w:val="24"/>
                <w:szCs w:val="24"/>
              </w:rPr>
              <w:t>业务</w:t>
            </w:r>
            <w:r w:rsidR="00E92214" w:rsidRPr="00E92214">
              <w:rPr>
                <w:rFonts w:asciiTheme="minorEastAsia" w:hAnsiTheme="minorEastAsia" w:hint="eastAsia"/>
                <w:sz w:val="24"/>
                <w:szCs w:val="24"/>
              </w:rPr>
              <w:t>，</w:t>
            </w:r>
            <w:r w:rsidR="00E92214">
              <w:rPr>
                <w:rFonts w:asciiTheme="minorEastAsia" w:hAnsiTheme="minorEastAsia" w:hint="eastAsia"/>
                <w:sz w:val="24"/>
                <w:szCs w:val="24"/>
              </w:rPr>
              <w:t>2023年已经开始盈利，目前经营情况较好。</w:t>
            </w:r>
          </w:p>
          <w:p w14:paraId="2725F7A8" w14:textId="60518224" w:rsidR="00D85651" w:rsidRDefault="00D85651" w:rsidP="00E92214">
            <w:pPr>
              <w:widowControl/>
              <w:adjustRightInd w:val="0"/>
              <w:snapToGrid w:val="0"/>
              <w:spacing w:line="360" w:lineRule="auto"/>
              <w:ind w:firstLineChars="200" w:firstLine="480"/>
              <w:jc w:val="both"/>
              <w:rPr>
                <w:rFonts w:asciiTheme="minorEastAsia" w:hAnsiTheme="minorEastAsia" w:hint="eastAsia"/>
                <w:sz w:val="24"/>
                <w:szCs w:val="24"/>
              </w:rPr>
            </w:pPr>
            <w:r w:rsidRPr="00D85651">
              <w:rPr>
                <w:rFonts w:asciiTheme="minorEastAsia" w:hAnsiTheme="minorEastAsia" w:hint="eastAsia"/>
                <w:sz w:val="24"/>
                <w:szCs w:val="24"/>
              </w:rPr>
              <w:t>5.</w:t>
            </w:r>
            <w:r w:rsidR="00E92214">
              <w:rPr>
                <w:rFonts w:asciiTheme="minorEastAsia" w:hAnsiTheme="minorEastAsia" w:hint="eastAsia"/>
                <w:sz w:val="24"/>
                <w:szCs w:val="24"/>
              </w:rPr>
              <w:t>从半年报和三季报看，公司目前业绩</w:t>
            </w:r>
            <w:r w:rsidR="00BF2CC6">
              <w:rPr>
                <w:rFonts w:asciiTheme="minorEastAsia" w:hAnsiTheme="minorEastAsia" w:hint="eastAsia"/>
                <w:sz w:val="24"/>
                <w:szCs w:val="24"/>
              </w:rPr>
              <w:t>处于增长态势，请问这种增长可持</w:t>
            </w:r>
            <w:r w:rsidR="00BF2CC6">
              <w:rPr>
                <w:rFonts w:asciiTheme="minorEastAsia" w:hAnsiTheme="minorEastAsia" w:hint="eastAsia"/>
                <w:sz w:val="24"/>
                <w:szCs w:val="24"/>
              </w:rPr>
              <w:lastRenderedPageBreak/>
              <w:t>续吗，公司未来打算如何</w:t>
            </w:r>
            <w:r w:rsidRPr="00D85651">
              <w:rPr>
                <w:rFonts w:asciiTheme="minorEastAsia" w:hAnsiTheme="minorEastAsia" w:hint="eastAsia"/>
                <w:sz w:val="24"/>
                <w:szCs w:val="24"/>
              </w:rPr>
              <w:t>发展？</w:t>
            </w:r>
            <w:r w:rsidR="00E92214" w:rsidRPr="00D85651">
              <w:rPr>
                <w:rFonts w:asciiTheme="minorEastAsia" w:hAnsiTheme="minorEastAsia" w:hint="eastAsia"/>
                <w:sz w:val="24"/>
                <w:szCs w:val="24"/>
              </w:rPr>
              <w:t xml:space="preserve"> </w:t>
            </w:r>
          </w:p>
          <w:p w14:paraId="712B9EF9" w14:textId="3E56949C" w:rsidR="00BF2CC6" w:rsidRDefault="00BF2CC6" w:rsidP="00E92214">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答：</w:t>
            </w:r>
            <w:r w:rsidRPr="00BF2CC6">
              <w:rPr>
                <w:rFonts w:asciiTheme="minorEastAsia" w:hAnsiTheme="minorEastAsia" w:hint="eastAsia"/>
                <w:sz w:val="24"/>
                <w:szCs w:val="24"/>
              </w:rPr>
              <w:t>公司将继续</w:t>
            </w:r>
            <w:r w:rsidR="005E6EE9">
              <w:rPr>
                <w:rFonts w:asciiTheme="minorEastAsia" w:hAnsiTheme="minorEastAsia" w:hint="eastAsia"/>
                <w:sz w:val="24"/>
                <w:szCs w:val="24"/>
                <w:lang w:val="en-US"/>
              </w:rPr>
              <w:t>发展</w:t>
            </w:r>
            <w:r w:rsidRPr="00BF2CC6">
              <w:rPr>
                <w:rFonts w:asciiTheme="minorEastAsia" w:hAnsiTheme="minorEastAsia" w:hint="eastAsia"/>
                <w:sz w:val="24"/>
                <w:szCs w:val="24"/>
              </w:rPr>
              <w:t>装备制造业务板块及环境治理业务板块，大力研发抽水蓄能电站转轮关键技术、核电用铸钢件技术，子公司辽宁冶金设计研究院将继续拓展大型钢企的大气污染超净排放改造市场及其他行业环保设施改造升级。</w:t>
            </w:r>
          </w:p>
          <w:p w14:paraId="17375B60" w14:textId="0ADBB20C" w:rsidR="00B84977" w:rsidRPr="00FC1C02" w:rsidRDefault="00BF2CC6" w:rsidP="005E6EE9">
            <w:pPr>
              <w:widowControl/>
              <w:adjustRightInd w:val="0"/>
              <w:snapToGrid w:val="0"/>
              <w:spacing w:line="360" w:lineRule="auto"/>
              <w:ind w:firstLineChars="200" w:firstLine="480"/>
              <w:jc w:val="both"/>
              <w:rPr>
                <w:rFonts w:asciiTheme="minorEastAsia" w:hAnsiTheme="minorEastAsia" w:hint="eastAsia"/>
                <w:sz w:val="24"/>
                <w:szCs w:val="24"/>
              </w:rPr>
            </w:pPr>
            <w:r>
              <w:rPr>
                <w:rFonts w:asciiTheme="minorEastAsia" w:hAnsiTheme="minorEastAsia" w:hint="eastAsia"/>
                <w:sz w:val="24"/>
                <w:szCs w:val="24"/>
              </w:rPr>
              <w:t>公司</w:t>
            </w:r>
            <w:r w:rsidR="00A81968">
              <w:rPr>
                <w:rFonts w:asciiTheme="minorEastAsia" w:hAnsiTheme="minorEastAsia" w:hint="eastAsia"/>
                <w:sz w:val="24"/>
                <w:szCs w:val="24"/>
              </w:rPr>
              <w:t>为满足发展需求，将</w:t>
            </w:r>
            <w:r>
              <w:rPr>
                <w:rFonts w:asciiTheme="minorEastAsia" w:hAnsiTheme="minorEastAsia" w:hint="eastAsia"/>
                <w:sz w:val="24"/>
                <w:szCs w:val="24"/>
              </w:rPr>
              <w:t>持续提质增效，回馈广大投资者。</w:t>
            </w:r>
          </w:p>
        </w:tc>
      </w:tr>
      <w:tr w:rsidR="00B01D3E" w14:paraId="1242EAFE" w14:textId="77777777">
        <w:trPr>
          <w:trHeight w:val="623"/>
        </w:trPr>
        <w:tc>
          <w:tcPr>
            <w:tcW w:w="1954" w:type="dxa"/>
          </w:tcPr>
          <w:p w14:paraId="77FD124D" w14:textId="77777777" w:rsidR="00B01D3E" w:rsidRDefault="005461A0" w:rsidP="0032207E">
            <w:pPr>
              <w:pStyle w:val="TableParagraph"/>
              <w:spacing w:before="40"/>
              <w:ind w:left="92" w:right="85"/>
              <w:jc w:val="both"/>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lastRenderedPageBreak/>
              <w:t>附件清单</w:t>
            </w:r>
          </w:p>
        </w:tc>
        <w:tc>
          <w:tcPr>
            <w:tcW w:w="8363" w:type="dxa"/>
          </w:tcPr>
          <w:p w14:paraId="42B4197F" w14:textId="79DCBA0F" w:rsidR="00B01D3E" w:rsidRDefault="00D85651" w:rsidP="0032207E">
            <w:pPr>
              <w:pStyle w:val="TableParagraph"/>
              <w:spacing w:before="13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无。</w:t>
            </w:r>
          </w:p>
        </w:tc>
      </w:tr>
      <w:tr w:rsidR="00B01D3E" w14:paraId="3ACB3E0A" w14:textId="77777777">
        <w:trPr>
          <w:trHeight w:val="626"/>
        </w:trPr>
        <w:tc>
          <w:tcPr>
            <w:tcW w:w="1954" w:type="dxa"/>
          </w:tcPr>
          <w:p w14:paraId="2C3DBB30" w14:textId="77777777" w:rsidR="00B01D3E" w:rsidRPr="00276F97" w:rsidRDefault="005461A0" w:rsidP="0032207E">
            <w:pPr>
              <w:pStyle w:val="TableParagraph"/>
              <w:spacing w:before="40"/>
              <w:ind w:left="92" w:right="82"/>
              <w:jc w:val="both"/>
              <w:rPr>
                <w:rFonts w:asciiTheme="minorEastAsia" w:eastAsiaTheme="minorEastAsia" w:hAnsiTheme="minorEastAsia" w:cstheme="minorEastAsia" w:hint="eastAsia"/>
                <w:b/>
                <w:sz w:val="24"/>
                <w:szCs w:val="24"/>
              </w:rPr>
            </w:pPr>
            <w:r w:rsidRPr="00276F97">
              <w:rPr>
                <w:rFonts w:asciiTheme="minorEastAsia" w:eastAsiaTheme="minorEastAsia" w:hAnsiTheme="minorEastAsia" w:cstheme="minorEastAsia" w:hint="eastAsia"/>
                <w:b/>
                <w:sz w:val="24"/>
                <w:szCs w:val="24"/>
              </w:rPr>
              <w:t>日期</w:t>
            </w:r>
          </w:p>
        </w:tc>
        <w:tc>
          <w:tcPr>
            <w:tcW w:w="8363" w:type="dxa"/>
          </w:tcPr>
          <w:p w14:paraId="5742DAA8" w14:textId="767A601B" w:rsidR="00B01D3E" w:rsidRPr="00276F97" w:rsidRDefault="00F7057D" w:rsidP="00276F97">
            <w:pPr>
              <w:pStyle w:val="TableParagraph"/>
              <w:spacing w:before="132"/>
              <w:jc w:val="both"/>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2024年11月2</w:t>
            </w:r>
            <w:r w:rsidR="005E6EE9">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日</w:t>
            </w:r>
          </w:p>
        </w:tc>
      </w:tr>
    </w:tbl>
    <w:p w14:paraId="2217EBC3" w14:textId="77777777" w:rsidR="00B01D3E" w:rsidRDefault="00B01D3E" w:rsidP="0032207E">
      <w:pPr>
        <w:jc w:val="both"/>
        <w:rPr>
          <w:rFonts w:hint="eastAsia"/>
        </w:rPr>
      </w:pPr>
    </w:p>
    <w:sectPr w:rsidR="00B01D3E">
      <w:pgSz w:w="11910" w:h="16840"/>
      <w:pgMar w:top="1260" w:right="62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92849" w14:textId="77777777" w:rsidR="00D92604" w:rsidRDefault="00D92604">
      <w:pPr>
        <w:rPr>
          <w:rFonts w:hint="eastAsia"/>
        </w:rPr>
      </w:pPr>
      <w:r>
        <w:separator/>
      </w:r>
    </w:p>
  </w:endnote>
  <w:endnote w:type="continuationSeparator" w:id="0">
    <w:p w14:paraId="267D09C5" w14:textId="77777777" w:rsidR="00D92604" w:rsidRDefault="00D926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BCF6" w14:textId="77777777" w:rsidR="00D92604" w:rsidRDefault="00D92604">
      <w:pPr>
        <w:rPr>
          <w:rFonts w:hint="eastAsia"/>
        </w:rPr>
      </w:pPr>
      <w:r>
        <w:separator/>
      </w:r>
    </w:p>
  </w:footnote>
  <w:footnote w:type="continuationSeparator" w:id="0">
    <w:p w14:paraId="746A8A08" w14:textId="77777777" w:rsidR="00D92604" w:rsidRDefault="00D9260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01D3E"/>
    <w:rsid w:val="00040BEC"/>
    <w:rsid w:val="000E6D82"/>
    <w:rsid w:val="00122D14"/>
    <w:rsid w:val="00153E12"/>
    <w:rsid w:val="00173234"/>
    <w:rsid w:val="002155A2"/>
    <w:rsid w:val="00215612"/>
    <w:rsid w:val="00233BCE"/>
    <w:rsid w:val="00266DC2"/>
    <w:rsid w:val="00276F97"/>
    <w:rsid w:val="002F2AAE"/>
    <w:rsid w:val="002F3373"/>
    <w:rsid w:val="0032207E"/>
    <w:rsid w:val="003E6161"/>
    <w:rsid w:val="00480DD6"/>
    <w:rsid w:val="004813C1"/>
    <w:rsid w:val="00486703"/>
    <w:rsid w:val="00497A26"/>
    <w:rsid w:val="004E464D"/>
    <w:rsid w:val="00516F1F"/>
    <w:rsid w:val="00523000"/>
    <w:rsid w:val="00537D17"/>
    <w:rsid w:val="005416FF"/>
    <w:rsid w:val="005461A0"/>
    <w:rsid w:val="00553905"/>
    <w:rsid w:val="005E6EE9"/>
    <w:rsid w:val="005F5549"/>
    <w:rsid w:val="00600577"/>
    <w:rsid w:val="00651D94"/>
    <w:rsid w:val="006B070A"/>
    <w:rsid w:val="006B3FFA"/>
    <w:rsid w:val="006C43E0"/>
    <w:rsid w:val="00715337"/>
    <w:rsid w:val="007A54CA"/>
    <w:rsid w:val="007E0475"/>
    <w:rsid w:val="007F31DA"/>
    <w:rsid w:val="00835C66"/>
    <w:rsid w:val="00837C2A"/>
    <w:rsid w:val="008C003B"/>
    <w:rsid w:val="00945200"/>
    <w:rsid w:val="0097348D"/>
    <w:rsid w:val="009C681A"/>
    <w:rsid w:val="009C76FE"/>
    <w:rsid w:val="00A12AE6"/>
    <w:rsid w:val="00A1384F"/>
    <w:rsid w:val="00A54D63"/>
    <w:rsid w:val="00A64B9B"/>
    <w:rsid w:val="00A81968"/>
    <w:rsid w:val="00AD18F0"/>
    <w:rsid w:val="00B01D3E"/>
    <w:rsid w:val="00B400C6"/>
    <w:rsid w:val="00B829E6"/>
    <w:rsid w:val="00B84977"/>
    <w:rsid w:val="00BB107F"/>
    <w:rsid w:val="00BD0160"/>
    <w:rsid w:val="00BF2B15"/>
    <w:rsid w:val="00BF2CC6"/>
    <w:rsid w:val="00C13460"/>
    <w:rsid w:val="00C316B7"/>
    <w:rsid w:val="00C626ED"/>
    <w:rsid w:val="00CB36FF"/>
    <w:rsid w:val="00D64BDC"/>
    <w:rsid w:val="00D85651"/>
    <w:rsid w:val="00D92604"/>
    <w:rsid w:val="00DF6FCB"/>
    <w:rsid w:val="00DF7B7B"/>
    <w:rsid w:val="00E52F60"/>
    <w:rsid w:val="00E92214"/>
    <w:rsid w:val="00EA2AFF"/>
    <w:rsid w:val="00EF4109"/>
    <w:rsid w:val="00F02570"/>
    <w:rsid w:val="00F02909"/>
    <w:rsid w:val="00F14552"/>
    <w:rsid w:val="00F3686E"/>
    <w:rsid w:val="00F7057D"/>
    <w:rsid w:val="00F80E6A"/>
    <w:rsid w:val="00FC1C02"/>
    <w:rsid w:val="00FE0C4B"/>
    <w:rsid w:val="00FE50A8"/>
    <w:rsid w:val="00FF26A2"/>
    <w:rsid w:val="09891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4CA74"/>
  <w15:docId w15:val="{83523603-60F8-45A9-89E2-164A2513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5"/>
    </w:pPr>
    <w:rPr>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paragraph" w:styleId="a5">
    <w:name w:val="header"/>
    <w:basedOn w:val="a"/>
    <w:link w:val="a6"/>
    <w:rsid w:val="00516F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16F1F"/>
    <w:rPr>
      <w:rFonts w:ascii="宋体" w:hAnsi="宋体" w:cs="宋体"/>
      <w:sz w:val="18"/>
      <w:szCs w:val="18"/>
      <w:lang w:val="zh-CN" w:bidi="zh-CN"/>
    </w:rPr>
  </w:style>
  <w:style w:type="paragraph" w:styleId="a7">
    <w:name w:val="footer"/>
    <w:basedOn w:val="a"/>
    <w:link w:val="a8"/>
    <w:rsid w:val="00516F1F"/>
    <w:pPr>
      <w:tabs>
        <w:tab w:val="center" w:pos="4153"/>
        <w:tab w:val="right" w:pos="8306"/>
      </w:tabs>
      <w:snapToGrid w:val="0"/>
    </w:pPr>
    <w:rPr>
      <w:sz w:val="18"/>
      <w:szCs w:val="18"/>
    </w:rPr>
  </w:style>
  <w:style w:type="character" w:customStyle="1" w:styleId="a8">
    <w:name w:val="页脚 字符"/>
    <w:basedOn w:val="a0"/>
    <w:link w:val="a7"/>
    <w:rsid w:val="00516F1F"/>
    <w:rPr>
      <w:rFonts w:ascii="宋体" w:hAnsi="宋体" w:cs="宋体"/>
      <w:sz w:val="18"/>
      <w:szCs w:val="18"/>
      <w:lang w:val="zh-CN" w:bidi="zh-CN"/>
    </w:rPr>
  </w:style>
  <w:style w:type="paragraph" w:styleId="a9">
    <w:name w:val="Normal (Web)"/>
    <w:basedOn w:val="a"/>
    <w:qFormat/>
    <w:rsid w:val="0032207E"/>
    <w:pPr>
      <w:widowControl/>
      <w:autoSpaceDE/>
      <w:autoSpaceDN/>
      <w:spacing w:before="100" w:beforeAutospacing="1" w:after="100" w:afterAutospacing="1"/>
    </w:pPr>
    <w:rPr>
      <w:sz w:val="24"/>
      <w:szCs w:val="24"/>
      <w:lang w:val="en-US" w:bidi="ar-SA"/>
    </w:rPr>
  </w:style>
  <w:style w:type="character" w:styleId="aa">
    <w:name w:val="annotation reference"/>
    <w:basedOn w:val="a0"/>
    <w:rsid w:val="00A64B9B"/>
    <w:rPr>
      <w:sz w:val="21"/>
      <w:szCs w:val="21"/>
    </w:rPr>
  </w:style>
  <w:style w:type="paragraph" w:styleId="ab">
    <w:name w:val="annotation text"/>
    <w:basedOn w:val="a"/>
    <w:link w:val="ac"/>
    <w:rsid w:val="00A64B9B"/>
  </w:style>
  <w:style w:type="character" w:customStyle="1" w:styleId="ac">
    <w:name w:val="批注文字 字符"/>
    <w:basedOn w:val="a0"/>
    <w:link w:val="ab"/>
    <w:rsid w:val="00A64B9B"/>
    <w:rPr>
      <w:rFonts w:ascii="宋体" w:hAnsi="宋体" w:cs="宋体"/>
      <w:sz w:val="22"/>
      <w:szCs w:val="22"/>
      <w:lang w:val="zh-CN" w:bidi="zh-CN"/>
    </w:rPr>
  </w:style>
  <w:style w:type="paragraph" w:styleId="ad">
    <w:name w:val="annotation subject"/>
    <w:basedOn w:val="ab"/>
    <w:next w:val="ab"/>
    <w:link w:val="ae"/>
    <w:rsid w:val="00A64B9B"/>
    <w:rPr>
      <w:b/>
      <w:bCs/>
    </w:rPr>
  </w:style>
  <w:style w:type="character" w:customStyle="1" w:styleId="ae">
    <w:name w:val="批注主题 字符"/>
    <w:basedOn w:val="ac"/>
    <w:link w:val="ad"/>
    <w:rsid w:val="00A64B9B"/>
    <w:rPr>
      <w:rFonts w:ascii="宋体" w:hAnsi="宋体" w:cs="宋体"/>
      <w:b/>
      <w:bCs/>
      <w:sz w:val="22"/>
      <w:szCs w:val="22"/>
      <w:lang w:val="zh-CN" w:bidi="zh-CN"/>
    </w:rPr>
  </w:style>
  <w:style w:type="paragraph" w:styleId="af">
    <w:name w:val="Balloon Text"/>
    <w:basedOn w:val="a"/>
    <w:link w:val="af0"/>
    <w:rsid w:val="00A64B9B"/>
    <w:rPr>
      <w:sz w:val="18"/>
      <w:szCs w:val="18"/>
    </w:rPr>
  </w:style>
  <w:style w:type="character" w:customStyle="1" w:styleId="af0">
    <w:name w:val="批注框文本 字符"/>
    <w:basedOn w:val="a0"/>
    <w:link w:val="af"/>
    <w:rsid w:val="00A64B9B"/>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267</Words>
  <Characters>1522</Characters>
  <Application>Microsoft Office Word</Application>
  <DocSecurity>0</DocSecurity>
  <Lines>12</Lines>
  <Paragraphs>3</Paragraphs>
  <ScaleCrop>false</ScaleCrop>
  <Company>Organization</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刘冰凝</dc:creator>
  <cp:keywords/>
  <dc:description/>
  <cp:lastModifiedBy>券部 证</cp:lastModifiedBy>
  <cp:revision>11</cp:revision>
  <cp:lastPrinted>2022-07-02T09:28:00Z</cp:lastPrinted>
  <dcterms:created xsi:type="dcterms:W3CDTF">2021-12-22T02:24:00Z</dcterms:created>
  <dcterms:modified xsi:type="dcterms:W3CDTF">2024-11-21T07:48:00Z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2021-12-22T00:00:00Z</vt:filetime>
  </property>
  <property fmtid="{D5CDD505-2E9C-101B-9397-08002B2CF9AE}" pid="5" name="KSOProductBuildVer">
    <vt:lpwstr>2052-11.1.0.11115</vt:lpwstr>
  </property>
  <property fmtid="{D5CDD505-2E9C-101B-9397-08002B2CF9AE}" pid="6" name="ICV">
    <vt:lpwstr>36EC13F0BC04456F95324EB1B3BE3742</vt:lpwstr>
  </property>
</Properties>
</file>