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534" w:rsidRDefault="00F82561" w:rsidP="000C0E23">
      <w:pPr>
        <w:spacing w:before="77"/>
        <w:rPr>
          <w:rFonts w:ascii="宋体" w:eastAsia="宋体" w:hAnsi="宋体" w:cs="宋体"/>
          <w:sz w:val="24"/>
          <w:lang w:val="zh-CN" w:bidi="zh-CN"/>
        </w:rPr>
      </w:pPr>
      <w:r>
        <w:rPr>
          <w:rFonts w:ascii="宋体" w:eastAsia="宋体" w:hAnsi="宋体" w:cs="宋体"/>
          <w:noProof/>
          <w:snapToGrid/>
          <w:sz w:val="24"/>
        </w:rPr>
        <mc:AlternateContent>
          <mc:Choice Requires="wps">
            <w:drawing>
              <wp:anchor distT="0" distB="0" distL="114300" distR="114300" simplePos="0" relativeHeight="251659264" behindDoc="0" locked="0" layoutInCell="1" allowOverlap="1">
                <wp:simplePos x="0" y="0"/>
                <wp:positionH relativeFrom="column">
                  <wp:posOffset>-1270000</wp:posOffset>
                </wp:positionH>
                <wp:positionV relativeFrom="paragraph">
                  <wp:posOffset>-787400</wp:posOffset>
                </wp:positionV>
                <wp:extent cx="63500" cy="63500"/>
                <wp:effectExtent l="0" t="0" r="0" b="0"/>
                <wp:wrapNone/>
                <wp:docPr id="1" name="KGD_Gobal1" descr="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E14A44" id="KGD_Gobal1" o:spid="_x0000_s1026" alt="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" style="position:absolute;left:0;text-align:left;margin-left:-100pt;margin-top:-62pt;width:5pt;height:5pt;z-index:251659264;visibility:hidden;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" fillcolor="#5b9bd5 [3204]" strokecolor="#1f4d78 [1604]" strokeweight="1pt"/>
            </w:pict>
          </mc:Fallback>
        </mc:AlternateContent>
      </w:r>
      <w:r w:rsidR="00A50534">
        <w:rPr>
          <w:rFonts w:ascii="宋体" w:eastAsia="宋体" w:hAnsi="宋体" w:cs="宋体"/>
          <w:sz w:val="24"/>
          <w:lang w:val="zh-CN" w:bidi="zh-CN"/>
        </w:rPr>
        <w:t>证券代码</w:t>
      </w:r>
      <w:r w:rsidR="00A50534">
        <w:rPr>
          <w:rFonts w:ascii="宋体" w:eastAsia="宋体" w:hAnsi="宋体" w:cs="宋体" w:hint="eastAsia"/>
          <w:sz w:val="24"/>
          <w:lang w:val="zh-CN" w:bidi="zh-CN"/>
        </w:rPr>
        <w:t>：</w:t>
      </w:r>
      <w:r w:rsidR="00A50534">
        <w:rPr>
          <w:rFonts w:ascii="宋体" w:eastAsia="宋体" w:hAnsi="宋体" w:cs="宋体" w:hint="eastAsia"/>
          <w:sz w:val="24"/>
          <w:lang w:bidi="zh-CN"/>
        </w:rPr>
        <w:t xml:space="preserve"> </w:t>
      </w:r>
      <w:r w:rsidR="005F7E10">
        <w:rPr>
          <w:rFonts w:ascii="宋体" w:eastAsia="宋体" w:hAnsi="宋体" w:cs="宋体"/>
          <w:sz w:val="24"/>
          <w:lang w:bidi="zh-CN"/>
        </w:rPr>
        <w:t>601866</w:t>
      </w:r>
      <w:r w:rsidR="000C0E23">
        <w:rPr>
          <w:rFonts w:ascii="宋体" w:eastAsia="宋体" w:hAnsi="宋体" w:cs="宋体"/>
          <w:sz w:val="24"/>
          <w:lang w:bidi="zh-CN"/>
        </w:rPr>
        <w:t>.SH/2866.HK</w:t>
      </w:r>
      <w:r w:rsidR="00A50534">
        <w:rPr>
          <w:rFonts w:ascii="宋体" w:eastAsia="宋体" w:hAnsi="宋体" w:cs="宋体" w:hint="eastAsia"/>
          <w:sz w:val="24"/>
          <w:lang w:bidi="zh-CN"/>
        </w:rPr>
        <w:t xml:space="preserve">          </w:t>
      </w:r>
      <w:r w:rsidR="000C0E23">
        <w:rPr>
          <w:rFonts w:ascii="宋体" w:eastAsia="宋体" w:hAnsi="宋体" w:cs="宋体"/>
          <w:sz w:val="24"/>
          <w:lang w:bidi="zh-CN"/>
        </w:rPr>
        <w:t xml:space="preserve">        </w:t>
      </w:r>
      <w:r w:rsidR="00A50534">
        <w:rPr>
          <w:rFonts w:ascii="宋体" w:eastAsia="宋体" w:hAnsi="宋体" w:cs="宋体" w:hint="eastAsia"/>
          <w:sz w:val="24"/>
          <w:lang w:bidi="zh-CN"/>
        </w:rPr>
        <w:t xml:space="preserve">  </w:t>
      </w:r>
      <w:r w:rsidR="00A50534">
        <w:rPr>
          <w:rFonts w:ascii="宋体" w:eastAsia="宋体" w:hAnsi="宋体" w:cs="宋体"/>
          <w:sz w:val="24"/>
          <w:lang w:val="zh-CN" w:bidi="zh-CN"/>
        </w:rPr>
        <w:t xml:space="preserve">证券简称： </w:t>
      </w:r>
      <w:r w:rsidR="005F7E10">
        <w:rPr>
          <w:rFonts w:ascii="宋体" w:eastAsia="宋体" w:hAnsi="宋体" w:cs="宋体" w:hint="eastAsia"/>
          <w:sz w:val="24"/>
          <w:lang w:val="zh-CN" w:bidi="zh-CN"/>
        </w:rPr>
        <w:t>中远海发</w:t>
      </w:r>
    </w:p>
    <w:p w:rsidR="00A50534" w:rsidRDefault="00A50534">
      <w:pPr>
        <w:kinsoku/>
        <w:autoSpaceDE/>
        <w:autoSpaceDN/>
        <w:spacing w:line="360" w:lineRule="auto"/>
        <w:jc w:val="center"/>
        <w:rPr>
          <w:rFonts w:ascii="宋体" w:eastAsia="宋体" w:hAnsi="宋体" w:cs="宋体"/>
          <w:b/>
          <w:bCs/>
          <w:sz w:val="36"/>
          <w:szCs w:val="36"/>
        </w:rPr>
      </w:pPr>
    </w:p>
    <w:p w:rsidR="005F7E10" w:rsidRDefault="005F7E10">
      <w:pPr>
        <w:kinsoku/>
        <w:autoSpaceDE/>
        <w:autoSpaceDN/>
        <w:spacing w:line="360" w:lineRule="auto"/>
        <w:jc w:val="center"/>
        <w:rPr>
          <w:rFonts w:ascii="宋体" w:eastAsia="宋体" w:hAnsi="宋体" w:cs="宋体"/>
          <w:b/>
          <w:bCs/>
          <w:spacing w:val="12"/>
          <w:sz w:val="36"/>
          <w:szCs w:val="36"/>
        </w:rPr>
      </w:pPr>
      <w:r>
        <w:rPr>
          <w:rFonts w:ascii="宋体" w:eastAsia="宋体" w:hAnsi="宋体" w:cs="宋体" w:hint="eastAsia"/>
          <w:b/>
          <w:bCs/>
          <w:sz w:val="36"/>
          <w:szCs w:val="36"/>
        </w:rPr>
        <w:t>中远海运发展</w:t>
      </w:r>
      <w:r w:rsidR="00B571DB">
        <w:rPr>
          <w:rFonts w:ascii="宋体" w:eastAsia="宋体" w:hAnsi="宋体" w:cs="宋体" w:hint="eastAsia"/>
          <w:b/>
          <w:bCs/>
          <w:spacing w:val="12"/>
          <w:sz w:val="36"/>
          <w:szCs w:val="36"/>
        </w:rPr>
        <w:t>股份有限公司</w:t>
      </w:r>
    </w:p>
    <w:p w:rsidR="009003EA" w:rsidRDefault="00B571DB">
      <w:pPr>
        <w:kinsoku/>
        <w:autoSpaceDE/>
        <w:autoSpaceDN/>
        <w:spacing w:line="360" w:lineRule="auto"/>
        <w:jc w:val="center"/>
        <w:rPr>
          <w:rFonts w:ascii="宋体" w:eastAsia="宋体" w:hAnsi="宋体" w:cs="宋体"/>
          <w:b/>
          <w:bCs/>
          <w:sz w:val="36"/>
          <w:szCs w:val="36"/>
        </w:rPr>
      </w:pPr>
      <w:r>
        <w:rPr>
          <w:rFonts w:ascii="宋体" w:eastAsia="宋体" w:hAnsi="宋体" w:cs="宋体" w:hint="eastAsia"/>
          <w:b/>
          <w:bCs/>
          <w:spacing w:val="12"/>
          <w:sz w:val="36"/>
          <w:szCs w:val="36"/>
        </w:rPr>
        <w:t>投资者关系活动记录表</w:t>
      </w:r>
    </w:p>
    <w:p w:rsidR="009003EA" w:rsidRDefault="009003EA" w:rsidP="00CE03B4">
      <w:pPr>
        <w:kinsoku/>
        <w:autoSpaceDE/>
        <w:autoSpaceDN/>
        <w:spacing w:line="360" w:lineRule="auto"/>
        <w:ind w:right="928"/>
        <w:jc w:val="right"/>
        <w:rPr>
          <w:rFonts w:ascii="宋体" w:eastAsia="宋体" w:hAnsi="宋体" w:cs="宋体"/>
          <w:sz w:val="24"/>
          <w:szCs w:val="24"/>
        </w:rPr>
      </w:pPr>
    </w:p>
    <w:tbl>
      <w:tblPr>
        <w:tblStyle w:val="TableNormal"/>
        <w:tblW w:w="8526"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12"/>
        <w:gridCol w:w="2839"/>
        <w:gridCol w:w="3775"/>
      </w:tblGrid>
      <w:tr w:rsidR="009003EA" w:rsidTr="00A50534">
        <w:trPr>
          <w:trHeight w:val="318"/>
          <w:jc w:val="center"/>
        </w:trPr>
        <w:tc>
          <w:tcPr>
            <w:tcW w:w="1912" w:type="dxa"/>
            <w:vMerge w:val="restart"/>
            <w:tcBorders>
              <w:bottom w:val="nil"/>
            </w:tcBorders>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r>
              <w:rPr>
                <w:rFonts w:ascii="宋体" w:eastAsia="宋体" w:hAnsi="宋体" w:cs="宋体" w:hint="eastAsia"/>
                <w:sz w:val="24"/>
                <w:szCs w:val="24"/>
              </w:rPr>
              <w:t xml:space="preserve"> </w:t>
            </w:r>
            <w:r>
              <w:rPr>
                <w:rFonts w:ascii="宋体" w:eastAsia="宋体" w:hAnsi="宋体" w:cs="宋体" w:hint="eastAsia"/>
                <w:spacing w:val="5"/>
                <w:sz w:val="24"/>
                <w:szCs w:val="24"/>
              </w:rPr>
              <w:t>类别</w:t>
            </w:r>
          </w:p>
        </w:tc>
        <w:tc>
          <w:tcPr>
            <w:tcW w:w="6614" w:type="dxa"/>
            <w:gridSpan w:val="2"/>
            <w:tcBorders>
              <w:bottom w:val="nil"/>
            </w:tcBorders>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2"/>
                <w:sz w:val="24"/>
                <w:szCs w:val="24"/>
              </w:rPr>
              <w:t>□</w:t>
            </w:r>
            <w:r>
              <w:rPr>
                <w:rFonts w:ascii="宋体" w:eastAsia="宋体" w:hAnsi="宋体" w:cs="宋体" w:hint="eastAsia"/>
                <w:spacing w:val="10"/>
                <w:sz w:val="24"/>
                <w:szCs w:val="24"/>
              </w:rPr>
              <w:t>特</w:t>
            </w:r>
            <w:r>
              <w:rPr>
                <w:rFonts w:ascii="宋体" w:eastAsia="宋体" w:hAnsi="宋体" w:cs="宋体" w:hint="eastAsia"/>
                <w:spacing w:val="6"/>
                <w:sz w:val="24"/>
                <w:szCs w:val="24"/>
              </w:rPr>
              <w:t>定对象调研        □分析师会议</w:t>
            </w:r>
          </w:p>
        </w:tc>
      </w:tr>
      <w:tr w:rsidR="009003EA" w:rsidTr="00A50534">
        <w:trPr>
          <w:trHeight w:val="1775"/>
          <w:jc w:val="center"/>
        </w:trPr>
        <w:tc>
          <w:tcPr>
            <w:tcW w:w="1912" w:type="dxa"/>
            <w:vMerge/>
            <w:tcBorders>
              <w:top w:val="nil"/>
              <w:bottom w:val="nil"/>
            </w:tcBorders>
            <w:vAlign w:val="center"/>
          </w:tcPr>
          <w:p w:rsidR="009003EA" w:rsidRDefault="009003EA">
            <w:pPr>
              <w:kinsoku/>
              <w:autoSpaceDE/>
              <w:autoSpaceDN/>
              <w:spacing w:line="400" w:lineRule="exact"/>
              <w:rPr>
                <w:rFonts w:ascii="宋体" w:eastAsia="宋体" w:hAnsi="宋体" w:cs="宋体"/>
                <w:sz w:val="24"/>
                <w:szCs w:val="24"/>
              </w:rPr>
            </w:pPr>
          </w:p>
        </w:tc>
        <w:tc>
          <w:tcPr>
            <w:tcW w:w="2839" w:type="dxa"/>
            <w:tcBorders>
              <w:top w:val="nil"/>
              <w:bottom w:val="nil"/>
              <w:right w:val="nil"/>
            </w:tcBorders>
          </w:tcPr>
          <w:p w:rsidR="009003EA" w:rsidRDefault="00B571DB">
            <w:pPr>
              <w:kinsoku/>
              <w:autoSpaceDE/>
              <w:autoSpaceDN/>
              <w:spacing w:line="400" w:lineRule="exact"/>
              <w:rPr>
                <w:rFonts w:ascii="宋体" w:eastAsia="宋体" w:hAnsi="宋体" w:cs="宋体"/>
                <w:sz w:val="24"/>
                <w:szCs w:val="24"/>
              </w:rPr>
            </w:pPr>
            <w:bookmarkStart w:id="0" w:name="OLE_LINK2"/>
            <w:r>
              <w:rPr>
                <w:rFonts w:ascii="宋体" w:eastAsia="宋体" w:hAnsi="宋体" w:cs="宋体" w:hint="eastAsia"/>
                <w:spacing w:val="4"/>
                <w:sz w:val="24"/>
                <w:szCs w:val="24"/>
              </w:rPr>
              <w:t>□</w:t>
            </w:r>
            <w:bookmarkEnd w:id="0"/>
            <w:r>
              <w:rPr>
                <w:rFonts w:ascii="宋体" w:eastAsia="宋体" w:hAnsi="宋体" w:cs="宋体" w:hint="eastAsia"/>
                <w:spacing w:val="3"/>
                <w:sz w:val="24"/>
                <w:szCs w:val="24"/>
              </w:rPr>
              <w:t>媒体采访</w:t>
            </w:r>
          </w:p>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新闻发布会</w:t>
            </w:r>
          </w:p>
          <w:p w:rsidR="009003EA" w:rsidRDefault="00726F19">
            <w:pPr>
              <w:kinsoku/>
              <w:autoSpaceDE/>
              <w:autoSpaceDN/>
              <w:spacing w:line="400" w:lineRule="exact"/>
              <w:rPr>
                <w:rFonts w:ascii="宋体" w:eastAsia="宋体" w:hAnsi="宋体" w:cs="宋体"/>
                <w:spacing w:val="3"/>
                <w:sz w:val="24"/>
                <w:szCs w:val="24"/>
              </w:rPr>
            </w:pPr>
            <w:r>
              <w:rPr>
                <w:rFonts w:ascii="宋体" w:eastAsia="宋体" w:hAnsi="宋体" w:cs="宋体"/>
                <w:sz w:val="24"/>
                <w:szCs w:val="22"/>
                <w:lang w:val="zh-CN" w:bidi="zh-CN"/>
              </w:rPr>
              <w:sym w:font="Wingdings 2" w:char="00A3"/>
            </w:r>
            <w:r w:rsidR="00A50534">
              <w:rPr>
                <w:rFonts w:ascii="宋体" w:eastAsia="宋体" w:hAnsi="宋体" w:cs="宋体" w:hint="eastAsia"/>
                <w:spacing w:val="3"/>
                <w:sz w:val="24"/>
                <w:szCs w:val="24"/>
              </w:rPr>
              <w:t>现场交流</w:t>
            </w:r>
          </w:p>
          <w:p w:rsidR="00A50534" w:rsidRDefault="00A50534" w:rsidP="00A50534">
            <w:pPr>
              <w:kinsoku/>
              <w:autoSpaceDE/>
              <w:autoSpaceDN/>
              <w:spacing w:line="400" w:lineRule="exact"/>
              <w:rPr>
                <w:rFonts w:ascii="宋体" w:eastAsia="宋体" w:hAnsi="宋体" w:cs="宋体"/>
                <w:sz w:val="24"/>
                <w:szCs w:val="24"/>
              </w:rPr>
            </w:pPr>
            <w:r>
              <w:rPr>
                <w:rFonts w:ascii="宋体" w:eastAsia="宋体" w:hAnsi="宋体" w:cs="宋体" w:hint="eastAsia"/>
                <w:spacing w:val="4"/>
                <w:sz w:val="24"/>
                <w:szCs w:val="24"/>
              </w:rPr>
              <w:t>□投资策略会</w:t>
            </w:r>
          </w:p>
        </w:tc>
        <w:tc>
          <w:tcPr>
            <w:tcW w:w="3775" w:type="dxa"/>
            <w:tcBorders>
              <w:top w:val="nil"/>
              <w:left w:val="nil"/>
              <w:bottom w:val="nil"/>
            </w:tcBorders>
          </w:tcPr>
          <w:p w:rsidR="009003EA" w:rsidRDefault="00726F19">
            <w:pPr>
              <w:kinsoku/>
              <w:autoSpaceDE/>
              <w:autoSpaceDN/>
              <w:spacing w:line="400" w:lineRule="exact"/>
              <w:rPr>
                <w:rFonts w:ascii="宋体" w:eastAsia="宋体" w:hAnsi="宋体" w:cs="宋体"/>
                <w:sz w:val="24"/>
                <w:szCs w:val="24"/>
              </w:rPr>
            </w:pPr>
            <w:r>
              <w:rPr>
                <w:rFonts w:ascii="宋体" w:eastAsia="宋体" w:hAnsi="宋体" w:cs="宋体"/>
                <w:b/>
                <w:bCs/>
                <w:sz w:val="24"/>
                <w:szCs w:val="22"/>
                <w:lang w:val="zh-CN" w:bidi="zh-CN"/>
              </w:rPr>
              <w:sym w:font="Wingdings 2" w:char="0052"/>
            </w:r>
            <w:r w:rsidR="00B571DB">
              <w:rPr>
                <w:rFonts w:ascii="宋体" w:eastAsia="宋体" w:hAnsi="宋体" w:cs="宋体" w:hint="eastAsia"/>
                <w:spacing w:val="4"/>
                <w:sz w:val="24"/>
                <w:szCs w:val="24"/>
              </w:rPr>
              <w:t>业绩说明会</w:t>
            </w:r>
          </w:p>
          <w:p w:rsidR="009003EA" w:rsidRDefault="00726F19">
            <w:pPr>
              <w:kinsoku/>
              <w:autoSpaceDE/>
              <w:autoSpaceDN/>
              <w:spacing w:line="400" w:lineRule="exact"/>
              <w:rPr>
                <w:rFonts w:ascii="宋体" w:eastAsia="宋体" w:hAnsi="宋体" w:cs="宋体"/>
                <w:spacing w:val="3"/>
                <w:sz w:val="24"/>
                <w:szCs w:val="24"/>
              </w:rPr>
            </w:pPr>
            <w:r>
              <w:rPr>
                <w:rFonts w:ascii="宋体" w:eastAsia="宋体" w:hAnsi="宋体" w:cs="宋体"/>
                <w:sz w:val="24"/>
                <w:szCs w:val="22"/>
                <w:lang w:val="zh-CN" w:bidi="zh-CN"/>
              </w:rPr>
              <w:sym w:font="Wingdings 2" w:char="00A3"/>
            </w:r>
            <w:r w:rsidR="00B571DB">
              <w:rPr>
                <w:rFonts w:ascii="宋体" w:eastAsia="宋体" w:hAnsi="宋体" w:cs="宋体" w:hint="eastAsia"/>
                <w:spacing w:val="3"/>
                <w:sz w:val="24"/>
                <w:szCs w:val="24"/>
              </w:rPr>
              <w:t>路演活动</w:t>
            </w:r>
          </w:p>
          <w:p w:rsidR="00A50534" w:rsidRDefault="00A50534">
            <w:pPr>
              <w:kinsoku/>
              <w:autoSpaceDE/>
              <w:autoSpaceDN/>
              <w:spacing w:line="400" w:lineRule="exact"/>
              <w:rPr>
                <w:rFonts w:ascii="宋体" w:eastAsia="宋体" w:hAnsi="宋体" w:cs="宋体"/>
                <w:sz w:val="24"/>
                <w:szCs w:val="22"/>
                <w:lang w:val="zh-CN" w:bidi="zh-CN"/>
              </w:rPr>
            </w:pPr>
            <w:r>
              <w:rPr>
                <w:rFonts w:ascii="宋体" w:eastAsia="宋体" w:hAnsi="宋体" w:cs="宋体"/>
                <w:sz w:val="24"/>
                <w:szCs w:val="22"/>
                <w:lang w:val="zh-CN" w:bidi="zh-CN"/>
              </w:rPr>
              <w:sym w:font="Wingdings 2" w:char="00A3"/>
            </w:r>
            <w:r>
              <w:rPr>
                <w:rFonts w:ascii="宋体" w:eastAsia="宋体" w:hAnsi="宋体" w:cs="宋体" w:hint="eastAsia"/>
                <w:sz w:val="24"/>
                <w:szCs w:val="22"/>
                <w:lang w:val="zh-CN" w:bidi="zh-CN"/>
              </w:rPr>
              <w:t>电话会议</w:t>
            </w:r>
          </w:p>
          <w:p w:rsidR="00A50534" w:rsidRDefault="00A50534" w:rsidP="00A50534">
            <w:pPr>
              <w:kinsoku/>
              <w:autoSpaceDE/>
              <w:autoSpaceDN/>
              <w:spacing w:line="400" w:lineRule="exact"/>
              <w:rPr>
                <w:rFonts w:ascii="宋体" w:eastAsia="宋体" w:hAnsi="宋体" w:cs="宋体"/>
                <w:sz w:val="24"/>
                <w:szCs w:val="24"/>
              </w:rPr>
            </w:pPr>
            <w:r>
              <w:rPr>
                <w:rFonts w:ascii="宋体" w:eastAsia="宋体" w:hAnsi="宋体" w:cs="宋体" w:hint="eastAsia"/>
                <w:spacing w:val="8"/>
                <w:sz w:val="24"/>
                <w:szCs w:val="24"/>
              </w:rPr>
              <w:t>□</w:t>
            </w:r>
            <w:r>
              <w:rPr>
                <w:rFonts w:ascii="宋体" w:eastAsia="宋体" w:hAnsi="宋体" w:cs="宋体" w:hint="eastAsia"/>
                <w:spacing w:val="6"/>
                <w:sz w:val="24"/>
                <w:szCs w:val="24"/>
              </w:rPr>
              <w:t>其他</w:t>
            </w:r>
          </w:p>
        </w:tc>
      </w:tr>
      <w:tr w:rsidR="009003EA" w:rsidTr="00A50534">
        <w:trPr>
          <w:trHeight w:val="1252"/>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0"/>
                <w:sz w:val="24"/>
                <w:szCs w:val="24"/>
              </w:rPr>
              <w:t>参与单位名称及</w:t>
            </w:r>
            <w:r>
              <w:rPr>
                <w:rFonts w:ascii="宋体" w:eastAsia="宋体" w:hAnsi="宋体" w:cs="宋体" w:hint="eastAsia"/>
                <w:sz w:val="24"/>
                <w:szCs w:val="24"/>
              </w:rPr>
              <w:t xml:space="preserve"> </w:t>
            </w:r>
            <w:r>
              <w:rPr>
                <w:rFonts w:ascii="宋体" w:eastAsia="宋体" w:hAnsi="宋体" w:cs="宋体" w:hint="eastAsia"/>
                <w:spacing w:val="7"/>
                <w:sz w:val="24"/>
                <w:szCs w:val="24"/>
              </w:rPr>
              <w:t>人员姓名</w:t>
            </w:r>
          </w:p>
        </w:tc>
        <w:tc>
          <w:tcPr>
            <w:tcW w:w="6614" w:type="dxa"/>
            <w:gridSpan w:val="2"/>
          </w:tcPr>
          <w:p w:rsidR="00726F19" w:rsidRDefault="00726F19" w:rsidP="00726F19">
            <w:pPr>
              <w:kinsoku/>
              <w:autoSpaceDE/>
              <w:autoSpaceDN/>
              <w:spacing w:line="400" w:lineRule="exact"/>
              <w:rPr>
                <w:rFonts w:ascii="宋体" w:eastAsia="宋体" w:hAnsi="宋体" w:cs="宋体"/>
                <w:sz w:val="24"/>
                <w:szCs w:val="24"/>
              </w:rPr>
            </w:pPr>
          </w:p>
          <w:p w:rsidR="00A50534" w:rsidRDefault="00726F19" w:rsidP="00726F19">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投资者</w:t>
            </w:r>
          </w:p>
        </w:tc>
      </w:tr>
      <w:tr w:rsidR="009003EA" w:rsidTr="00A50534">
        <w:trPr>
          <w:trHeight w:val="629"/>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
                <w:sz w:val="24"/>
                <w:szCs w:val="24"/>
              </w:rPr>
              <w:t>时</w:t>
            </w:r>
            <w:r>
              <w:rPr>
                <w:rFonts w:ascii="宋体" w:eastAsia="宋体" w:hAnsi="宋体" w:cs="宋体" w:hint="eastAsia"/>
                <w:sz w:val="24"/>
                <w:szCs w:val="24"/>
              </w:rPr>
              <w:t>间</w:t>
            </w:r>
          </w:p>
        </w:tc>
        <w:tc>
          <w:tcPr>
            <w:tcW w:w="6614" w:type="dxa"/>
            <w:gridSpan w:val="2"/>
            <w:vAlign w:val="center"/>
          </w:tcPr>
          <w:p w:rsidR="009003EA" w:rsidRDefault="00A50534" w:rsidP="003C128A">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024</w:t>
            </w:r>
            <w:r>
              <w:rPr>
                <w:rFonts w:ascii="宋体" w:eastAsia="宋体" w:hAnsi="宋体" w:cs="宋体" w:hint="eastAsia"/>
                <w:sz w:val="24"/>
                <w:szCs w:val="24"/>
              </w:rPr>
              <w:t>年</w:t>
            </w:r>
            <w:r w:rsidR="003C128A">
              <w:rPr>
                <w:rFonts w:ascii="宋体" w:eastAsia="宋体" w:hAnsi="宋体" w:cs="宋体"/>
                <w:sz w:val="24"/>
                <w:szCs w:val="24"/>
              </w:rPr>
              <w:t>11</w:t>
            </w:r>
            <w:r>
              <w:rPr>
                <w:rFonts w:ascii="宋体" w:eastAsia="宋体" w:hAnsi="宋体" w:cs="宋体" w:hint="eastAsia"/>
                <w:sz w:val="24"/>
                <w:szCs w:val="24"/>
              </w:rPr>
              <w:t>月2</w:t>
            </w:r>
            <w:r w:rsidR="003C128A">
              <w:rPr>
                <w:rFonts w:ascii="宋体" w:eastAsia="宋体" w:hAnsi="宋体" w:cs="宋体"/>
                <w:sz w:val="24"/>
                <w:szCs w:val="24"/>
              </w:rPr>
              <w:t>1</w:t>
            </w:r>
            <w:r>
              <w:rPr>
                <w:rFonts w:ascii="宋体" w:eastAsia="宋体" w:hAnsi="宋体" w:cs="宋体" w:hint="eastAsia"/>
                <w:sz w:val="24"/>
                <w:szCs w:val="24"/>
              </w:rPr>
              <w:t>日</w:t>
            </w:r>
          </w:p>
        </w:tc>
      </w:tr>
      <w:tr w:rsidR="009003EA" w:rsidTr="00A50534">
        <w:trPr>
          <w:trHeight w:val="629"/>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5"/>
                <w:sz w:val="24"/>
                <w:szCs w:val="24"/>
              </w:rPr>
              <w:t>地点</w:t>
            </w:r>
          </w:p>
        </w:tc>
        <w:tc>
          <w:tcPr>
            <w:tcW w:w="6614" w:type="dxa"/>
            <w:gridSpan w:val="2"/>
            <w:vAlign w:val="center"/>
          </w:tcPr>
          <w:p w:rsidR="009003EA" w:rsidRDefault="00726F19" w:rsidP="00467FEF">
            <w:pPr>
              <w:kinsoku/>
              <w:autoSpaceDE/>
              <w:autoSpaceDN/>
              <w:spacing w:line="400" w:lineRule="exact"/>
              <w:rPr>
                <w:rFonts w:ascii="宋体" w:eastAsia="宋体" w:hAnsi="宋体" w:cs="宋体"/>
                <w:sz w:val="24"/>
                <w:szCs w:val="24"/>
              </w:rPr>
            </w:pPr>
            <w:r w:rsidRPr="00726F19">
              <w:rPr>
                <w:rFonts w:ascii="宋体" w:eastAsia="宋体" w:hAnsi="宋体" w:cs="宋体" w:hint="eastAsia"/>
                <w:sz w:val="24"/>
                <w:szCs w:val="24"/>
              </w:rPr>
              <w:t>上证</w:t>
            </w:r>
            <w:r w:rsidRPr="00726F19">
              <w:rPr>
                <w:rFonts w:ascii="宋体" w:eastAsia="宋体" w:hAnsi="宋体" w:cs="宋体"/>
                <w:sz w:val="24"/>
                <w:szCs w:val="24"/>
              </w:rPr>
              <w:t>E</w:t>
            </w:r>
            <w:r w:rsidRPr="00726F19">
              <w:rPr>
                <w:rFonts w:ascii="宋体" w:eastAsia="宋体" w:hAnsi="宋体" w:cs="宋体" w:hint="eastAsia"/>
                <w:sz w:val="24"/>
                <w:szCs w:val="24"/>
              </w:rPr>
              <w:t>路演中心</w:t>
            </w:r>
          </w:p>
        </w:tc>
      </w:tr>
      <w:tr w:rsidR="009003EA" w:rsidTr="00A50534">
        <w:trPr>
          <w:trHeight w:val="1252"/>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0"/>
                <w:sz w:val="24"/>
                <w:szCs w:val="24"/>
              </w:rPr>
              <w:t>上市公司接待人</w:t>
            </w:r>
            <w:r>
              <w:rPr>
                <w:rFonts w:ascii="宋体" w:eastAsia="宋体" w:hAnsi="宋体" w:cs="宋体" w:hint="eastAsia"/>
                <w:sz w:val="24"/>
                <w:szCs w:val="24"/>
              </w:rPr>
              <w:t xml:space="preserve"> </w:t>
            </w:r>
            <w:r>
              <w:rPr>
                <w:rFonts w:ascii="宋体" w:eastAsia="宋体" w:hAnsi="宋体" w:cs="宋体" w:hint="eastAsia"/>
                <w:spacing w:val="5"/>
                <w:sz w:val="24"/>
                <w:szCs w:val="24"/>
              </w:rPr>
              <w:t>员</w:t>
            </w:r>
            <w:r>
              <w:rPr>
                <w:rFonts w:ascii="宋体" w:eastAsia="宋体" w:hAnsi="宋体" w:cs="宋体" w:hint="eastAsia"/>
                <w:spacing w:val="3"/>
                <w:sz w:val="24"/>
                <w:szCs w:val="24"/>
              </w:rPr>
              <w:t>姓名</w:t>
            </w:r>
          </w:p>
        </w:tc>
        <w:tc>
          <w:tcPr>
            <w:tcW w:w="6614" w:type="dxa"/>
            <w:gridSpan w:val="2"/>
          </w:tcPr>
          <w:p w:rsidR="00726F19" w:rsidRDefault="00726F19">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张铭文 董事长、总经理</w:t>
            </w:r>
          </w:p>
          <w:p w:rsidR="00C97CF1" w:rsidRDefault="00844687">
            <w:pPr>
              <w:kinsoku/>
              <w:autoSpaceDE/>
              <w:autoSpaceDN/>
              <w:spacing w:line="400" w:lineRule="exact"/>
              <w:rPr>
                <w:rFonts w:ascii="宋体" w:eastAsia="宋体" w:hAnsi="宋体" w:cs="宋体"/>
                <w:sz w:val="24"/>
                <w:szCs w:val="24"/>
              </w:rPr>
            </w:pPr>
            <w:r w:rsidRPr="00726F19">
              <w:rPr>
                <w:rFonts w:ascii="宋体" w:eastAsia="宋体" w:hAnsi="宋体" w:cs="宋体" w:hint="eastAsia"/>
                <w:sz w:val="24"/>
                <w:szCs w:val="24"/>
              </w:rPr>
              <w:t>邵瑞庆</w:t>
            </w:r>
            <w:r w:rsidR="00C97CF1">
              <w:rPr>
                <w:rFonts w:ascii="宋体" w:eastAsia="宋体" w:hAnsi="宋体" w:cs="宋体" w:hint="eastAsia"/>
                <w:sz w:val="24"/>
                <w:szCs w:val="24"/>
              </w:rPr>
              <w:t xml:space="preserve"> </w:t>
            </w:r>
            <w:r w:rsidR="00C97CF1" w:rsidRPr="00C97CF1">
              <w:rPr>
                <w:rFonts w:ascii="宋体" w:eastAsia="宋体" w:hAnsi="宋体" w:cs="宋体" w:hint="eastAsia"/>
                <w:sz w:val="24"/>
                <w:szCs w:val="24"/>
              </w:rPr>
              <w:t>独立董事</w:t>
            </w:r>
          </w:p>
          <w:p w:rsidR="00726F19" w:rsidRDefault="00726F19">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胡海兵 总会计师</w:t>
            </w:r>
          </w:p>
          <w:p w:rsidR="003E3FA1" w:rsidRDefault="003E3FA1">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蔡磊 董事会秘书</w:t>
            </w:r>
          </w:p>
          <w:p w:rsidR="00AF352F" w:rsidRDefault="00844687" w:rsidP="00726F19">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张明明 总经理助理</w:t>
            </w:r>
            <w:r w:rsidR="00C97CF1" w:rsidRPr="00C97CF1">
              <w:rPr>
                <w:rFonts w:ascii="宋体" w:eastAsia="宋体" w:hAnsi="宋体" w:cs="宋体" w:hint="eastAsia"/>
                <w:sz w:val="24"/>
                <w:szCs w:val="24"/>
              </w:rPr>
              <w:t>兼财务资金部总经理</w:t>
            </w:r>
          </w:p>
        </w:tc>
      </w:tr>
      <w:tr w:rsidR="009003EA" w:rsidTr="00C97CF1">
        <w:trPr>
          <w:trHeight w:val="1130"/>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0"/>
                <w:sz w:val="24"/>
                <w:szCs w:val="24"/>
              </w:rPr>
              <w:t>投资者关系活</w:t>
            </w:r>
            <w:r>
              <w:rPr>
                <w:rFonts w:ascii="宋体" w:eastAsia="宋体" w:hAnsi="宋体" w:cs="宋体" w:hint="eastAsia"/>
                <w:spacing w:val="9"/>
                <w:sz w:val="24"/>
                <w:szCs w:val="24"/>
              </w:rPr>
              <w:t>动</w:t>
            </w:r>
            <w:r>
              <w:rPr>
                <w:rFonts w:ascii="宋体" w:eastAsia="宋体" w:hAnsi="宋体" w:cs="宋体" w:hint="eastAsia"/>
                <w:sz w:val="24"/>
                <w:szCs w:val="24"/>
              </w:rPr>
              <w:t xml:space="preserve"> </w:t>
            </w:r>
            <w:r>
              <w:rPr>
                <w:rFonts w:ascii="宋体" w:eastAsia="宋体" w:hAnsi="宋体" w:cs="宋体" w:hint="eastAsia"/>
                <w:spacing w:val="8"/>
                <w:sz w:val="24"/>
                <w:szCs w:val="24"/>
              </w:rPr>
              <w:t>主要内容介绍</w:t>
            </w:r>
          </w:p>
        </w:tc>
        <w:tc>
          <w:tcPr>
            <w:tcW w:w="6614" w:type="dxa"/>
            <w:gridSpan w:val="2"/>
          </w:tcPr>
          <w:p w:rsidR="00422874" w:rsidRDefault="00726F19" w:rsidP="009509A7">
            <w:pPr>
              <w:ind w:firstLineChars="147" w:firstLine="353"/>
              <w:rPr>
                <w:rFonts w:ascii="宋体" w:eastAsia="宋体" w:hAnsi="宋体" w:cs="宋体"/>
                <w:sz w:val="24"/>
                <w:szCs w:val="24"/>
              </w:rPr>
            </w:pPr>
            <w:r w:rsidRPr="00726F19">
              <w:rPr>
                <w:rFonts w:ascii="宋体" w:eastAsia="宋体" w:hAnsi="宋体" w:cs="宋体" w:hint="eastAsia"/>
                <w:sz w:val="24"/>
                <w:szCs w:val="24"/>
              </w:rPr>
              <w:t>公司于</w:t>
            </w:r>
            <w:r w:rsidRPr="00726F19">
              <w:rPr>
                <w:rFonts w:ascii="宋体" w:eastAsia="宋体" w:hAnsi="宋体" w:cs="宋体"/>
                <w:sz w:val="24"/>
                <w:szCs w:val="24"/>
              </w:rPr>
              <w:t>2024</w:t>
            </w:r>
            <w:r w:rsidRPr="00726F19">
              <w:rPr>
                <w:rFonts w:ascii="宋体" w:eastAsia="宋体" w:hAnsi="宋体" w:cs="宋体" w:hint="eastAsia"/>
                <w:sz w:val="24"/>
                <w:szCs w:val="24"/>
              </w:rPr>
              <w:t>年</w:t>
            </w:r>
            <w:r w:rsidR="003C128A">
              <w:rPr>
                <w:rFonts w:ascii="宋体" w:eastAsia="宋体" w:hAnsi="宋体" w:cs="宋体"/>
                <w:sz w:val="24"/>
                <w:szCs w:val="24"/>
              </w:rPr>
              <w:t>11</w:t>
            </w:r>
            <w:r w:rsidRPr="00726F19">
              <w:rPr>
                <w:rFonts w:ascii="宋体" w:eastAsia="宋体" w:hAnsi="宋体" w:cs="宋体" w:hint="eastAsia"/>
                <w:sz w:val="24"/>
                <w:szCs w:val="24"/>
              </w:rPr>
              <w:t>月</w:t>
            </w:r>
            <w:r w:rsidRPr="00726F19">
              <w:rPr>
                <w:rFonts w:ascii="宋体" w:eastAsia="宋体" w:hAnsi="宋体" w:cs="宋体"/>
                <w:sz w:val="24"/>
                <w:szCs w:val="24"/>
              </w:rPr>
              <w:t>2</w:t>
            </w:r>
            <w:r w:rsidR="003C128A">
              <w:rPr>
                <w:rFonts w:ascii="宋体" w:eastAsia="宋体" w:hAnsi="宋体" w:cs="宋体"/>
                <w:sz w:val="24"/>
                <w:szCs w:val="24"/>
              </w:rPr>
              <w:t>1</w:t>
            </w:r>
            <w:r w:rsidRPr="00726F19">
              <w:rPr>
                <w:rFonts w:ascii="宋体" w:eastAsia="宋体" w:hAnsi="宋体" w:cs="宋体" w:hint="eastAsia"/>
                <w:sz w:val="24"/>
                <w:szCs w:val="24"/>
              </w:rPr>
              <w:t>日</w:t>
            </w:r>
            <w:r w:rsidR="003C128A">
              <w:rPr>
                <w:rFonts w:ascii="宋体" w:eastAsia="宋体" w:hAnsi="宋体" w:cs="宋体"/>
                <w:sz w:val="24"/>
                <w:szCs w:val="24"/>
              </w:rPr>
              <w:t>13</w:t>
            </w:r>
            <w:r w:rsidRPr="00726F19">
              <w:rPr>
                <w:rFonts w:ascii="宋体" w:eastAsia="宋体" w:hAnsi="宋体" w:cs="宋体" w:hint="eastAsia"/>
                <w:sz w:val="24"/>
                <w:szCs w:val="24"/>
              </w:rPr>
              <w:t>点至</w:t>
            </w:r>
            <w:r w:rsidR="003C128A">
              <w:rPr>
                <w:rFonts w:ascii="宋体" w:eastAsia="宋体" w:hAnsi="宋体" w:cs="宋体"/>
                <w:sz w:val="24"/>
                <w:szCs w:val="24"/>
              </w:rPr>
              <w:t>14</w:t>
            </w:r>
            <w:r w:rsidRPr="00726F19">
              <w:rPr>
                <w:rFonts w:ascii="宋体" w:eastAsia="宋体" w:hAnsi="宋体" w:cs="宋体" w:hint="eastAsia"/>
                <w:sz w:val="24"/>
                <w:szCs w:val="24"/>
              </w:rPr>
              <w:t>点半在上证</w:t>
            </w:r>
            <w:r w:rsidRPr="00726F19">
              <w:rPr>
                <w:rFonts w:ascii="宋体" w:eastAsia="宋体" w:hAnsi="宋体" w:cs="宋体"/>
                <w:sz w:val="24"/>
                <w:szCs w:val="24"/>
              </w:rPr>
              <w:t>E</w:t>
            </w:r>
            <w:r w:rsidRPr="00726F19">
              <w:rPr>
                <w:rFonts w:ascii="宋体" w:eastAsia="宋体" w:hAnsi="宋体" w:cs="宋体" w:hint="eastAsia"/>
                <w:sz w:val="24"/>
                <w:szCs w:val="24"/>
              </w:rPr>
              <w:t>路演中心举办“中远海发</w:t>
            </w:r>
            <w:r w:rsidRPr="00726F19">
              <w:rPr>
                <w:rFonts w:ascii="宋体" w:eastAsia="宋体" w:hAnsi="宋体" w:cs="宋体"/>
                <w:sz w:val="24"/>
                <w:szCs w:val="24"/>
              </w:rPr>
              <w:t>2024</w:t>
            </w:r>
            <w:r w:rsidRPr="00726F19">
              <w:rPr>
                <w:rFonts w:ascii="宋体" w:eastAsia="宋体" w:hAnsi="宋体" w:cs="宋体" w:hint="eastAsia"/>
                <w:sz w:val="24"/>
                <w:szCs w:val="24"/>
              </w:rPr>
              <w:t>年</w:t>
            </w:r>
            <w:r w:rsidR="003C128A">
              <w:rPr>
                <w:rFonts w:ascii="宋体" w:eastAsia="宋体" w:hAnsi="宋体" w:cs="宋体" w:hint="eastAsia"/>
                <w:sz w:val="24"/>
                <w:szCs w:val="24"/>
              </w:rPr>
              <w:t>第三季度</w:t>
            </w:r>
            <w:r w:rsidRPr="00726F19">
              <w:rPr>
                <w:rFonts w:ascii="宋体" w:eastAsia="宋体" w:hAnsi="宋体" w:cs="宋体" w:hint="eastAsia"/>
                <w:sz w:val="24"/>
                <w:szCs w:val="24"/>
              </w:rPr>
              <w:t>年度业绩说明会”，以线上互动形式进一步加强投资者沟通。</w:t>
            </w:r>
            <w:r w:rsidR="008207A5">
              <w:rPr>
                <w:rFonts w:ascii="宋体" w:eastAsia="宋体" w:hAnsi="宋体" w:cs="宋体" w:hint="eastAsia"/>
                <w:sz w:val="24"/>
                <w:szCs w:val="24"/>
              </w:rPr>
              <w:t>主要问题</w:t>
            </w:r>
            <w:r w:rsidR="00422874">
              <w:rPr>
                <w:rFonts w:ascii="宋体" w:eastAsia="宋体" w:hAnsi="宋体" w:cs="宋体" w:hint="eastAsia"/>
                <w:sz w:val="24"/>
                <w:szCs w:val="24"/>
              </w:rPr>
              <w:t>如下：</w:t>
            </w:r>
          </w:p>
          <w:p w:rsidR="004D6225" w:rsidRDefault="004D6225" w:rsidP="00422874">
            <w:pPr>
              <w:rPr>
                <w:rFonts w:ascii="宋体" w:eastAsia="宋体" w:hAnsi="宋体" w:cs="宋体"/>
                <w:sz w:val="24"/>
                <w:szCs w:val="24"/>
              </w:rPr>
            </w:pPr>
          </w:p>
          <w:p w:rsidR="00C97CF1" w:rsidRPr="00A304D2" w:rsidRDefault="00D83300" w:rsidP="00C97CF1">
            <w:pPr>
              <w:pStyle w:val="a7"/>
              <w:numPr>
                <w:ilvl w:val="0"/>
                <w:numId w:val="2"/>
              </w:numPr>
              <w:ind w:firstLineChars="0"/>
              <w:rPr>
                <w:rFonts w:ascii="宋体" w:eastAsia="宋体" w:hAnsi="宋体" w:cs="宋体" w:hint="eastAsia"/>
                <w:b/>
                <w:sz w:val="24"/>
                <w:szCs w:val="24"/>
              </w:rPr>
            </w:pPr>
            <w:r w:rsidRPr="00C97CF1">
              <w:rPr>
                <w:rFonts w:ascii="宋体" w:eastAsia="宋体" w:hAnsi="宋体" w:cs="宋体" w:hint="eastAsia"/>
                <w:b/>
                <w:sz w:val="24"/>
                <w:szCs w:val="24"/>
              </w:rPr>
              <w:t>公司最近在做股份回购，主动市值管理很好，具体方案、进展情况如何</w:t>
            </w:r>
            <w:r w:rsidR="00726F19" w:rsidRPr="00C97CF1">
              <w:rPr>
                <w:rFonts w:ascii="宋体" w:eastAsia="宋体" w:hAnsi="宋体" w:cs="宋体" w:hint="eastAsia"/>
                <w:b/>
                <w:sz w:val="24"/>
                <w:szCs w:val="24"/>
              </w:rPr>
              <w:t>？</w:t>
            </w:r>
          </w:p>
          <w:p w:rsidR="008F44FB" w:rsidRPr="008F44FB" w:rsidRDefault="008F44FB" w:rsidP="008F44FB">
            <w:pPr>
              <w:ind w:firstLineChars="147" w:firstLine="353"/>
              <w:rPr>
                <w:rFonts w:ascii="宋体" w:eastAsia="宋体" w:hAnsi="宋体" w:cs="宋体"/>
                <w:sz w:val="24"/>
                <w:szCs w:val="24"/>
              </w:rPr>
            </w:pPr>
            <w:r w:rsidRPr="008F44FB">
              <w:rPr>
                <w:rFonts w:ascii="宋体" w:eastAsia="宋体" w:hAnsi="宋体" w:cs="宋体" w:hint="eastAsia"/>
                <w:sz w:val="24"/>
                <w:szCs w:val="24"/>
              </w:rPr>
              <w:t>公司为进一步落实新“国九条”关于推动上市公司价值提升相关要求的具体举措，增强投资者信心，并基于对未来稳健可持续发展的信心，公司于</w:t>
            </w:r>
            <w:r w:rsidRPr="008F44FB">
              <w:rPr>
                <w:rFonts w:ascii="宋体" w:eastAsia="宋体" w:hAnsi="宋体" w:cs="宋体"/>
                <w:sz w:val="24"/>
                <w:szCs w:val="24"/>
              </w:rPr>
              <w:t>10</w:t>
            </w:r>
            <w:r w:rsidRPr="008F44FB">
              <w:rPr>
                <w:rFonts w:ascii="宋体" w:eastAsia="宋体" w:hAnsi="宋体" w:cs="宋体" w:hint="eastAsia"/>
                <w:sz w:val="24"/>
                <w:szCs w:val="24"/>
              </w:rPr>
              <w:t>月</w:t>
            </w:r>
            <w:r w:rsidRPr="008F44FB">
              <w:rPr>
                <w:rFonts w:ascii="宋体" w:eastAsia="宋体" w:hAnsi="宋体" w:cs="宋体"/>
                <w:sz w:val="24"/>
                <w:szCs w:val="24"/>
              </w:rPr>
              <w:t>20</w:t>
            </w:r>
            <w:r w:rsidRPr="008F44FB">
              <w:rPr>
                <w:rFonts w:ascii="宋体" w:eastAsia="宋体" w:hAnsi="宋体" w:cs="宋体" w:hint="eastAsia"/>
                <w:sz w:val="24"/>
                <w:szCs w:val="24"/>
              </w:rPr>
              <w:t>日发布回购股份方案：计划在回购方案获得股东大会通过后</w:t>
            </w:r>
            <w:r w:rsidRPr="008F44FB">
              <w:rPr>
                <w:rFonts w:ascii="宋体" w:eastAsia="宋体" w:hAnsi="宋体" w:cs="宋体"/>
                <w:sz w:val="24"/>
                <w:szCs w:val="24"/>
              </w:rPr>
              <w:t>6</w:t>
            </w:r>
            <w:r w:rsidRPr="008F44FB">
              <w:rPr>
                <w:rFonts w:ascii="宋体" w:eastAsia="宋体" w:hAnsi="宋体" w:cs="宋体" w:hint="eastAsia"/>
                <w:sz w:val="24"/>
                <w:szCs w:val="24"/>
              </w:rPr>
              <w:t>个月内，回购</w:t>
            </w:r>
            <w:r w:rsidRPr="008F44FB">
              <w:rPr>
                <w:rFonts w:ascii="宋体" w:eastAsia="宋体" w:hAnsi="宋体" w:cs="宋体"/>
                <w:sz w:val="24"/>
                <w:szCs w:val="24"/>
              </w:rPr>
              <w:t>4000</w:t>
            </w:r>
            <w:r w:rsidRPr="008F44FB">
              <w:rPr>
                <w:rFonts w:ascii="宋体" w:eastAsia="宋体" w:hAnsi="宋体" w:cs="宋体" w:hint="eastAsia"/>
                <w:sz w:val="24"/>
                <w:szCs w:val="24"/>
              </w:rPr>
              <w:t>万股至</w:t>
            </w:r>
            <w:r w:rsidRPr="008F44FB">
              <w:rPr>
                <w:rFonts w:ascii="宋体" w:eastAsia="宋体" w:hAnsi="宋体" w:cs="宋体"/>
                <w:sz w:val="24"/>
                <w:szCs w:val="24"/>
              </w:rPr>
              <w:t>8000</w:t>
            </w:r>
            <w:r w:rsidRPr="008F44FB">
              <w:rPr>
                <w:rFonts w:ascii="宋体" w:eastAsia="宋体" w:hAnsi="宋体" w:cs="宋体" w:hint="eastAsia"/>
                <w:sz w:val="24"/>
                <w:szCs w:val="24"/>
              </w:rPr>
              <w:t>万股公司</w:t>
            </w:r>
            <w:r w:rsidRPr="008F44FB">
              <w:rPr>
                <w:rFonts w:ascii="宋体" w:eastAsia="宋体" w:hAnsi="宋体" w:cs="宋体"/>
                <w:sz w:val="24"/>
                <w:szCs w:val="24"/>
              </w:rPr>
              <w:t>A</w:t>
            </w:r>
            <w:r w:rsidRPr="008F44FB">
              <w:rPr>
                <w:rFonts w:ascii="宋体" w:eastAsia="宋体" w:hAnsi="宋体" w:cs="宋体" w:hint="eastAsia"/>
                <w:sz w:val="24"/>
                <w:szCs w:val="24"/>
              </w:rPr>
              <w:t>股股份，回购价格上限为</w:t>
            </w:r>
            <w:r w:rsidRPr="008F44FB">
              <w:rPr>
                <w:rFonts w:ascii="宋体" w:eastAsia="宋体" w:hAnsi="宋体" w:cs="宋体"/>
                <w:sz w:val="24"/>
                <w:szCs w:val="24"/>
              </w:rPr>
              <w:t>3.59</w:t>
            </w:r>
            <w:r w:rsidRPr="008F44FB">
              <w:rPr>
                <w:rFonts w:ascii="宋体" w:eastAsia="宋体" w:hAnsi="宋体" w:cs="宋体" w:hint="eastAsia"/>
                <w:sz w:val="24"/>
                <w:szCs w:val="24"/>
              </w:rPr>
              <w:t>元</w:t>
            </w:r>
            <w:r w:rsidRPr="008F44FB">
              <w:rPr>
                <w:rFonts w:ascii="宋体" w:eastAsia="宋体" w:hAnsi="宋体" w:cs="宋体"/>
                <w:sz w:val="24"/>
                <w:szCs w:val="24"/>
              </w:rPr>
              <w:t>/</w:t>
            </w:r>
            <w:r w:rsidRPr="008F44FB">
              <w:rPr>
                <w:rFonts w:ascii="宋体" w:eastAsia="宋体" w:hAnsi="宋体" w:cs="宋体" w:hint="eastAsia"/>
                <w:sz w:val="24"/>
                <w:szCs w:val="24"/>
              </w:rPr>
              <w:t>股，预计回购金额为人民币</w:t>
            </w:r>
            <w:r w:rsidRPr="008F44FB">
              <w:rPr>
                <w:rFonts w:ascii="宋体" w:eastAsia="宋体" w:hAnsi="宋体" w:cs="宋体"/>
                <w:sz w:val="24"/>
                <w:szCs w:val="24"/>
              </w:rPr>
              <w:t>1.436</w:t>
            </w:r>
            <w:r w:rsidRPr="008F44FB">
              <w:rPr>
                <w:rFonts w:ascii="宋体" w:eastAsia="宋体" w:hAnsi="宋体" w:cs="宋体" w:hint="eastAsia"/>
                <w:sz w:val="24"/>
                <w:szCs w:val="24"/>
              </w:rPr>
              <w:t>亿元</w:t>
            </w:r>
            <w:r w:rsidRPr="008F44FB">
              <w:rPr>
                <w:rFonts w:ascii="宋体" w:eastAsia="宋体" w:hAnsi="宋体" w:cs="宋体"/>
                <w:sz w:val="24"/>
                <w:szCs w:val="24"/>
              </w:rPr>
              <w:t>-2.872</w:t>
            </w:r>
            <w:r w:rsidRPr="008F44FB">
              <w:rPr>
                <w:rFonts w:ascii="宋体" w:eastAsia="宋体" w:hAnsi="宋体" w:cs="宋体" w:hint="eastAsia"/>
                <w:sz w:val="24"/>
                <w:szCs w:val="24"/>
              </w:rPr>
              <w:t>亿元。此外，公司将股东大会已批准的一般性授权框架下实施</w:t>
            </w:r>
            <w:r w:rsidRPr="008F44FB">
              <w:rPr>
                <w:rFonts w:ascii="宋体" w:eastAsia="宋体" w:hAnsi="宋体" w:cs="宋体"/>
                <w:sz w:val="24"/>
                <w:szCs w:val="24"/>
              </w:rPr>
              <w:t>H</w:t>
            </w:r>
            <w:r w:rsidRPr="008F44FB">
              <w:rPr>
                <w:rFonts w:ascii="宋体" w:eastAsia="宋体" w:hAnsi="宋体" w:cs="宋体" w:hint="eastAsia"/>
                <w:sz w:val="24"/>
                <w:szCs w:val="24"/>
              </w:rPr>
              <w:t>股股份回购，回购的股份将全部注销并</w:t>
            </w:r>
            <w:r w:rsidRPr="008F44FB">
              <w:rPr>
                <w:rFonts w:ascii="宋体" w:eastAsia="宋体" w:hAnsi="宋体" w:cs="宋体" w:hint="eastAsia"/>
                <w:sz w:val="24"/>
                <w:szCs w:val="24"/>
              </w:rPr>
              <w:lastRenderedPageBreak/>
              <w:t>减少注册资本。</w:t>
            </w:r>
            <w:r w:rsidRPr="008F44FB">
              <w:rPr>
                <w:rFonts w:ascii="宋体" w:eastAsia="宋体" w:hAnsi="宋体" w:cs="宋体"/>
                <w:sz w:val="24"/>
                <w:szCs w:val="24"/>
              </w:rPr>
              <w:t>11</w:t>
            </w:r>
            <w:r w:rsidRPr="008F44FB">
              <w:rPr>
                <w:rFonts w:ascii="宋体" w:eastAsia="宋体" w:hAnsi="宋体" w:cs="宋体" w:hint="eastAsia"/>
                <w:sz w:val="24"/>
                <w:szCs w:val="24"/>
              </w:rPr>
              <w:t>月</w:t>
            </w:r>
            <w:r w:rsidRPr="008F44FB">
              <w:rPr>
                <w:rFonts w:ascii="宋体" w:eastAsia="宋体" w:hAnsi="宋体" w:cs="宋体"/>
                <w:sz w:val="24"/>
                <w:szCs w:val="24"/>
              </w:rPr>
              <w:t>13</w:t>
            </w:r>
            <w:r w:rsidRPr="008F44FB">
              <w:rPr>
                <w:rFonts w:ascii="宋体" w:eastAsia="宋体" w:hAnsi="宋体" w:cs="宋体" w:hint="eastAsia"/>
                <w:sz w:val="24"/>
                <w:szCs w:val="24"/>
              </w:rPr>
              <w:t>日，公司召开股东大会，审议通过了《关于公司回购</w:t>
            </w:r>
            <w:r w:rsidRPr="008F44FB">
              <w:rPr>
                <w:rFonts w:ascii="宋体" w:eastAsia="宋体" w:hAnsi="宋体" w:cs="宋体"/>
                <w:sz w:val="24"/>
                <w:szCs w:val="24"/>
              </w:rPr>
              <w:t>A</w:t>
            </w:r>
            <w:r w:rsidRPr="008F44FB">
              <w:rPr>
                <w:rFonts w:ascii="宋体" w:eastAsia="宋体" w:hAnsi="宋体" w:cs="宋体" w:hint="eastAsia"/>
                <w:sz w:val="24"/>
                <w:szCs w:val="24"/>
              </w:rPr>
              <w:t>股股份方案的议案》。</w:t>
            </w:r>
          </w:p>
          <w:p w:rsidR="00A304D2" w:rsidRPr="008F44FB" w:rsidRDefault="008F44FB" w:rsidP="008F44FB">
            <w:pPr>
              <w:ind w:firstLineChars="147" w:firstLine="353"/>
              <w:rPr>
                <w:rFonts w:ascii="宋体" w:eastAsia="宋体" w:hAnsi="宋体" w:cs="宋体" w:hint="eastAsia"/>
                <w:sz w:val="24"/>
                <w:szCs w:val="24"/>
              </w:rPr>
            </w:pPr>
            <w:bookmarkStart w:id="1" w:name="_GoBack"/>
            <w:bookmarkEnd w:id="1"/>
            <w:r w:rsidRPr="008F44FB">
              <w:rPr>
                <w:rFonts w:ascii="宋体" w:eastAsia="宋体" w:hAnsi="宋体" w:cs="宋体"/>
                <w:sz w:val="24"/>
                <w:szCs w:val="24"/>
              </w:rPr>
              <w:t>11</w:t>
            </w:r>
            <w:r w:rsidRPr="008F44FB">
              <w:rPr>
                <w:rFonts w:ascii="宋体" w:eastAsia="宋体" w:hAnsi="宋体" w:cs="宋体" w:hint="eastAsia"/>
                <w:sz w:val="24"/>
                <w:szCs w:val="24"/>
              </w:rPr>
              <w:t>月，公司先后开展</w:t>
            </w:r>
            <w:r w:rsidRPr="008F44FB">
              <w:rPr>
                <w:rFonts w:ascii="宋体" w:eastAsia="宋体" w:hAnsi="宋体" w:cs="宋体"/>
                <w:sz w:val="24"/>
                <w:szCs w:val="24"/>
              </w:rPr>
              <w:t>H</w:t>
            </w:r>
            <w:r w:rsidRPr="008F44FB">
              <w:rPr>
                <w:rFonts w:ascii="宋体" w:eastAsia="宋体" w:hAnsi="宋体" w:cs="宋体" w:hint="eastAsia"/>
                <w:sz w:val="24"/>
                <w:szCs w:val="24"/>
              </w:rPr>
              <w:t>股、</w:t>
            </w:r>
            <w:r w:rsidRPr="008F44FB">
              <w:rPr>
                <w:rFonts w:ascii="宋体" w:eastAsia="宋体" w:hAnsi="宋体" w:cs="宋体"/>
                <w:sz w:val="24"/>
                <w:szCs w:val="24"/>
              </w:rPr>
              <w:t>A</w:t>
            </w:r>
            <w:r w:rsidRPr="008F44FB">
              <w:rPr>
                <w:rFonts w:ascii="宋体" w:eastAsia="宋体" w:hAnsi="宋体" w:cs="宋体" w:hint="eastAsia"/>
                <w:sz w:val="24"/>
                <w:szCs w:val="24"/>
              </w:rPr>
              <w:t>股回购。截止</w:t>
            </w:r>
            <w:r w:rsidRPr="008F44FB">
              <w:rPr>
                <w:rFonts w:ascii="宋体" w:eastAsia="宋体" w:hAnsi="宋体" w:cs="宋体"/>
                <w:sz w:val="24"/>
                <w:szCs w:val="24"/>
              </w:rPr>
              <w:t>11</w:t>
            </w:r>
            <w:r w:rsidRPr="008F44FB">
              <w:rPr>
                <w:rFonts w:ascii="宋体" w:eastAsia="宋体" w:hAnsi="宋体" w:cs="宋体" w:hint="eastAsia"/>
                <w:sz w:val="24"/>
                <w:szCs w:val="24"/>
              </w:rPr>
              <w:t>月</w:t>
            </w:r>
            <w:r w:rsidRPr="008F44FB">
              <w:rPr>
                <w:rFonts w:ascii="宋体" w:eastAsia="宋体" w:hAnsi="宋体" w:cs="宋体"/>
                <w:sz w:val="24"/>
                <w:szCs w:val="24"/>
              </w:rPr>
              <w:t>20</w:t>
            </w:r>
            <w:r w:rsidRPr="008F44FB">
              <w:rPr>
                <w:rFonts w:ascii="宋体" w:eastAsia="宋体" w:hAnsi="宋体" w:cs="宋体" w:hint="eastAsia"/>
                <w:sz w:val="24"/>
                <w:szCs w:val="24"/>
              </w:rPr>
              <w:t>日，公司已累计回购</w:t>
            </w:r>
            <w:r w:rsidRPr="008F44FB">
              <w:rPr>
                <w:rFonts w:ascii="宋体" w:eastAsia="宋体" w:hAnsi="宋体" w:cs="宋体"/>
                <w:sz w:val="24"/>
                <w:szCs w:val="24"/>
              </w:rPr>
              <w:t>A+H</w:t>
            </w:r>
            <w:r w:rsidRPr="008F44FB">
              <w:rPr>
                <w:rFonts w:ascii="宋体" w:eastAsia="宋体" w:hAnsi="宋体" w:cs="宋体" w:hint="eastAsia"/>
                <w:sz w:val="24"/>
                <w:szCs w:val="24"/>
              </w:rPr>
              <w:t>股超</w:t>
            </w:r>
            <w:r w:rsidRPr="008F44FB">
              <w:rPr>
                <w:rFonts w:ascii="宋体" w:eastAsia="宋体" w:hAnsi="宋体" w:cs="宋体"/>
                <w:sz w:val="24"/>
                <w:szCs w:val="24"/>
              </w:rPr>
              <w:t>4200</w:t>
            </w:r>
            <w:r w:rsidRPr="008F44FB">
              <w:rPr>
                <w:rFonts w:ascii="宋体" w:eastAsia="宋体" w:hAnsi="宋体" w:cs="宋体" w:hint="eastAsia"/>
                <w:sz w:val="24"/>
                <w:szCs w:val="24"/>
              </w:rPr>
              <w:t>万股，公司将持续推进</w:t>
            </w:r>
            <w:r w:rsidRPr="008F44FB">
              <w:rPr>
                <w:rFonts w:ascii="宋体" w:eastAsia="宋体" w:hAnsi="宋体" w:cs="宋体"/>
                <w:sz w:val="24"/>
                <w:szCs w:val="24"/>
              </w:rPr>
              <w:t>A</w:t>
            </w:r>
            <w:r w:rsidRPr="008F44FB">
              <w:rPr>
                <w:rFonts w:ascii="宋体" w:eastAsia="宋体" w:hAnsi="宋体" w:cs="宋体" w:hint="eastAsia"/>
                <w:sz w:val="24"/>
                <w:szCs w:val="24"/>
              </w:rPr>
              <w:t>、</w:t>
            </w:r>
            <w:r w:rsidRPr="008F44FB">
              <w:rPr>
                <w:rFonts w:ascii="宋体" w:eastAsia="宋体" w:hAnsi="宋体" w:cs="宋体"/>
                <w:sz w:val="24"/>
                <w:szCs w:val="24"/>
              </w:rPr>
              <w:t>H</w:t>
            </w:r>
            <w:r w:rsidRPr="008F44FB">
              <w:rPr>
                <w:rFonts w:ascii="宋体" w:eastAsia="宋体" w:hAnsi="宋体" w:cs="宋体" w:hint="eastAsia"/>
                <w:sz w:val="24"/>
                <w:szCs w:val="24"/>
              </w:rPr>
              <w:t>股两地回购，具体回购情况请参见公司披露公告。</w:t>
            </w:r>
          </w:p>
          <w:p w:rsidR="00726F19" w:rsidRPr="00C97CF1" w:rsidRDefault="00D83300" w:rsidP="00C97CF1">
            <w:pPr>
              <w:pStyle w:val="a7"/>
              <w:numPr>
                <w:ilvl w:val="0"/>
                <w:numId w:val="2"/>
              </w:numPr>
              <w:ind w:firstLineChars="0"/>
              <w:rPr>
                <w:rFonts w:ascii="宋体" w:eastAsia="宋体" w:hAnsi="宋体" w:cs="宋体"/>
                <w:b/>
                <w:sz w:val="24"/>
                <w:szCs w:val="24"/>
              </w:rPr>
            </w:pPr>
            <w:r w:rsidRPr="00C97CF1">
              <w:rPr>
                <w:rFonts w:ascii="宋体" w:eastAsia="宋体" w:hAnsi="宋体" w:cs="宋体" w:hint="eastAsia"/>
                <w:b/>
                <w:sz w:val="24"/>
                <w:szCs w:val="24"/>
              </w:rPr>
              <w:t>请介绍一下公司集装箱在手订单情况及</w:t>
            </w:r>
            <w:r w:rsidRPr="00C97CF1">
              <w:rPr>
                <w:rFonts w:ascii="宋体" w:eastAsia="宋体" w:hAnsi="宋体" w:cs="宋体"/>
                <w:b/>
                <w:sz w:val="24"/>
                <w:szCs w:val="24"/>
              </w:rPr>
              <w:t>2025</w:t>
            </w:r>
            <w:r w:rsidRPr="00C97CF1">
              <w:rPr>
                <w:rFonts w:ascii="宋体" w:eastAsia="宋体" w:hAnsi="宋体" w:cs="宋体" w:hint="eastAsia"/>
                <w:b/>
                <w:sz w:val="24"/>
                <w:szCs w:val="24"/>
              </w:rPr>
              <w:t>年集装箱市场展望</w:t>
            </w:r>
            <w:r w:rsidR="00726F19" w:rsidRPr="00C97CF1">
              <w:rPr>
                <w:rFonts w:ascii="宋体" w:eastAsia="宋体" w:hAnsi="宋体" w:cs="宋体" w:hint="eastAsia"/>
                <w:b/>
                <w:sz w:val="24"/>
                <w:szCs w:val="24"/>
              </w:rPr>
              <w:t>？</w:t>
            </w:r>
          </w:p>
          <w:p w:rsidR="00C97CF1" w:rsidRDefault="00A304D2" w:rsidP="00A304D2">
            <w:pPr>
              <w:ind w:firstLineChars="147" w:firstLine="353"/>
              <w:rPr>
                <w:rFonts w:ascii="宋体" w:eastAsia="宋体" w:hAnsi="宋体" w:cs="宋体"/>
                <w:snapToGrid/>
                <w:color w:val="auto"/>
                <w:kern w:val="2"/>
                <w:sz w:val="24"/>
                <w:szCs w:val="24"/>
              </w:rPr>
            </w:pPr>
            <w:r w:rsidRPr="00A304D2">
              <w:rPr>
                <w:rFonts w:ascii="宋体" w:eastAsia="宋体" w:hAnsi="宋体" w:cs="宋体" w:hint="eastAsia"/>
                <w:snapToGrid/>
                <w:color w:val="auto"/>
                <w:kern w:val="2"/>
                <w:sz w:val="24"/>
                <w:szCs w:val="24"/>
              </w:rPr>
              <w:t>目前各箱厂整体生产经营正常有序，在手订单干、冷箱均已排产至</w:t>
            </w:r>
            <w:r w:rsidRPr="00A304D2">
              <w:rPr>
                <w:rFonts w:ascii="宋体" w:eastAsia="宋体" w:hAnsi="宋体" w:cs="宋体"/>
                <w:snapToGrid/>
                <w:color w:val="auto"/>
                <w:kern w:val="2"/>
                <w:sz w:val="24"/>
                <w:szCs w:val="24"/>
              </w:rPr>
              <w:t>2024</w:t>
            </w:r>
            <w:r w:rsidRPr="00A304D2">
              <w:rPr>
                <w:rFonts w:ascii="宋体" w:eastAsia="宋体" w:hAnsi="宋体" w:cs="宋体" w:hint="eastAsia"/>
                <w:snapToGrid/>
                <w:color w:val="auto"/>
                <w:kern w:val="2"/>
                <w:sz w:val="24"/>
                <w:szCs w:val="24"/>
              </w:rPr>
              <w:t>年</w:t>
            </w:r>
            <w:r w:rsidRPr="00A304D2">
              <w:rPr>
                <w:rFonts w:ascii="宋体" w:eastAsia="宋体" w:hAnsi="宋体" w:cs="宋体"/>
                <w:snapToGrid/>
                <w:color w:val="auto"/>
                <w:kern w:val="2"/>
                <w:sz w:val="24"/>
                <w:szCs w:val="24"/>
              </w:rPr>
              <w:t>12</w:t>
            </w:r>
            <w:r w:rsidRPr="00A304D2">
              <w:rPr>
                <w:rFonts w:ascii="宋体" w:eastAsia="宋体" w:hAnsi="宋体" w:cs="宋体" w:hint="eastAsia"/>
                <w:snapToGrid/>
                <w:color w:val="auto"/>
                <w:kern w:val="2"/>
                <w:sz w:val="24"/>
                <w:szCs w:val="24"/>
              </w:rPr>
              <w:t>月</w:t>
            </w:r>
            <w:r w:rsidRPr="00A304D2">
              <w:rPr>
                <w:rFonts w:ascii="宋体" w:eastAsia="宋体" w:hAnsi="宋体" w:cs="宋体"/>
                <w:snapToGrid/>
                <w:color w:val="auto"/>
                <w:kern w:val="2"/>
                <w:sz w:val="24"/>
                <w:szCs w:val="24"/>
              </w:rPr>
              <w:t>-2025</w:t>
            </w:r>
            <w:r w:rsidRPr="00A304D2">
              <w:rPr>
                <w:rFonts w:ascii="宋体" w:eastAsia="宋体" w:hAnsi="宋体" w:cs="宋体" w:hint="eastAsia"/>
                <w:snapToGrid/>
                <w:color w:val="auto"/>
                <w:kern w:val="2"/>
                <w:sz w:val="24"/>
                <w:szCs w:val="24"/>
              </w:rPr>
              <w:t>年</w:t>
            </w:r>
            <w:r w:rsidRPr="00A304D2">
              <w:rPr>
                <w:rFonts w:ascii="宋体" w:eastAsia="宋体" w:hAnsi="宋体" w:cs="宋体"/>
                <w:snapToGrid/>
                <w:color w:val="auto"/>
                <w:kern w:val="2"/>
                <w:sz w:val="24"/>
                <w:szCs w:val="24"/>
              </w:rPr>
              <w:t>1</w:t>
            </w:r>
            <w:r w:rsidRPr="00A304D2">
              <w:rPr>
                <w:rFonts w:ascii="宋体" w:eastAsia="宋体" w:hAnsi="宋体" w:cs="宋体" w:hint="eastAsia"/>
                <w:snapToGrid/>
                <w:color w:val="auto"/>
                <w:kern w:val="2"/>
                <w:sz w:val="24"/>
                <w:szCs w:val="24"/>
              </w:rPr>
              <w:t>月。</w:t>
            </w:r>
            <w:r w:rsidRPr="00A304D2">
              <w:rPr>
                <w:rFonts w:ascii="宋体" w:eastAsia="宋体" w:hAnsi="宋体" w:cs="宋体"/>
                <w:snapToGrid/>
                <w:color w:val="auto"/>
                <w:kern w:val="2"/>
                <w:sz w:val="24"/>
                <w:szCs w:val="24"/>
              </w:rPr>
              <w:t>2024</w:t>
            </w:r>
            <w:r w:rsidRPr="00A304D2">
              <w:rPr>
                <w:rFonts w:ascii="宋体" w:eastAsia="宋体" w:hAnsi="宋体" w:cs="宋体" w:hint="eastAsia"/>
                <w:snapToGrid/>
                <w:color w:val="auto"/>
                <w:kern w:val="2"/>
                <w:sz w:val="24"/>
                <w:szCs w:val="24"/>
              </w:rPr>
              <w:t>年以来，集装箱市场整体供需格局有所改善，需求受多方面因素叠加影响明显上升。在未来一段时间，新运力配箱需求、旧箱更新需求以及国家产业结构调整带来的集装箱应用场景的拓展仍将为造箱市场提供稳定的支撑基础。而全球贸易前景、地缘政治局势等因素将持续影响集装箱市场</w:t>
            </w:r>
            <w:r w:rsidRPr="00A304D2">
              <w:rPr>
                <w:rFonts w:ascii="宋体" w:eastAsia="宋体" w:hAnsi="宋体" w:cs="宋体"/>
                <w:snapToGrid/>
                <w:color w:val="auto"/>
                <w:kern w:val="2"/>
                <w:sz w:val="24"/>
                <w:szCs w:val="24"/>
              </w:rPr>
              <w:t>,</w:t>
            </w:r>
            <w:r w:rsidRPr="00A304D2">
              <w:rPr>
                <w:rFonts w:ascii="宋体" w:eastAsia="宋体" w:hAnsi="宋体" w:cs="宋体" w:hint="eastAsia"/>
                <w:snapToGrid/>
                <w:color w:val="auto"/>
                <w:kern w:val="2"/>
                <w:sz w:val="24"/>
                <w:szCs w:val="24"/>
              </w:rPr>
              <w:t>增加市场供需面的不确定性。</w:t>
            </w:r>
            <w:r w:rsidRPr="00A304D2">
              <w:rPr>
                <w:rFonts w:ascii="宋体" w:eastAsia="宋体" w:hAnsi="宋体" w:cs="宋体"/>
                <w:snapToGrid/>
                <w:color w:val="auto"/>
                <w:kern w:val="2"/>
                <w:sz w:val="24"/>
                <w:szCs w:val="24"/>
              </w:rPr>
              <w:t>Drewry</w:t>
            </w:r>
            <w:r w:rsidRPr="00A304D2">
              <w:rPr>
                <w:rFonts w:ascii="宋体" w:eastAsia="宋体" w:hAnsi="宋体" w:cs="宋体" w:hint="eastAsia"/>
                <w:snapToGrid/>
                <w:color w:val="auto"/>
                <w:kern w:val="2"/>
                <w:sz w:val="24"/>
                <w:szCs w:val="24"/>
              </w:rPr>
              <w:t>预计</w:t>
            </w:r>
            <w:r w:rsidRPr="00A304D2">
              <w:rPr>
                <w:rFonts w:ascii="宋体" w:eastAsia="宋体" w:hAnsi="宋体" w:cs="宋体"/>
                <w:snapToGrid/>
                <w:color w:val="auto"/>
                <w:kern w:val="2"/>
                <w:sz w:val="24"/>
                <w:szCs w:val="24"/>
              </w:rPr>
              <w:t>2024</w:t>
            </w:r>
            <w:r w:rsidRPr="00A304D2">
              <w:rPr>
                <w:rFonts w:ascii="宋体" w:eastAsia="宋体" w:hAnsi="宋体" w:cs="宋体" w:hint="eastAsia"/>
                <w:snapToGrid/>
                <w:color w:val="auto"/>
                <w:kern w:val="2"/>
                <w:sz w:val="24"/>
                <w:szCs w:val="24"/>
              </w:rPr>
              <w:t>年集装箱行业产量将超</w:t>
            </w:r>
            <w:r w:rsidRPr="00A304D2">
              <w:rPr>
                <w:rFonts w:ascii="宋体" w:eastAsia="宋体" w:hAnsi="宋体" w:cs="宋体"/>
                <w:snapToGrid/>
                <w:color w:val="auto"/>
                <w:kern w:val="2"/>
                <w:sz w:val="24"/>
                <w:szCs w:val="24"/>
              </w:rPr>
              <w:t>710</w:t>
            </w:r>
            <w:r w:rsidRPr="00A304D2">
              <w:rPr>
                <w:rFonts w:ascii="宋体" w:eastAsia="宋体" w:hAnsi="宋体" w:cs="宋体" w:hint="eastAsia"/>
                <w:snapToGrid/>
                <w:color w:val="auto"/>
                <w:kern w:val="2"/>
                <w:sz w:val="24"/>
                <w:szCs w:val="24"/>
              </w:rPr>
              <w:t>万</w:t>
            </w:r>
            <w:r w:rsidRPr="00A304D2">
              <w:rPr>
                <w:rFonts w:ascii="宋体" w:eastAsia="宋体" w:hAnsi="宋体" w:cs="宋体"/>
                <w:snapToGrid/>
                <w:color w:val="auto"/>
                <w:kern w:val="2"/>
                <w:sz w:val="24"/>
                <w:szCs w:val="24"/>
              </w:rPr>
              <w:t>TEU</w:t>
            </w:r>
            <w:r w:rsidRPr="00A304D2">
              <w:rPr>
                <w:rFonts w:ascii="宋体" w:eastAsia="宋体" w:hAnsi="宋体" w:cs="宋体" w:hint="eastAsia"/>
                <w:snapToGrid/>
                <w:color w:val="auto"/>
                <w:kern w:val="2"/>
                <w:sz w:val="24"/>
                <w:szCs w:val="24"/>
              </w:rPr>
              <w:t>，之后至</w:t>
            </w:r>
            <w:r w:rsidRPr="00A304D2">
              <w:rPr>
                <w:rFonts w:ascii="宋体" w:eastAsia="宋体" w:hAnsi="宋体" w:cs="宋体"/>
                <w:snapToGrid/>
                <w:color w:val="auto"/>
                <w:kern w:val="2"/>
                <w:sz w:val="24"/>
                <w:szCs w:val="24"/>
              </w:rPr>
              <w:t>2028</w:t>
            </w:r>
            <w:r w:rsidRPr="00A304D2">
              <w:rPr>
                <w:rFonts w:ascii="宋体" w:eastAsia="宋体" w:hAnsi="宋体" w:cs="宋体" w:hint="eastAsia"/>
                <w:snapToGrid/>
                <w:color w:val="auto"/>
                <w:kern w:val="2"/>
                <w:sz w:val="24"/>
                <w:szCs w:val="24"/>
              </w:rPr>
              <w:t>年每年产量常态化稳定。</w:t>
            </w:r>
          </w:p>
          <w:p w:rsidR="00A304D2" w:rsidRPr="00A304D2" w:rsidRDefault="00A304D2" w:rsidP="00A304D2">
            <w:pPr>
              <w:ind w:firstLineChars="147" w:firstLine="353"/>
              <w:rPr>
                <w:rFonts w:ascii="宋体" w:eastAsia="宋体" w:hAnsi="宋体" w:cs="宋体" w:hint="eastAsia"/>
                <w:sz w:val="24"/>
                <w:szCs w:val="24"/>
              </w:rPr>
            </w:pPr>
          </w:p>
          <w:p w:rsidR="00726F19" w:rsidRPr="00726F19" w:rsidRDefault="00726F19" w:rsidP="00726F19">
            <w:pPr>
              <w:rPr>
                <w:rFonts w:ascii="宋体" w:eastAsia="宋体" w:hAnsi="宋体" w:cs="宋体"/>
                <w:b/>
                <w:sz w:val="24"/>
                <w:szCs w:val="24"/>
              </w:rPr>
            </w:pPr>
            <w:r w:rsidRPr="00726F19">
              <w:rPr>
                <w:rFonts w:ascii="宋体" w:eastAsia="宋体" w:hAnsi="宋体" w:cs="宋体"/>
                <w:b/>
                <w:sz w:val="24"/>
                <w:szCs w:val="24"/>
              </w:rPr>
              <w:t>3.</w:t>
            </w:r>
            <w:r w:rsidR="00D83300">
              <w:rPr>
                <w:rFonts w:hint="eastAsia"/>
              </w:rPr>
              <w:t xml:space="preserve"> </w:t>
            </w:r>
            <w:r w:rsidR="00D83300" w:rsidRPr="00D83300">
              <w:rPr>
                <w:rFonts w:ascii="宋体" w:eastAsia="宋体" w:hAnsi="宋体" w:cs="宋体" w:hint="eastAsia"/>
                <w:b/>
                <w:sz w:val="24"/>
                <w:szCs w:val="24"/>
              </w:rPr>
              <w:t>现在箱价大概什么水平？明年公司怎么看</w:t>
            </w:r>
            <w:r w:rsidRPr="00726F19">
              <w:rPr>
                <w:rFonts w:ascii="宋体" w:eastAsia="宋体" w:hAnsi="宋体" w:cs="宋体" w:hint="eastAsia"/>
                <w:b/>
                <w:sz w:val="24"/>
                <w:szCs w:val="24"/>
              </w:rPr>
              <w:t>？</w:t>
            </w:r>
          </w:p>
          <w:p w:rsidR="00C97CF1" w:rsidRDefault="00A304D2" w:rsidP="00A304D2">
            <w:pPr>
              <w:ind w:firstLineChars="147" w:firstLine="353"/>
              <w:rPr>
                <w:rFonts w:ascii="宋体" w:eastAsia="宋体" w:hAnsi="宋体" w:cs="宋体"/>
                <w:sz w:val="24"/>
                <w:szCs w:val="24"/>
              </w:rPr>
            </w:pPr>
            <w:r w:rsidRPr="00A304D2">
              <w:rPr>
                <w:rFonts w:ascii="宋体" w:eastAsia="宋体" w:hAnsi="宋体" w:cs="宋体" w:hint="eastAsia"/>
                <w:sz w:val="24"/>
                <w:szCs w:val="24"/>
              </w:rPr>
              <w:t>集装箱价格受市场供需环境和原材料价格水平影响，</w:t>
            </w:r>
            <w:r w:rsidRPr="00A304D2">
              <w:rPr>
                <w:rFonts w:ascii="宋体" w:eastAsia="宋体" w:hAnsi="宋体" w:cs="宋体"/>
                <w:sz w:val="24"/>
                <w:szCs w:val="24"/>
              </w:rPr>
              <w:t>2024</w:t>
            </w:r>
            <w:r w:rsidRPr="00A304D2">
              <w:rPr>
                <w:rFonts w:ascii="宋体" w:eastAsia="宋体" w:hAnsi="宋体" w:cs="宋体" w:hint="eastAsia"/>
                <w:sz w:val="24"/>
                <w:szCs w:val="24"/>
              </w:rPr>
              <w:t>年以来，集装箱市场需求企稳回暖带动价格自年初起逐步提升，近期，集装箱市场供需关系有所松动，原材料价格有所下降，箱价小幅回落。后续，全球经贸环境、地缘政治局势以及新增运力等情况将综合影响集装箱市场供需情况，叠加原材料价格波动，进而影响集装箱价格水平。</w:t>
            </w:r>
          </w:p>
          <w:p w:rsidR="00A304D2" w:rsidRPr="00D83300" w:rsidRDefault="00A304D2" w:rsidP="00A304D2">
            <w:pPr>
              <w:ind w:firstLineChars="147" w:firstLine="353"/>
              <w:rPr>
                <w:rFonts w:ascii="宋体" w:eastAsia="宋体" w:hAnsi="宋体" w:cs="宋体" w:hint="eastAsia"/>
                <w:sz w:val="24"/>
                <w:szCs w:val="24"/>
              </w:rPr>
            </w:pPr>
          </w:p>
          <w:p w:rsidR="00726F19" w:rsidRPr="00726F19" w:rsidRDefault="00726F19" w:rsidP="00726F19">
            <w:pPr>
              <w:rPr>
                <w:rFonts w:ascii="宋体" w:eastAsia="宋体" w:hAnsi="宋体" w:cs="宋体"/>
                <w:b/>
                <w:sz w:val="24"/>
                <w:szCs w:val="24"/>
              </w:rPr>
            </w:pPr>
            <w:r w:rsidRPr="00726F19">
              <w:rPr>
                <w:rFonts w:ascii="宋体" w:eastAsia="宋体" w:hAnsi="宋体" w:cs="宋体"/>
                <w:b/>
                <w:sz w:val="24"/>
                <w:szCs w:val="24"/>
              </w:rPr>
              <w:t>4.</w:t>
            </w:r>
            <w:r w:rsidR="00D83300">
              <w:rPr>
                <w:rFonts w:hint="eastAsia"/>
              </w:rPr>
              <w:t xml:space="preserve"> </w:t>
            </w:r>
            <w:r w:rsidR="00D83300" w:rsidRPr="00D83300">
              <w:rPr>
                <w:rFonts w:ascii="宋体" w:eastAsia="宋体" w:hAnsi="宋体" w:cs="宋体" w:hint="eastAsia"/>
                <w:b/>
                <w:sz w:val="24"/>
                <w:szCs w:val="24"/>
              </w:rPr>
              <w:t>数字化在公司业务领域中有何运用，成效如何？</w:t>
            </w:r>
          </w:p>
          <w:p w:rsidR="00C97CF1" w:rsidRDefault="00A304D2" w:rsidP="00A304D2">
            <w:pPr>
              <w:ind w:firstLineChars="147" w:firstLine="353"/>
              <w:rPr>
                <w:rFonts w:ascii="宋体" w:eastAsia="宋体" w:hAnsi="宋体" w:cs="宋体"/>
                <w:sz w:val="24"/>
                <w:szCs w:val="24"/>
              </w:rPr>
            </w:pPr>
            <w:r w:rsidRPr="00A304D2">
              <w:rPr>
                <w:rFonts w:ascii="宋体" w:eastAsia="宋体" w:hAnsi="宋体" w:cs="宋体" w:hint="eastAsia"/>
                <w:sz w:val="24"/>
                <w:szCs w:val="24"/>
              </w:rPr>
              <w:t>近年来，公司造箱业务板块积极践行工业</w:t>
            </w:r>
            <w:r w:rsidRPr="00A304D2">
              <w:rPr>
                <w:rFonts w:ascii="宋体" w:eastAsia="宋体" w:hAnsi="宋体" w:cs="宋体"/>
                <w:sz w:val="24"/>
                <w:szCs w:val="24"/>
              </w:rPr>
              <w:t>4.0</w:t>
            </w:r>
            <w:r w:rsidRPr="00A304D2">
              <w:rPr>
                <w:rFonts w:ascii="宋体" w:eastAsia="宋体" w:hAnsi="宋体" w:cs="宋体" w:hint="eastAsia"/>
                <w:sz w:val="24"/>
                <w:szCs w:val="24"/>
              </w:rPr>
              <w:t>及智能制造再升级，加快建设数字化工厂。青岛箱厂获得工信部</w:t>
            </w:r>
            <w:r w:rsidRPr="00A304D2">
              <w:rPr>
                <w:rFonts w:ascii="宋体" w:eastAsia="宋体" w:hAnsi="宋体" w:cs="宋体"/>
                <w:sz w:val="24"/>
                <w:szCs w:val="24"/>
              </w:rPr>
              <w:t>2024</w:t>
            </w:r>
            <w:r w:rsidRPr="00A304D2">
              <w:rPr>
                <w:rFonts w:ascii="宋体" w:eastAsia="宋体" w:hAnsi="宋体" w:cs="宋体" w:hint="eastAsia"/>
                <w:sz w:val="24"/>
                <w:szCs w:val="24"/>
              </w:rPr>
              <w:t>年</w:t>
            </w:r>
            <w:r w:rsidRPr="00A304D2">
              <w:rPr>
                <w:rFonts w:ascii="宋体" w:eastAsia="宋体" w:hAnsi="宋体" w:cs="宋体"/>
                <w:sz w:val="24"/>
                <w:szCs w:val="24"/>
              </w:rPr>
              <w:t>5G</w:t>
            </w:r>
            <w:r w:rsidRPr="00A304D2">
              <w:rPr>
                <w:rFonts w:ascii="宋体" w:eastAsia="宋体" w:hAnsi="宋体" w:cs="宋体" w:hint="eastAsia"/>
                <w:sz w:val="24"/>
                <w:szCs w:val="24"/>
              </w:rPr>
              <w:t>工厂荣誉称号，宁波箱厂成功通过智能制造能力成熟度评估，荣获三级标准符合性证书，成为集装箱制造行业首家通过国家标准评估的企业。租箱业务方面，佛罗伦打造的</w:t>
            </w:r>
            <w:r w:rsidRPr="00A304D2">
              <w:rPr>
                <w:rFonts w:ascii="宋体" w:eastAsia="宋体" w:hAnsi="宋体" w:cs="宋体"/>
                <w:sz w:val="24"/>
                <w:szCs w:val="24"/>
              </w:rPr>
              <w:t>iFlorens</w:t>
            </w:r>
            <w:r w:rsidRPr="00A304D2">
              <w:rPr>
                <w:rFonts w:ascii="宋体" w:eastAsia="宋体" w:hAnsi="宋体" w:cs="宋体" w:hint="eastAsia"/>
                <w:sz w:val="24"/>
                <w:szCs w:val="24"/>
              </w:rPr>
              <w:t>数字化运营平台</w:t>
            </w:r>
            <w:r w:rsidRPr="00A304D2">
              <w:rPr>
                <w:rFonts w:ascii="宋体" w:eastAsia="宋体" w:hAnsi="宋体" w:cs="宋体"/>
                <w:sz w:val="24"/>
                <w:szCs w:val="24"/>
              </w:rPr>
              <w:t xml:space="preserve">, </w:t>
            </w:r>
            <w:r w:rsidRPr="00A304D2">
              <w:rPr>
                <w:rFonts w:ascii="宋体" w:eastAsia="宋体" w:hAnsi="宋体" w:cs="宋体" w:hint="eastAsia"/>
                <w:sz w:val="24"/>
                <w:szCs w:val="24"/>
              </w:rPr>
              <w:t>实现客户“选购、下单、支付、自助提箱、线上客服、可视化跟踪”等功能的融合，打破时区和地区的限制，显著增强客户群体的覆盖范围，吸引大量中小客户，该平台荣获国资委数字化场景专业赛二等奖，并进入第四届国资委熠星创新创业大赛总决赛。</w:t>
            </w:r>
          </w:p>
          <w:p w:rsidR="00A304D2" w:rsidRDefault="00A304D2" w:rsidP="00A304D2">
            <w:pPr>
              <w:ind w:firstLineChars="147" w:firstLine="353"/>
              <w:rPr>
                <w:rFonts w:ascii="宋体" w:eastAsia="宋体" w:hAnsi="宋体" w:cs="宋体" w:hint="eastAsia"/>
                <w:sz w:val="24"/>
                <w:szCs w:val="24"/>
              </w:rPr>
            </w:pPr>
          </w:p>
          <w:p w:rsidR="00D83300" w:rsidRDefault="004D6225" w:rsidP="004D6225">
            <w:pPr>
              <w:rPr>
                <w:rFonts w:ascii="宋体" w:eastAsia="宋体" w:hAnsi="宋体" w:cs="宋体"/>
                <w:b/>
                <w:sz w:val="24"/>
                <w:szCs w:val="24"/>
              </w:rPr>
            </w:pPr>
            <w:r w:rsidRPr="004D6225">
              <w:rPr>
                <w:rFonts w:ascii="宋体" w:eastAsia="宋体" w:hAnsi="宋体" w:cs="宋体" w:hint="eastAsia"/>
                <w:b/>
                <w:sz w:val="24"/>
                <w:szCs w:val="24"/>
              </w:rPr>
              <w:t>5</w:t>
            </w:r>
            <w:r w:rsidRPr="004D6225">
              <w:rPr>
                <w:rFonts w:ascii="宋体" w:eastAsia="宋体" w:hAnsi="宋体" w:cs="宋体"/>
                <w:b/>
                <w:sz w:val="24"/>
                <w:szCs w:val="24"/>
              </w:rPr>
              <w:t>.</w:t>
            </w:r>
            <w:r w:rsidR="00D83300">
              <w:rPr>
                <w:rFonts w:hint="eastAsia"/>
              </w:rPr>
              <w:t xml:space="preserve"> </w:t>
            </w:r>
            <w:r w:rsidR="00D83300" w:rsidRPr="00D83300">
              <w:rPr>
                <w:rFonts w:ascii="宋体" w:eastAsia="宋体" w:hAnsi="宋体" w:cs="宋体" w:hint="eastAsia"/>
                <w:b/>
                <w:sz w:val="24"/>
                <w:szCs w:val="24"/>
              </w:rPr>
              <w:t>受红海危机引发的需求等因素影响，</w:t>
            </w:r>
            <w:r w:rsidR="00D83300" w:rsidRPr="00D83300">
              <w:rPr>
                <w:rFonts w:ascii="宋体" w:eastAsia="宋体" w:hAnsi="宋体" w:cs="宋体"/>
                <w:b/>
                <w:sz w:val="24"/>
                <w:szCs w:val="24"/>
              </w:rPr>
              <w:t>24</w:t>
            </w:r>
            <w:r w:rsidR="00D83300" w:rsidRPr="00D83300">
              <w:rPr>
                <w:rFonts w:ascii="宋体" w:eastAsia="宋体" w:hAnsi="宋体" w:cs="宋体" w:hint="eastAsia"/>
                <w:b/>
                <w:sz w:val="24"/>
                <w:szCs w:val="24"/>
              </w:rPr>
              <w:t>年是干货集装箱产量有史以来第二高的年份，中集造箱板块营收增长</w:t>
            </w:r>
            <w:r w:rsidR="00D83300" w:rsidRPr="00D83300">
              <w:rPr>
                <w:rFonts w:ascii="宋体" w:eastAsia="宋体" w:hAnsi="宋体" w:cs="宋体"/>
                <w:b/>
                <w:sz w:val="24"/>
                <w:szCs w:val="24"/>
              </w:rPr>
              <w:t>80%</w:t>
            </w:r>
            <w:r w:rsidR="00D83300" w:rsidRPr="00D83300">
              <w:rPr>
                <w:rFonts w:ascii="宋体" w:eastAsia="宋体" w:hAnsi="宋体" w:cs="宋体" w:hint="eastAsia"/>
                <w:b/>
                <w:sz w:val="24"/>
                <w:szCs w:val="24"/>
              </w:rPr>
              <w:t>，净利增</w:t>
            </w:r>
            <w:r w:rsidR="00D83300" w:rsidRPr="00D83300">
              <w:rPr>
                <w:rFonts w:ascii="宋体" w:eastAsia="宋体" w:hAnsi="宋体" w:cs="宋体"/>
                <w:b/>
                <w:sz w:val="24"/>
                <w:szCs w:val="24"/>
              </w:rPr>
              <w:t>70%</w:t>
            </w:r>
            <w:r w:rsidR="00D83300" w:rsidRPr="00D83300">
              <w:rPr>
                <w:rFonts w:ascii="宋体" w:eastAsia="宋体" w:hAnsi="宋体" w:cs="宋体" w:hint="eastAsia"/>
                <w:b/>
                <w:sz w:val="24"/>
                <w:szCs w:val="24"/>
              </w:rPr>
              <w:t>，海发</w:t>
            </w:r>
            <w:r w:rsidR="00D83300" w:rsidRPr="00D83300">
              <w:rPr>
                <w:rFonts w:ascii="宋体" w:eastAsia="宋体" w:hAnsi="宋体" w:cs="宋体"/>
                <w:b/>
                <w:sz w:val="24"/>
                <w:szCs w:val="24"/>
              </w:rPr>
              <w:t>24</w:t>
            </w:r>
            <w:r w:rsidR="00D83300" w:rsidRPr="00D83300">
              <w:rPr>
                <w:rFonts w:ascii="宋体" w:eastAsia="宋体" w:hAnsi="宋体" w:cs="宋体" w:hint="eastAsia"/>
                <w:b/>
                <w:sz w:val="24"/>
                <w:szCs w:val="24"/>
              </w:rPr>
              <w:t>年中报集装箱制造板块营收同比增长</w:t>
            </w:r>
            <w:r w:rsidR="00D83300" w:rsidRPr="00D83300">
              <w:rPr>
                <w:rFonts w:ascii="宋体" w:eastAsia="宋体" w:hAnsi="宋体" w:cs="宋体"/>
                <w:b/>
                <w:sz w:val="24"/>
                <w:szCs w:val="24"/>
              </w:rPr>
              <w:t>172%+</w:t>
            </w:r>
            <w:r w:rsidR="00D83300" w:rsidRPr="00D83300">
              <w:rPr>
                <w:rFonts w:ascii="宋体" w:eastAsia="宋体" w:hAnsi="宋体" w:cs="宋体" w:hint="eastAsia"/>
                <w:b/>
                <w:sz w:val="24"/>
                <w:szCs w:val="24"/>
              </w:rPr>
              <w:t>，但营业成本同比增</w:t>
            </w:r>
            <w:r w:rsidR="00D83300" w:rsidRPr="00D83300">
              <w:rPr>
                <w:rFonts w:ascii="宋体" w:eastAsia="宋体" w:hAnsi="宋体" w:cs="宋体"/>
                <w:b/>
                <w:sz w:val="24"/>
                <w:szCs w:val="24"/>
              </w:rPr>
              <w:t>178%</w:t>
            </w:r>
            <w:r w:rsidR="00D83300" w:rsidRPr="00D83300">
              <w:rPr>
                <w:rFonts w:ascii="宋体" w:eastAsia="宋体" w:hAnsi="宋体" w:cs="宋体" w:hint="eastAsia"/>
                <w:b/>
                <w:sz w:val="24"/>
                <w:szCs w:val="24"/>
              </w:rPr>
              <w:t>，中报理由是集装箱销量上升使原材料、人工等成本上升，经查主要原材料同比并未增长，公布的人员薪资显示薪酬支出较去年同期下降，外部重大利好的情况下中报公布的净利润竟然比空箱堆港的</w:t>
            </w:r>
            <w:r w:rsidR="00D83300" w:rsidRPr="00D83300">
              <w:rPr>
                <w:rFonts w:ascii="宋体" w:eastAsia="宋体" w:hAnsi="宋体" w:cs="宋体"/>
                <w:b/>
                <w:sz w:val="24"/>
                <w:szCs w:val="24"/>
              </w:rPr>
              <w:t>23</w:t>
            </w:r>
            <w:r w:rsidR="00D83300" w:rsidRPr="00D83300">
              <w:rPr>
                <w:rFonts w:ascii="宋体" w:eastAsia="宋体" w:hAnsi="宋体" w:cs="宋体" w:hint="eastAsia"/>
                <w:b/>
                <w:sz w:val="24"/>
                <w:szCs w:val="24"/>
              </w:rPr>
              <w:t>年同期下降</w:t>
            </w:r>
            <w:r w:rsidR="00D83300" w:rsidRPr="00D83300">
              <w:rPr>
                <w:rFonts w:ascii="宋体" w:eastAsia="宋体" w:hAnsi="宋体" w:cs="宋体"/>
                <w:b/>
                <w:sz w:val="24"/>
                <w:szCs w:val="24"/>
              </w:rPr>
              <w:t>31%</w:t>
            </w:r>
            <w:r w:rsidR="00E66EAA">
              <w:rPr>
                <w:rFonts w:ascii="宋体" w:eastAsia="宋体" w:hAnsi="宋体" w:cs="宋体" w:hint="eastAsia"/>
                <w:b/>
                <w:sz w:val="24"/>
                <w:szCs w:val="24"/>
              </w:rPr>
              <w:t>。</w:t>
            </w:r>
          </w:p>
          <w:p w:rsidR="00E66EAA" w:rsidRPr="00E66EAA" w:rsidRDefault="00E66EAA" w:rsidP="00E66EAA">
            <w:pPr>
              <w:ind w:firstLineChars="147" w:firstLine="353"/>
              <w:rPr>
                <w:rFonts w:ascii="宋体" w:eastAsia="宋体" w:hAnsi="宋体" w:cs="宋体"/>
                <w:sz w:val="24"/>
                <w:szCs w:val="24"/>
              </w:rPr>
            </w:pPr>
            <w:r w:rsidRPr="00E66EAA">
              <w:rPr>
                <w:rFonts w:ascii="宋体" w:eastAsia="宋体" w:hAnsi="宋体" w:cs="宋体"/>
                <w:sz w:val="24"/>
                <w:szCs w:val="24"/>
              </w:rPr>
              <w:lastRenderedPageBreak/>
              <w:t>2024</w:t>
            </w:r>
            <w:r w:rsidRPr="00E66EAA">
              <w:rPr>
                <w:rFonts w:ascii="宋体" w:eastAsia="宋体" w:hAnsi="宋体" w:cs="宋体" w:hint="eastAsia"/>
                <w:sz w:val="24"/>
                <w:szCs w:val="24"/>
              </w:rPr>
              <w:t>年前三季度，公司实现营业收入人民币</w:t>
            </w:r>
            <w:r w:rsidRPr="00E66EAA">
              <w:rPr>
                <w:rFonts w:ascii="宋体" w:eastAsia="宋体" w:hAnsi="宋体" w:cs="宋体"/>
                <w:sz w:val="24"/>
                <w:szCs w:val="24"/>
              </w:rPr>
              <w:t>198.72</w:t>
            </w:r>
            <w:r w:rsidRPr="00E66EAA">
              <w:rPr>
                <w:rFonts w:ascii="宋体" w:eastAsia="宋体" w:hAnsi="宋体" w:cs="宋体" w:hint="eastAsia"/>
                <w:sz w:val="24"/>
                <w:szCs w:val="24"/>
              </w:rPr>
              <w:t>亿元，同比增长</w:t>
            </w:r>
            <w:r w:rsidRPr="00E66EAA">
              <w:rPr>
                <w:rFonts w:ascii="宋体" w:eastAsia="宋体" w:hAnsi="宋体" w:cs="宋体"/>
                <w:sz w:val="24"/>
                <w:szCs w:val="24"/>
              </w:rPr>
              <w:t>88.76%</w:t>
            </w:r>
            <w:r w:rsidRPr="00E66EAA">
              <w:rPr>
                <w:rFonts w:ascii="宋体" w:eastAsia="宋体" w:hAnsi="宋体" w:cs="宋体" w:hint="eastAsia"/>
                <w:sz w:val="24"/>
                <w:szCs w:val="24"/>
              </w:rPr>
              <w:t>，归属于上市公司股东的净利润人民币</w:t>
            </w:r>
            <w:r w:rsidRPr="00E66EAA">
              <w:rPr>
                <w:rFonts w:ascii="宋体" w:eastAsia="宋体" w:hAnsi="宋体" w:cs="宋体"/>
                <w:sz w:val="24"/>
                <w:szCs w:val="24"/>
              </w:rPr>
              <w:t>13.81</w:t>
            </w:r>
            <w:r w:rsidRPr="00E66EAA">
              <w:rPr>
                <w:rFonts w:ascii="宋体" w:eastAsia="宋体" w:hAnsi="宋体" w:cs="宋体" w:hint="eastAsia"/>
                <w:sz w:val="24"/>
                <w:szCs w:val="24"/>
              </w:rPr>
              <w:t>亿元，同比增长</w:t>
            </w:r>
            <w:r w:rsidRPr="00E66EAA">
              <w:rPr>
                <w:rFonts w:ascii="宋体" w:eastAsia="宋体" w:hAnsi="宋体" w:cs="宋体"/>
                <w:sz w:val="24"/>
                <w:szCs w:val="24"/>
              </w:rPr>
              <w:t>14.66%</w:t>
            </w:r>
            <w:r w:rsidRPr="00E66EAA">
              <w:rPr>
                <w:rFonts w:ascii="宋体" w:eastAsia="宋体" w:hAnsi="宋体" w:cs="宋体" w:hint="eastAsia"/>
                <w:sz w:val="24"/>
                <w:szCs w:val="24"/>
              </w:rPr>
              <w:t>。今年以来，集装箱市场企稳并在波动中前行，公司把握市场需求上升的契机，前三季集装箱销售量超</w:t>
            </w:r>
            <w:r w:rsidRPr="00E66EAA">
              <w:rPr>
                <w:rFonts w:ascii="宋体" w:eastAsia="宋体" w:hAnsi="宋体" w:cs="宋体"/>
                <w:sz w:val="24"/>
                <w:szCs w:val="24"/>
              </w:rPr>
              <w:t>129</w:t>
            </w:r>
            <w:r w:rsidRPr="00E66EAA">
              <w:rPr>
                <w:rFonts w:ascii="宋体" w:eastAsia="宋体" w:hAnsi="宋体" w:cs="宋体" w:hint="eastAsia"/>
                <w:sz w:val="24"/>
                <w:szCs w:val="24"/>
              </w:rPr>
              <w:t>万</w:t>
            </w:r>
            <w:r w:rsidRPr="00E66EAA">
              <w:rPr>
                <w:rFonts w:ascii="宋体" w:eastAsia="宋体" w:hAnsi="宋体" w:cs="宋体"/>
                <w:sz w:val="24"/>
                <w:szCs w:val="24"/>
              </w:rPr>
              <w:t>TEU</w:t>
            </w:r>
            <w:r w:rsidRPr="00E66EAA">
              <w:rPr>
                <w:rFonts w:ascii="宋体" w:eastAsia="宋体" w:hAnsi="宋体" w:cs="宋体" w:hint="eastAsia"/>
                <w:sz w:val="24"/>
                <w:szCs w:val="24"/>
              </w:rPr>
              <w:t>，同比大幅增长约</w:t>
            </w:r>
            <w:r w:rsidRPr="00E66EAA">
              <w:rPr>
                <w:rFonts w:ascii="宋体" w:eastAsia="宋体" w:hAnsi="宋体" w:cs="宋体"/>
                <w:sz w:val="24"/>
                <w:szCs w:val="24"/>
              </w:rPr>
              <w:t>225%</w:t>
            </w:r>
            <w:r w:rsidRPr="00E66EAA">
              <w:rPr>
                <w:rFonts w:ascii="宋体" w:eastAsia="宋体" w:hAnsi="宋体" w:cs="宋体" w:hint="eastAsia"/>
                <w:sz w:val="24"/>
                <w:szCs w:val="24"/>
              </w:rPr>
              <w:t>。</w:t>
            </w:r>
          </w:p>
          <w:p w:rsidR="00E66EAA" w:rsidRPr="00E66EAA" w:rsidRDefault="00E66EAA" w:rsidP="00E66EAA">
            <w:pPr>
              <w:ind w:firstLineChars="147" w:firstLine="353"/>
              <w:rPr>
                <w:rFonts w:ascii="宋体" w:eastAsia="宋体" w:hAnsi="宋体" w:cs="宋体"/>
                <w:sz w:val="24"/>
                <w:szCs w:val="24"/>
              </w:rPr>
            </w:pPr>
            <w:r w:rsidRPr="00E66EAA">
              <w:rPr>
                <w:rFonts w:ascii="宋体" w:eastAsia="宋体" w:hAnsi="宋体" w:cs="宋体" w:hint="eastAsia"/>
                <w:sz w:val="24"/>
                <w:szCs w:val="24"/>
              </w:rPr>
              <w:t>今年上半年，市场集装箱价格自去年较低位逐步提升，但箱价整体水平仍较同期低。三季度以来，随着供需关系逐步缓和以及原材料价格变动，箱价有所波动。</w:t>
            </w:r>
          </w:p>
          <w:p w:rsidR="00C97CF1" w:rsidRDefault="00E66EAA" w:rsidP="00A304D2">
            <w:pPr>
              <w:ind w:firstLineChars="147" w:firstLine="353"/>
              <w:rPr>
                <w:rFonts w:ascii="宋体" w:eastAsia="宋体" w:hAnsi="宋体" w:cs="宋体"/>
                <w:sz w:val="24"/>
                <w:szCs w:val="24"/>
              </w:rPr>
            </w:pPr>
            <w:r w:rsidRPr="00E66EAA">
              <w:rPr>
                <w:rFonts w:ascii="宋体" w:eastAsia="宋体" w:hAnsi="宋体" w:cs="宋体" w:hint="eastAsia"/>
                <w:sz w:val="24"/>
                <w:szCs w:val="24"/>
              </w:rPr>
              <w:t>上半年在资本市场波动影响下，公司投资管理业务板块效益情况对整体业绩有所拖累，公司亦将持续优化投资组合，同时更聚焦航运物流产融主业，通过进一步拓展船舶租赁业务规模、提升集装箱租造协同、推动数智化绿色化发展等举措不断提升核心竞争力。同时，公司一贯关注投资者权益，将继续坚持持续稳定分红、开展回购等有效资本运作提升投资者回报。</w:t>
            </w:r>
          </w:p>
          <w:p w:rsidR="00A304D2" w:rsidRDefault="00A304D2" w:rsidP="00A304D2">
            <w:pPr>
              <w:ind w:firstLineChars="147" w:firstLine="353"/>
              <w:rPr>
                <w:rFonts w:ascii="宋体" w:eastAsia="宋体" w:hAnsi="宋体" w:cs="宋体" w:hint="eastAsia"/>
                <w:sz w:val="24"/>
                <w:szCs w:val="24"/>
              </w:rPr>
            </w:pPr>
          </w:p>
          <w:p w:rsidR="00C97CF1" w:rsidRPr="00C97CF1" w:rsidRDefault="004D6225" w:rsidP="00C97CF1">
            <w:pPr>
              <w:rPr>
                <w:rFonts w:ascii="宋体" w:eastAsia="宋体" w:hAnsi="宋体" w:cs="宋体" w:hint="eastAsia"/>
                <w:b/>
                <w:sz w:val="24"/>
                <w:szCs w:val="24"/>
              </w:rPr>
            </w:pPr>
            <w:r>
              <w:rPr>
                <w:rFonts w:ascii="宋体" w:eastAsia="宋体" w:hAnsi="宋体" w:cs="宋体" w:hint="eastAsia"/>
                <w:sz w:val="24"/>
                <w:szCs w:val="24"/>
              </w:rPr>
              <w:t>6</w:t>
            </w:r>
            <w:r w:rsidRPr="004D6225">
              <w:rPr>
                <w:rFonts w:ascii="宋体" w:eastAsia="宋体" w:hAnsi="宋体" w:cs="宋体"/>
                <w:b/>
                <w:sz w:val="24"/>
                <w:szCs w:val="24"/>
              </w:rPr>
              <w:t>.</w:t>
            </w:r>
            <w:r w:rsidR="00C97CF1">
              <w:rPr>
                <w:rFonts w:hint="eastAsia"/>
              </w:rPr>
              <w:t xml:space="preserve"> </w:t>
            </w:r>
            <w:r w:rsidR="00C97CF1" w:rsidRPr="00C97CF1">
              <w:rPr>
                <w:rFonts w:ascii="宋体" w:eastAsia="宋体" w:hAnsi="宋体" w:cs="宋体" w:hint="eastAsia"/>
                <w:b/>
                <w:sz w:val="24"/>
                <w:szCs w:val="24"/>
              </w:rPr>
              <w:t>看到公司</w:t>
            </w:r>
            <w:r w:rsidR="00C97CF1" w:rsidRPr="00C97CF1">
              <w:rPr>
                <w:rFonts w:ascii="宋体" w:eastAsia="宋体" w:hAnsi="宋体" w:cs="宋体"/>
                <w:b/>
                <w:sz w:val="24"/>
                <w:szCs w:val="24"/>
              </w:rPr>
              <w:t>ESG</w:t>
            </w:r>
            <w:r w:rsidR="00C97CF1" w:rsidRPr="00C97CF1">
              <w:rPr>
                <w:rFonts w:ascii="宋体" w:eastAsia="宋体" w:hAnsi="宋体" w:cs="宋体" w:hint="eastAsia"/>
                <w:b/>
                <w:sz w:val="24"/>
                <w:szCs w:val="24"/>
              </w:rPr>
              <w:t>很多获奖，对公司实际业务发展方面有没有作用？</w:t>
            </w:r>
          </w:p>
          <w:p w:rsidR="00C97CF1" w:rsidRDefault="00E66EAA" w:rsidP="00E66EAA">
            <w:pPr>
              <w:ind w:firstLineChars="147" w:firstLine="353"/>
              <w:rPr>
                <w:rFonts w:ascii="宋体" w:eastAsia="宋体" w:hAnsi="宋体" w:cs="宋体"/>
                <w:sz w:val="24"/>
                <w:szCs w:val="24"/>
              </w:rPr>
            </w:pPr>
            <w:r w:rsidRPr="00E66EAA">
              <w:rPr>
                <w:rFonts w:ascii="宋体" w:eastAsia="宋体" w:hAnsi="宋体" w:cs="宋体" w:hint="eastAsia"/>
                <w:sz w:val="24"/>
                <w:szCs w:val="24"/>
              </w:rPr>
              <w:t>公司积极践行</w:t>
            </w:r>
            <w:r w:rsidRPr="00E66EAA">
              <w:rPr>
                <w:rFonts w:ascii="宋体" w:eastAsia="宋体" w:hAnsi="宋体" w:cs="宋体"/>
                <w:sz w:val="24"/>
                <w:szCs w:val="24"/>
              </w:rPr>
              <w:t>ESG</w:t>
            </w:r>
            <w:r w:rsidRPr="00E66EAA">
              <w:rPr>
                <w:rFonts w:ascii="宋体" w:eastAsia="宋体" w:hAnsi="宋体" w:cs="宋体" w:hint="eastAsia"/>
                <w:sz w:val="24"/>
                <w:szCs w:val="24"/>
              </w:rPr>
              <w:t>治理和</w:t>
            </w:r>
            <w:r w:rsidRPr="00E66EAA">
              <w:rPr>
                <w:rFonts w:ascii="宋体" w:eastAsia="宋体" w:hAnsi="宋体" w:cs="宋体"/>
                <w:sz w:val="24"/>
                <w:szCs w:val="24"/>
              </w:rPr>
              <w:t>ESG</w:t>
            </w:r>
            <w:r w:rsidRPr="00E66EAA">
              <w:rPr>
                <w:rFonts w:ascii="宋体" w:eastAsia="宋体" w:hAnsi="宋体" w:cs="宋体" w:hint="eastAsia"/>
                <w:sz w:val="24"/>
                <w:szCs w:val="24"/>
              </w:rPr>
              <w:t>信披，并将可持续发展理念融入公司运营管理各个环节。凭借优异的</w:t>
            </w:r>
            <w:r w:rsidRPr="00E66EAA">
              <w:rPr>
                <w:rFonts w:ascii="宋体" w:eastAsia="宋体" w:hAnsi="宋体" w:cs="宋体"/>
                <w:sz w:val="24"/>
                <w:szCs w:val="24"/>
              </w:rPr>
              <w:t>ESG</w:t>
            </w:r>
            <w:r w:rsidRPr="00E66EAA">
              <w:rPr>
                <w:rFonts w:ascii="宋体" w:eastAsia="宋体" w:hAnsi="宋体" w:cs="宋体" w:hint="eastAsia"/>
                <w:sz w:val="24"/>
                <w:szCs w:val="24"/>
              </w:rPr>
              <w:t>绩效积极开展“绿色融资”，结合航运主业探索运用各类绿色金融工具，持续拓宽绿色资金筹集渠道，降低航运装备投融资成本。</w:t>
            </w:r>
            <w:r w:rsidRPr="00E66EAA">
              <w:rPr>
                <w:rFonts w:ascii="宋体" w:eastAsia="宋体" w:hAnsi="宋体" w:cs="宋体"/>
                <w:sz w:val="24"/>
                <w:szCs w:val="24"/>
              </w:rPr>
              <w:t>2024</w:t>
            </w:r>
            <w:r w:rsidRPr="00E66EAA">
              <w:rPr>
                <w:rFonts w:ascii="宋体" w:eastAsia="宋体" w:hAnsi="宋体" w:cs="宋体" w:hint="eastAsia"/>
                <w:sz w:val="24"/>
                <w:szCs w:val="24"/>
              </w:rPr>
              <w:t>年，公司已落地两笔绿色融资项目，与交通银行签署国内首笔水上运输的融资贷款，并与渣打银行达成了集装箱全产业链转型及可持续金融合作，帮助产业链各个节点加速推进绿色低碳转型，也体现了公司</w:t>
            </w:r>
            <w:r w:rsidRPr="00E66EAA">
              <w:rPr>
                <w:rFonts w:ascii="宋体" w:eastAsia="宋体" w:hAnsi="宋体" w:cs="宋体"/>
                <w:sz w:val="24"/>
                <w:szCs w:val="24"/>
              </w:rPr>
              <w:t>ESG</w:t>
            </w:r>
            <w:r w:rsidRPr="00E66EAA">
              <w:rPr>
                <w:rFonts w:ascii="宋体" w:eastAsia="宋体" w:hAnsi="宋体" w:cs="宋体" w:hint="eastAsia"/>
                <w:sz w:val="24"/>
                <w:szCs w:val="24"/>
              </w:rPr>
              <w:t>价值对业务经营的助力赋能。</w:t>
            </w:r>
          </w:p>
          <w:p w:rsidR="00A304D2" w:rsidRPr="00C97CF1" w:rsidRDefault="00A304D2" w:rsidP="00E66EAA">
            <w:pPr>
              <w:ind w:firstLineChars="147" w:firstLine="354"/>
              <w:rPr>
                <w:rFonts w:ascii="宋体" w:eastAsia="宋体" w:hAnsi="宋体" w:cs="宋体" w:hint="eastAsia"/>
                <w:b/>
                <w:sz w:val="24"/>
                <w:szCs w:val="24"/>
              </w:rPr>
            </w:pPr>
          </w:p>
          <w:p w:rsidR="00C97CF1" w:rsidRDefault="005031CC" w:rsidP="005031CC">
            <w:pPr>
              <w:rPr>
                <w:rFonts w:ascii="宋体" w:eastAsia="宋体" w:hAnsi="宋体" w:cs="宋体"/>
                <w:b/>
                <w:sz w:val="24"/>
                <w:szCs w:val="24"/>
              </w:rPr>
            </w:pPr>
            <w:r w:rsidRPr="005031CC">
              <w:rPr>
                <w:rFonts w:ascii="宋体" w:eastAsia="宋体" w:hAnsi="宋体" w:cs="宋体" w:hint="eastAsia"/>
                <w:b/>
                <w:sz w:val="24"/>
                <w:szCs w:val="24"/>
              </w:rPr>
              <w:t>7</w:t>
            </w:r>
            <w:r w:rsidRPr="005031CC">
              <w:rPr>
                <w:rFonts w:ascii="宋体" w:eastAsia="宋体" w:hAnsi="宋体" w:cs="宋体"/>
                <w:b/>
                <w:sz w:val="24"/>
                <w:szCs w:val="24"/>
              </w:rPr>
              <w:t>.</w:t>
            </w:r>
            <w:r w:rsidR="00C97CF1">
              <w:rPr>
                <w:rFonts w:hint="eastAsia"/>
              </w:rPr>
              <w:t xml:space="preserve"> </w:t>
            </w:r>
            <w:r w:rsidR="00C97CF1" w:rsidRPr="00C97CF1">
              <w:rPr>
                <w:rFonts w:ascii="宋体" w:eastAsia="宋体" w:hAnsi="宋体" w:cs="宋体" w:hint="eastAsia"/>
                <w:b/>
                <w:sz w:val="24"/>
                <w:szCs w:val="24"/>
              </w:rPr>
              <w:t>请问公司在发展电动船舶方面有什么新的规划吗？公司有参与电动长江行动吗？</w:t>
            </w:r>
          </w:p>
          <w:p w:rsidR="005031CC" w:rsidRPr="005031CC" w:rsidRDefault="00A304D2" w:rsidP="00C97CF1">
            <w:pPr>
              <w:ind w:firstLineChars="147" w:firstLine="353"/>
              <w:rPr>
                <w:rFonts w:ascii="宋体" w:eastAsia="宋体" w:hAnsi="宋体" w:cs="宋体"/>
                <w:sz w:val="24"/>
                <w:szCs w:val="24"/>
              </w:rPr>
            </w:pPr>
            <w:r w:rsidRPr="00A304D2">
              <w:rPr>
                <w:rFonts w:ascii="宋体" w:eastAsia="宋体" w:hAnsi="宋体" w:cs="宋体" w:hint="eastAsia"/>
                <w:sz w:val="24"/>
                <w:szCs w:val="24"/>
              </w:rPr>
              <w:t>公司积极打造“绿色资产”，推动开展了长江干线</w:t>
            </w:r>
            <w:r w:rsidRPr="00A304D2">
              <w:rPr>
                <w:rFonts w:ascii="宋体" w:eastAsia="宋体" w:hAnsi="宋体" w:cs="宋体"/>
                <w:sz w:val="24"/>
                <w:szCs w:val="24"/>
              </w:rPr>
              <w:t>700TEU</w:t>
            </w:r>
            <w:r w:rsidRPr="00A304D2">
              <w:rPr>
                <w:rFonts w:ascii="宋体" w:eastAsia="宋体" w:hAnsi="宋体" w:cs="宋体" w:hint="eastAsia"/>
                <w:sz w:val="24"/>
                <w:szCs w:val="24"/>
              </w:rPr>
              <w:t>电动集装箱船项目，作为绿色低碳智能航运示范项目，以实际行动助力长江航运绿色转型，推动建设长江干线绿色航运走廊。今年以来，公司</w:t>
            </w:r>
            <w:r w:rsidRPr="00A304D2">
              <w:rPr>
                <w:rFonts w:ascii="宋体" w:eastAsia="宋体" w:hAnsi="宋体" w:cs="宋体"/>
                <w:sz w:val="24"/>
                <w:szCs w:val="24"/>
              </w:rPr>
              <w:t>700TEU</w:t>
            </w:r>
            <w:r w:rsidRPr="00A304D2">
              <w:rPr>
                <w:rFonts w:ascii="宋体" w:eastAsia="宋体" w:hAnsi="宋体" w:cs="宋体" w:hint="eastAsia"/>
                <w:sz w:val="24"/>
                <w:szCs w:val="24"/>
              </w:rPr>
              <w:t>电动集装箱船已陆续投入南京</w:t>
            </w:r>
            <w:r w:rsidRPr="00A304D2">
              <w:rPr>
                <w:rFonts w:ascii="宋体" w:eastAsia="宋体" w:hAnsi="宋体" w:cs="宋体"/>
                <w:sz w:val="24"/>
                <w:szCs w:val="24"/>
              </w:rPr>
              <w:t>-</w:t>
            </w:r>
            <w:r w:rsidRPr="00A304D2">
              <w:rPr>
                <w:rFonts w:ascii="宋体" w:eastAsia="宋体" w:hAnsi="宋体" w:cs="宋体" w:hint="eastAsia"/>
                <w:sz w:val="24"/>
                <w:szCs w:val="24"/>
              </w:rPr>
              <w:t>洋山航线运营，总体运行顺畅。公司正式启动电动集装箱船绿色运输认证研究项目，持续推进绿色认证工作，探索减排核算管理研究，同步积极参与船用动力电池应用相关的各类标准编写，扩大电动船舶行业影响。</w:t>
            </w:r>
          </w:p>
        </w:tc>
      </w:tr>
      <w:tr w:rsidR="009003EA" w:rsidTr="008173BC">
        <w:trPr>
          <w:trHeight w:val="633"/>
          <w:jc w:val="center"/>
        </w:trPr>
        <w:tc>
          <w:tcPr>
            <w:tcW w:w="1912" w:type="dxa"/>
            <w:vAlign w:val="center"/>
          </w:tcPr>
          <w:p w:rsidR="009003EA" w:rsidRDefault="00B571DB">
            <w:pPr>
              <w:kinsoku/>
              <w:autoSpaceDE/>
              <w:autoSpaceDN/>
              <w:spacing w:line="400" w:lineRule="exact"/>
              <w:rPr>
                <w:rFonts w:ascii="宋体" w:eastAsia="宋体" w:hAnsi="宋体" w:cs="宋体"/>
                <w:sz w:val="24"/>
                <w:szCs w:val="24"/>
              </w:rPr>
            </w:pPr>
            <w:r>
              <w:rPr>
                <w:rFonts w:ascii="宋体" w:eastAsia="宋体" w:hAnsi="宋体" w:cs="宋体" w:hint="eastAsia"/>
                <w:spacing w:val="-16"/>
                <w:sz w:val="24"/>
                <w:szCs w:val="24"/>
              </w:rPr>
              <w:lastRenderedPageBreak/>
              <w:t>日</w:t>
            </w:r>
            <w:r>
              <w:rPr>
                <w:rFonts w:ascii="宋体" w:eastAsia="宋体" w:hAnsi="宋体" w:cs="宋体" w:hint="eastAsia"/>
                <w:spacing w:val="-15"/>
                <w:sz w:val="24"/>
                <w:szCs w:val="24"/>
              </w:rPr>
              <w:t>期</w:t>
            </w:r>
          </w:p>
        </w:tc>
        <w:tc>
          <w:tcPr>
            <w:tcW w:w="6614" w:type="dxa"/>
            <w:gridSpan w:val="2"/>
            <w:vAlign w:val="center"/>
          </w:tcPr>
          <w:p w:rsidR="009003EA" w:rsidRDefault="008173BC" w:rsidP="003C128A">
            <w:pPr>
              <w:kinsoku/>
              <w:autoSpaceDE/>
              <w:autoSpaceDN/>
              <w:spacing w:line="400" w:lineRule="exact"/>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024</w:t>
            </w:r>
            <w:r>
              <w:rPr>
                <w:rFonts w:ascii="宋体" w:eastAsia="宋体" w:hAnsi="宋体" w:cs="宋体" w:hint="eastAsia"/>
                <w:sz w:val="24"/>
                <w:szCs w:val="24"/>
              </w:rPr>
              <w:t>年</w:t>
            </w:r>
            <w:r w:rsidR="003C128A">
              <w:rPr>
                <w:rFonts w:ascii="宋体" w:eastAsia="宋体" w:hAnsi="宋体" w:cs="宋体"/>
                <w:sz w:val="24"/>
                <w:szCs w:val="24"/>
              </w:rPr>
              <w:t>11</w:t>
            </w:r>
            <w:r>
              <w:rPr>
                <w:rFonts w:ascii="宋体" w:eastAsia="宋体" w:hAnsi="宋体" w:cs="宋体" w:hint="eastAsia"/>
                <w:sz w:val="24"/>
                <w:szCs w:val="24"/>
              </w:rPr>
              <w:t>月2</w:t>
            </w:r>
            <w:r w:rsidR="003C128A">
              <w:rPr>
                <w:rFonts w:ascii="宋体" w:eastAsia="宋体" w:hAnsi="宋体" w:cs="宋体"/>
                <w:sz w:val="24"/>
                <w:szCs w:val="24"/>
              </w:rPr>
              <w:t>1</w:t>
            </w:r>
            <w:r>
              <w:rPr>
                <w:rFonts w:ascii="宋体" w:eastAsia="宋体" w:hAnsi="宋体" w:cs="宋体" w:hint="eastAsia"/>
                <w:sz w:val="24"/>
                <w:szCs w:val="24"/>
              </w:rPr>
              <w:t>日</w:t>
            </w:r>
          </w:p>
        </w:tc>
      </w:tr>
    </w:tbl>
    <w:p w:rsidR="009003EA" w:rsidRDefault="009003EA"/>
    <w:sectPr w:rsidR="009003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9EA" w:rsidRDefault="00E249EA">
      <w:r>
        <w:separator/>
      </w:r>
    </w:p>
  </w:endnote>
  <w:endnote w:type="continuationSeparator" w:id="0">
    <w:p w:rsidR="00E249EA" w:rsidRDefault="00E2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9EA" w:rsidRDefault="00E249EA">
      <w:r>
        <w:separator/>
      </w:r>
    </w:p>
  </w:footnote>
  <w:footnote w:type="continuationSeparator" w:id="0">
    <w:p w:rsidR="00E249EA" w:rsidRDefault="00E24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854"/>
    <w:multiLevelType w:val="multilevel"/>
    <w:tmpl w:val="06A21854"/>
    <w:lvl w:ilvl="0">
      <w:start w:val="1"/>
      <w:numFmt w:val="decimal"/>
      <w:lvlText w:val="%1."/>
      <w:lvlJc w:val="left"/>
      <w:pPr>
        <w:ind w:left="562" w:hanging="420"/>
      </w:pPr>
      <w:rPr>
        <w:rFonts w:ascii="仿宋" w:eastAsia="仿宋" w:hAnsi="仿宋" w:hint="default"/>
        <w:color w:val="auto"/>
        <w:sz w:val="28"/>
      </w:rPr>
    </w:lvl>
    <w:lvl w:ilvl="1">
      <w:start w:val="1"/>
      <w:numFmt w:val="lowerLetter"/>
      <w:lvlText w:val="%2)"/>
      <w:lvlJc w:val="left"/>
      <w:pPr>
        <w:ind w:left="1197" w:hanging="420"/>
      </w:pPr>
    </w:lvl>
    <w:lvl w:ilvl="2">
      <w:start w:val="1"/>
      <w:numFmt w:val="lowerRoman"/>
      <w:lvlText w:val="%3."/>
      <w:lvlJc w:val="right"/>
      <w:pPr>
        <w:ind w:left="1617" w:hanging="420"/>
      </w:pPr>
    </w:lvl>
    <w:lvl w:ilvl="3">
      <w:start w:val="1"/>
      <w:numFmt w:val="decimal"/>
      <w:lvlText w:val="%4."/>
      <w:lvlJc w:val="left"/>
      <w:pPr>
        <w:ind w:left="2037" w:hanging="420"/>
      </w:pPr>
    </w:lvl>
    <w:lvl w:ilvl="4">
      <w:start w:val="1"/>
      <w:numFmt w:val="lowerLetter"/>
      <w:lvlText w:val="%5)"/>
      <w:lvlJc w:val="left"/>
      <w:pPr>
        <w:ind w:left="2457" w:hanging="420"/>
      </w:pPr>
    </w:lvl>
    <w:lvl w:ilvl="5">
      <w:start w:val="1"/>
      <w:numFmt w:val="lowerRoman"/>
      <w:lvlText w:val="%6."/>
      <w:lvlJc w:val="right"/>
      <w:pPr>
        <w:ind w:left="2877" w:hanging="420"/>
      </w:pPr>
    </w:lvl>
    <w:lvl w:ilvl="6">
      <w:start w:val="1"/>
      <w:numFmt w:val="decimal"/>
      <w:lvlText w:val="%7."/>
      <w:lvlJc w:val="left"/>
      <w:pPr>
        <w:ind w:left="3297" w:hanging="420"/>
      </w:pPr>
    </w:lvl>
    <w:lvl w:ilvl="7">
      <w:start w:val="1"/>
      <w:numFmt w:val="lowerLetter"/>
      <w:lvlText w:val="%8)"/>
      <w:lvlJc w:val="left"/>
      <w:pPr>
        <w:ind w:left="3717" w:hanging="420"/>
      </w:pPr>
    </w:lvl>
    <w:lvl w:ilvl="8">
      <w:start w:val="1"/>
      <w:numFmt w:val="lowerRoman"/>
      <w:lvlText w:val="%9."/>
      <w:lvlJc w:val="right"/>
      <w:pPr>
        <w:ind w:left="4137" w:hanging="420"/>
      </w:pPr>
    </w:lvl>
  </w:abstractNum>
  <w:abstractNum w:abstractNumId="1" w15:restartNumberingAfterBreak="0">
    <w:nsid w:val="7CFF0ABB"/>
    <w:multiLevelType w:val="hybridMultilevel"/>
    <w:tmpl w:val="208283A6"/>
    <w:lvl w:ilvl="0" w:tplc="01067D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xNzlkZjkzMGU2ZjM4MTExNmU5MTU5YjgzNWJjMjMifQ=="/>
  </w:docVars>
  <w:rsids>
    <w:rsidRoot w:val="69C3779E"/>
    <w:rsid w:val="00064C89"/>
    <w:rsid w:val="000650EC"/>
    <w:rsid w:val="00077961"/>
    <w:rsid w:val="00085329"/>
    <w:rsid w:val="000C0E23"/>
    <w:rsid w:val="0010409D"/>
    <w:rsid w:val="00185486"/>
    <w:rsid w:val="00233105"/>
    <w:rsid w:val="00253925"/>
    <w:rsid w:val="002648B9"/>
    <w:rsid w:val="002D55B6"/>
    <w:rsid w:val="0031747A"/>
    <w:rsid w:val="003C128A"/>
    <w:rsid w:val="003C160A"/>
    <w:rsid w:val="003E3CCD"/>
    <w:rsid w:val="003E3FA1"/>
    <w:rsid w:val="00422874"/>
    <w:rsid w:val="00467FEF"/>
    <w:rsid w:val="004A6CF3"/>
    <w:rsid w:val="004D350C"/>
    <w:rsid w:val="004D6225"/>
    <w:rsid w:val="004F65E8"/>
    <w:rsid w:val="005031CC"/>
    <w:rsid w:val="0051372C"/>
    <w:rsid w:val="00541BE6"/>
    <w:rsid w:val="005532F2"/>
    <w:rsid w:val="005F64B6"/>
    <w:rsid w:val="005F7E10"/>
    <w:rsid w:val="006B6962"/>
    <w:rsid w:val="006C7194"/>
    <w:rsid w:val="00701EAC"/>
    <w:rsid w:val="00726F19"/>
    <w:rsid w:val="007C5349"/>
    <w:rsid w:val="008173BC"/>
    <w:rsid w:val="008207A5"/>
    <w:rsid w:val="00844687"/>
    <w:rsid w:val="008E4A94"/>
    <w:rsid w:val="008F3FB8"/>
    <w:rsid w:val="008F44FB"/>
    <w:rsid w:val="009003EA"/>
    <w:rsid w:val="009509A7"/>
    <w:rsid w:val="009E2925"/>
    <w:rsid w:val="00A01466"/>
    <w:rsid w:val="00A304D2"/>
    <w:rsid w:val="00A50534"/>
    <w:rsid w:val="00A773AF"/>
    <w:rsid w:val="00AF352F"/>
    <w:rsid w:val="00B3210E"/>
    <w:rsid w:val="00B571DB"/>
    <w:rsid w:val="00C748A6"/>
    <w:rsid w:val="00C84CCD"/>
    <w:rsid w:val="00C97CF1"/>
    <w:rsid w:val="00CB44BE"/>
    <w:rsid w:val="00CE03B4"/>
    <w:rsid w:val="00D83300"/>
    <w:rsid w:val="00D85EC2"/>
    <w:rsid w:val="00DF0A1D"/>
    <w:rsid w:val="00E1639B"/>
    <w:rsid w:val="00E249EA"/>
    <w:rsid w:val="00E66EAA"/>
    <w:rsid w:val="00F16A14"/>
    <w:rsid w:val="00F25796"/>
    <w:rsid w:val="00F50580"/>
    <w:rsid w:val="00F82561"/>
    <w:rsid w:val="00FB740C"/>
    <w:rsid w:val="00FE4F6C"/>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397BA"/>
  <w15:docId w15:val="{738C7797-BE2E-4D3C-A5A7-2D3DFC2B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2">
    <w:name w:val="heading 2"/>
    <w:basedOn w:val="a"/>
    <w:next w:val="a"/>
    <w:link w:val="20"/>
    <w:uiPriority w:val="9"/>
    <w:unhideWhenUsed/>
    <w:qFormat/>
    <w:rsid w:val="00CB44BE"/>
    <w:pPr>
      <w:keepNext/>
      <w:keepLines/>
      <w:widowControl w:val="0"/>
      <w:kinsoku/>
      <w:autoSpaceDE/>
      <w:autoSpaceDN/>
      <w:adjustRightInd/>
      <w:snapToGrid/>
      <w:spacing w:line="140" w:lineRule="atLeast"/>
      <w:ind w:firstLineChars="127" w:firstLine="127"/>
      <w:jc w:val="both"/>
      <w:textAlignment w:val="auto"/>
      <w:outlineLvl w:val="1"/>
    </w:pPr>
    <w:rPr>
      <w:rFonts w:asciiTheme="majorHAnsi" w:eastAsia="仿宋" w:hAnsiTheme="majorHAnsi" w:cstheme="majorBidi"/>
      <w:b/>
      <w:bCs/>
      <w:snapToGrid/>
      <w:color w:val="auto"/>
      <w:kern w:val="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header"/>
    <w:basedOn w:val="a"/>
    <w:link w:val="a4"/>
    <w:rsid w:val="00A50534"/>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rsid w:val="00A50534"/>
    <w:rPr>
      <w:rFonts w:ascii="Arial" w:eastAsia="Arial" w:hAnsi="Arial" w:cs="Arial"/>
      <w:snapToGrid w:val="0"/>
      <w:color w:val="000000"/>
      <w:sz w:val="18"/>
      <w:szCs w:val="18"/>
    </w:rPr>
  </w:style>
  <w:style w:type="paragraph" w:styleId="a5">
    <w:name w:val="footer"/>
    <w:basedOn w:val="a"/>
    <w:link w:val="a6"/>
    <w:rsid w:val="00A50534"/>
    <w:pPr>
      <w:tabs>
        <w:tab w:val="center" w:pos="4153"/>
        <w:tab w:val="right" w:pos="8306"/>
      </w:tabs>
    </w:pPr>
    <w:rPr>
      <w:sz w:val="18"/>
      <w:szCs w:val="18"/>
    </w:rPr>
  </w:style>
  <w:style w:type="character" w:customStyle="1" w:styleId="a6">
    <w:name w:val="页脚 字符"/>
    <w:basedOn w:val="a0"/>
    <w:link w:val="a5"/>
    <w:rsid w:val="00A50534"/>
    <w:rPr>
      <w:rFonts w:ascii="Arial" w:eastAsia="Arial" w:hAnsi="Arial" w:cs="Arial"/>
      <w:snapToGrid w:val="0"/>
      <w:color w:val="000000"/>
      <w:sz w:val="18"/>
      <w:szCs w:val="18"/>
    </w:rPr>
  </w:style>
  <w:style w:type="character" w:customStyle="1" w:styleId="20">
    <w:name w:val="标题 2 字符"/>
    <w:basedOn w:val="a0"/>
    <w:link w:val="2"/>
    <w:uiPriority w:val="9"/>
    <w:qFormat/>
    <w:rsid w:val="00CB44BE"/>
    <w:rPr>
      <w:rFonts w:asciiTheme="majorHAnsi" w:eastAsia="仿宋" w:hAnsiTheme="majorHAnsi" w:cstheme="majorBidi"/>
      <w:b/>
      <w:bCs/>
      <w:kern w:val="2"/>
      <w:sz w:val="28"/>
      <w:szCs w:val="32"/>
    </w:rPr>
  </w:style>
  <w:style w:type="paragraph" w:styleId="a7">
    <w:name w:val="List Paragraph"/>
    <w:aliases w:val="Numbered List,清單段落1"/>
    <w:basedOn w:val="a"/>
    <w:link w:val="a8"/>
    <w:uiPriority w:val="34"/>
    <w:qFormat/>
    <w:rsid w:val="00CB44BE"/>
    <w:pPr>
      <w:widowControl w:val="0"/>
      <w:kinsoku/>
      <w:autoSpaceDE/>
      <w:autoSpaceDN/>
      <w:adjustRightInd/>
      <w:snapToGrid/>
      <w:spacing w:line="140" w:lineRule="atLeast"/>
      <w:ind w:firstLineChars="200" w:firstLine="420"/>
      <w:jc w:val="both"/>
      <w:textAlignment w:val="auto"/>
    </w:pPr>
    <w:rPr>
      <w:rFonts w:asciiTheme="minorHAnsi" w:eastAsiaTheme="minorEastAsia" w:hAnsiTheme="minorHAnsi" w:cstheme="minorBidi"/>
      <w:snapToGrid/>
      <w:color w:val="auto"/>
      <w:kern w:val="2"/>
      <w:szCs w:val="22"/>
    </w:rPr>
  </w:style>
  <w:style w:type="character" w:customStyle="1" w:styleId="a8">
    <w:name w:val="列出段落 字符"/>
    <w:aliases w:val="Numbered List 字符,清單段落1 字符"/>
    <w:link w:val="a7"/>
    <w:uiPriority w:val="34"/>
    <w:qFormat/>
    <w:locked/>
    <w:rsid w:val="00CB44B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0035">
      <w:bodyDiv w:val="1"/>
      <w:marLeft w:val="0"/>
      <w:marRight w:val="0"/>
      <w:marTop w:val="0"/>
      <w:marBottom w:val="0"/>
      <w:divBdr>
        <w:top w:val="none" w:sz="0" w:space="0" w:color="auto"/>
        <w:left w:val="none" w:sz="0" w:space="0" w:color="auto"/>
        <w:bottom w:val="none" w:sz="0" w:space="0" w:color="auto"/>
        <w:right w:val="none" w:sz="0" w:space="0" w:color="auto"/>
      </w:divBdr>
    </w:div>
    <w:div w:id="106631263">
      <w:bodyDiv w:val="1"/>
      <w:marLeft w:val="0"/>
      <w:marRight w:val="0"/>
      <w:marTop w:val="0"/>
      <w:marBottom w:val="0"/>
      <w:divBdr>
        <w:top w:val="none" w:sz="0" w:space="0" w:color="auto"/>
        <w:left w:val="none" w:sz="0" w:space="0" w:color="auto"/>
        <w:bottom w:val="none" w:sz="0" w:space="0" w:color="auto"/>
        <w:right w:val="none" w:sz="0" w:space="0" w:color="auto"/>
      </w:divBdr>
    </w:div>
    <w:div w:id="285965467">
      <w:bodyDiv w:val="1"/>
      <w:marLeft w:val="0"/>
      <w:marRight w:val="0"/>
      <w:marTop w:val="0"/>
      <w:marBottom w:val="0"/>
      <w:divBdr>
        <w:top w:val="none" w:sz="0" w:space="0" w:color="auto"/>
        <w:left w:val="none" w:sz="0" w:space="0" w:color="auto"/>
        <w:bottom w:val="none" w:sz="0" w:space="0" w:color="auto"/>
        <w:right w:val="none" w:sz="0" w:space="0" w:color="auto"/>
      </w:divBdr>
    </w:div>
    <w:div w:id="364064155">
      <w:bodyDiv w:val="1"/>
      <w:marLeft w:val="0"/>
      <w:marRight w:val="0"/>
      <w:marTop w:val="0"/>
      <w:marBottom w:val="0"/>
      <w:divBdr>
        <w:top w:val="none" w:sz="0" w:space="0" w:color="auto"/>
        <w:left w:val="none" w:sz="0" w:space="0" w:color="auto"/>
        <w:bottom w:val="none" w:sz="0" w:space="0" w:color="auto"/>
        <w:right w:val="none" w:sz="0" w:space="0" w:color="auto"/>
      </w:divBdr>
    </w:div>
    <w:div w:id="1091469099">
      <w:bodyDiv w:val="1"/>
      <w:marLeft w:val="0"/>
      <w:marRight w:val="0"/>
      <w:marTop w:val="0"/>
      <w:marBottom w:val="0"/>
      <w:divBdr>
        <w:top w:val="none" w:sz="0" w:space="0" w:color="auto"/>
        <w:left w:val="none" w:sz="0" w:space="0" w:color="auto"/>
        <w:bottom w:val="none" w:sz="0" w:space="0" w:color="auto"/>
        <w:right w:val="none" w:sz="0" w:space="0" w:color="auto"/>
      </w:divBdr>
    </w:div>
    <w:div w:id="1106850013">
      <w:bodyDiv w:val="1"/>
      <w:marLeft w:val="0"/>
      <w:marRight w:val="0"/>
      <w:marTop w:val="0"/>
      <w:marBottom w:val="0"/>
      <w:divBdr>
        <w:top w:val="none" w:sz="0" w:space="0" w:color="auto"/>
        <w:left w:val="none" w:sz="0" w:space="0" w:color="auto"/>
        <w:bottom w:val="none" w:sz="0" w:space="0" w:color="auto"/>
        <w:right w:val="none" w:sz="0" w:space="0" w:color="auto"/>
      </w:divBdr>
    </w:div>
    <w:div w:id="1556619782">
      <w:bodyDiv w:val="1"/>
      <w:marLeft w:val="0"/>
      <w:marRight w:val="0"/>
      <w:marTop w:val="0"/>
      <w:marBottom w:val="0"/>
      <w:divBdr>
        <w:top w:val="none" w:sz="0" w:space="0" w:color="auto"/>
        <w:left w:val="none" w:sz="0" w:space="0" w:color="auto"/>
        <w:bottom w:val="none" w:sz="0" w:space="0" w:color="auto"/>
        <w:right w:val="none" w:sz="0" w:space="0" w:color="auto"/>
      </w:divBdr>
    </w:div>
    <w:div w:id="1863281046">
      <w:bodyDiv w:val="1"/>
      <w:marLeft w:val="0"/>
      <w:marRight w:val="0"/>
      <w:marTop w:val="0"/>
      <w:marBottom w:val="0"/>
      <w:divBdr>
        <w:top w:val="none" w:sz="0" w:space="0" w:color="auto"/>
        <w:left w:val="none" w:sz="0" w:space="0" w:color="auto"/>
        <w:bottom w:val="none" w:sz="0" w:space="0" w:color="auto"/>
        <w:right w:val="none" w:sz="0" w:space="0" w:color="auto"/>
      </w:divBdr>
    </w:div>
    <w:div w:id="2059738504">
      <w:bodyDiv w:val="1"/>
      <w:marLeft w:val="0"/>
      <w:marRight w:val="0"/>
      <w:marTop w:val="0"/>
      <w:marBottom w:val="0"/>
      <w:divBdr>
        <w:top w:val="none" w:sz="0" w:space="0" w:color="auto"/>
        <w:left w:val="none" w:sz="0" w:space="0" w:color="auto"/>
        <w:bottom w:val="none" w:sz="0" w:space="0" w:color="auto"/>
        <w:right w:val="none" w:sz="0" w:space="0" w:color="auto"/>
      </w:divBdr>
    </w:div>
    <w:div w:id="2131968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乔唯赫</cp:lastModifiedBy>
  <cp:revision>3</cp:revision>
  <dcterms:created xsi:type="dcterms:W3CDTF">2024-11-21T08:33:00Z</dcterms:created>
  <dcterms:modified xsi:type="dcterms:W3CDTF">2024-11-21T08:43:00Z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5BEDABCD920442E38996B8948E5712B1_11</vt:lpwstr>
  </property>
</Properties>
</file>