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B56B">
      <w:pPr>
        <w:spacing w:line="560" w:lineRule="exact"/>
        <w:rPr>
          <w:rFonts w:ascii="宋体" w:hAnsi="宋体"/>
          <w:bCs/>
          <w:iCs/>
          <w:color w:val="000000"/>
          <w:sz w:val="24"/>
          <w:szCs w:val="24"/>
        </w:rPr>
      </w:pPr>
      <w:r>
        <w:rPr>
          <w:rFonts w:hint="eastAsia" w:ascii="宋体" w:hAnsi="宋体"/>
          <w:bCs/>
          <w:iCs/>
          <w:color w:val="000000"/>
          <w:sz w:val="24"/>
          <w:szCs w:val="24"/>
        </w:rPr>
        <w:t xml:space="preserve">证券代码：605196                            </w:t>
      </w:r>
      <w:r>
        <w:rPr>
          <w:rFonts w:ascii="宋体" w:hAnsi="宋体"/>
          <w:bCs/>
          <w:iCs/>
          <w:color w:val="000000"/>
          <w:sz w:val="24"/>
          <w:szCs w:val="24"/>
        </w:rPr>
        <w:t xml:space="preserve">     </w:t>
      </w:r>
      <w:r>
        <w:rPr>
          <w:rFonts w:hint="eastAsia" w:ascii="宋体" w:hAnsi="宋体"/>
          <w:bCs/>
          <w:iCs/>
          <w:color w:val="000000"/>
          <w:sz w:val="24"/>
          <w:szCs w:val="24"/>
        </w:rPr>
        <w:t xml:space="preserve">  证券简称：华通线缆</w:t>
      </w:r>
    </w:p>
    <w:p w14:paraId="3B8D7841">
      <w:pPr>
        <w:spacing w:line="560" w:lineRule="exact"/>
        <w:jc w:val="center"/>
        <w:rPr>
          <w:rFonts w:ascii="宋体" w:hAnsi="宋体"/>
          <w:b/>
          <w:bCs/>
          <w:iCs/>
          <w:color w:val="000000"/>
          <w:sz w:val="28"/>
          <w:szCs w:val="28"/>
        </w:rPr>
      </w:pPr>
      <w:r>
        <w:rPr>
          <w:rFonts w:hint="eastAsia" w:ascii="宋体" w:hAnsi="宋体"/>
          <w:b/>
          <w:bCs/>
          <w:iCs/>
          <w:color w:val="000000"/>
          <w:sz w:val="28"/>
          <w:szCs w:val="28"/>
        </w:rPr>
        <w:t>河北华通线缆集团股份有限公司</w:t>
      </w:r>
    </w:p>
    <w:p w14:paraId="3D4B19CC">
      <w:pPr>
        <w:spacing w:line="560" w:lineRule="exact"/>
        <w:jc w:val="center"/>
        <w:rPr>
          <w:rFonts w:ascii="宋体" w:hAnsi="宋体"/>
          <w:b/>
          <w:bCs/>
          <w:iCs/>
          <w:color w:val="000000"/>
          <w:sz w:val="28"/>
          <w:szCs w:val="28"/>
        </w:rPr>
      </w:pPr>
      <w:r>
        <w:rPr>
          <w:rFonts w:hint="eastAsia" w:ascii="宋体" w:hAnsi="宋体"/>
          <w:b/>
          <w:bCs/>
          <w:iCs/>
          <w:color w:val="000000"/>
          <w:sz w:val="28"/>
          <w:szCs w:val="28"/>
        </w:rPr>
        <w:t>投资者关系活动记录表</w:t>
      </w:r>
    </w:p>
    <w:p w14:paraId="05298C31">
      <w:pPr>
        <w:spacing w:line="560" w:lineRule="exact"/>
        <w:rPr>
          <w:rFonts w:hint="eastAsia" w:ascii="宋体" w:hAnsi="宋体" w:eastAsia="宋体"/>
          <w:bCs/>
          <w:iCs/>
          <w:color w:val="000000"/>
          <w:sz w:val="24"/>
          <w:szCs w:val="24"/>
          <w:lang w:eastAsia="zh-CN"/>
        </w:rPr>
      </w:pPr>
      <w:r>
        <w:rPr>
          <w:rFonts w:hint="eastAsia" w:ascii="宋体" w:hAnsi="宋体"/>
          <w:bCs/>
          <w:iCs/>
          <w:color w:val="000000"/>
          <w:sz w:val="28"/>
          <w:szCs w:val="28"/>
        </w:rPr>
        <w:t xml:space="preserve">                                        </w:t>
      </w:r>
      <w:r>
        <w:rPr>
          <w:rFonts w:ascii="宋体" w:hAnsi="宋体"/>
          <w:bCs/>
          <w:iCs/>
          <w:color w:val="000000"/>
          <w:sz w:val="28"/>
          <w:szCs w:val="28"/>
        </w:rPr>
        <w:t xml:space="preserve">   </w:t>
      </w:r>
      <w:r>
        <w:rPr>
          <w:rFonts w:hint="eastAsia" w:ascii="宋体" w:hAnsi="宋体"/>
          <w:bCs/>
          <w:iCs/>
          <w:color w:val="000000"/>
          <w:sz w:val="28"/>
          <w:szCs w:val="28"/>
        </w:rPr>
        <w:t xml:space="preserve">  </w:t>
      </w:r>
      <w:r>
        <w:rPr>
          <w:rFonts w:hint="eastAsia" w:ascii="宋体" w:hAnsi="宋体"/>
          <w:bCs/>
          <w:iCs/>
          <w:color w:val="000000"/>
          <w:sz w:val="24"/>
          <w:szCs w:val="24"/>
        </w:rPr>
        <w:t>编号：2</w:t>
      </w:r>
      <w:r>
        <w:rPr>
          <w:rFonts w:ascii="宋体" w:hAnsi="宋体"/>
          <w:bCs/>
          <w:iCs/>
          <w:color w:val="000000"/>
          <w:sz w:val="24"/>
          <w:szCs w:val="24"/>
        </w:rPr>
        <w:t>02</w:t>
      </w:r>
      <w:r>
        <w:rPr>
          <w:rFonts w:hint="eastAsia" w:ascii="宋体" w:hAnsi="宋体"/>
          <w:bCs/>
          <w:iCs/>
          <w:color w:val="000000"/>
          <w:sz w:val="24"/>
          <w:szCs w:val="24"/>
        </w:rPr>
        <w:t>4</w:t>
      </w:r>
      <w:r>
        <w:rPr>
          <w:rFonts w:ascii="宋体" w:hAnsi="宋体"/>
          <w:bCs/>
          <w:iCs/>
          <w:color w:val="000000"/>
          <w:sz w:val="24"/>
          <w:szCs w:val="24"/>
        </w:rPr>
        <w:t>-02</w:t>
      </w:r>
      <w:r>
        <w:rPr>
          <w:rFonts w:hint="eastAsia" w:ascii="宋体" w:hAnsi="宋体"/>
          <w:bCs/>
          <w:iCs/>
          <w:color w:val="000000"/>
          <w:sz w:val="24"/>
          <w:szCs w:val="24"/>
          <w:lang w:val="en-US" w:eastAsia="zh-CN"/>
        </w:rPr>
        <w:t>2</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137"/>
        <w:gridCol w:w="2160"/>
        <w:gridCol w:w="2643"/>
      </w:tblGrid>
      <w:tr w14:paraId="63187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25F3E88D">
            <w:pPr>
              <w:spacing w:line="560" w:lineRule="exact"/>
              <w:jc w:val="center"/>
              <w:rPr>
                <w:rFonts w:ascii="宋体" w:hAnsi="宋体"/>
                <w:bCs/>
                <w:iCs/>
                <w:color w:val="000000"/>
                <w:sz w:val="24"/>
                <w:szCs w:val="24"/>
              </w:rPr>
            </w:pPr>
            <w:r>
              <w:rPr>
                <w:rFonts w:hint="eastAsia" w:ascii="宋体" w:hAnsi="宋体"/>
                <w:bCs/>
                <w:iCs/>
                <w:color w:val="000000"/>
                <w:sz w:val="24"/>
                <w:szCs w:val="24"/>
              </w:rPr>
              <w:t>投资者关系活动类别</w:t>
            </w:r>
          </w:p>
        </w:tc>
        <w:tc>
          <w:tcPr>
            <w:tcW w:w="6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2D3E45">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特定对象调研      </w:t>
            </w:r>
            <w:r>
              <w:rPr>
                <w:rFonts w:ascii="宋体" w:hAnsi="宋体"/>
                <w:color w:val="000000"/>
                <w:sz w:val="24"/>
                <w:szCs w:val="24"/>
              </w:rPr>
              <w:t xml:space="preserve">  </w:t>
            </w:r>
            <w:r>
              <w:rPr>
                <w:rFonts w:hint="eastAsia" w:ascii="宋体" w:hAnsi="宋体"/>
                <w:bCs/>
                <w:iCs/>
                <w:color w:val="000000"/>
                <w:sz w:val="24"/>
                <w:szCs w:val="24"/>
              </w:rPr>
              <w:t>□</w:t>
            </w:r>
            <w:r>
              <w:rPr>
                <w:rFonts w:hint="eastAsia" w:ascii="宋体" w:hAnsi="宋体"/>
                <w:color w:val="000000"/>
                <w:sz w:val="24"/>
                <w:szCs w:val="24"/>
              </w:rPr>
              <w:t>分析师会议</w:t>
            </w:r>
          </w:p>
          <w:p w14:paraId="77BA96C2">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媒体采访            </w:t>
            </w:r>
            <w:r>
              <w:rPr>
                <w:rFonts w:hint="eastAsia" w:ascii="宋体" w:hAnsi="宋体"/>
                <w:bCs/>
                <w:iCs/>
                <w:color w:val="000000"/>
                <w:sz w:val="24"/>
                <w:szCs w:val="24"/>
              </w:rPr>
              <w:t>□</w:t>
            </w:r>
            <w:r>
              <w:rPr>
                <w:rFonts w:hint="eastAsia" w:ascii="宋体" w:hAnsi="宋体"/>
                <w:color w:val="000000"/>
                <w:sz w:val="24"/>
                <w:szCs w:val="24"/>
              </w:rPr>
              <w:t>业绩说明会</w:t>
            </w:r>
          </w:p>
          <w:p w14:paraId="4C368B6F">
            <w:pPr>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新闻发布会          </w:t>
            </w:r>
            <w:r>
              <w:rPr>
                <w:rFonts w:hint="eastAsia" w:ascii="宋体" w:hAnsi="宋体"/>
                <w:bCs/>
                <w:iCs/>
                <w:color w:val="000000"/>
                <w:sz w:val="24"/>
                <w:szCs w:val="24"/>
              </w:rPr>
              <w:t>□</w:t>
            </w:r>
            <w:r>
              <w:rPr>
                <w:rFonts w:hint="eastAsia" w:ascii="宋体" w:hAnsi="宋体"/>
                <w:color w:val="000000"/>
                <w:sz w:val="24"/>
                <w:szCs w:val="24"/>
              </w:rPr>
              <w:t>路演活动</w:t>
            </w:r>
          </w:p>
          <w:p w14:paraId="26108704">
            <w:pPr>
              <w:tabs>
                <w:tab w:val="left" w:pos="3045"/>
                <w:tab w:val="center" w:pos="3199"/>
              </w:tabs>
              <w:spacing w:line="560" w:lineRule="exact"/>
              <w:rPr>
                <w:rFonts w:ascii="宋体" w:hAnsi="宋体"/>
                <w:bCs/>
                <w:iCs/>
                <w:color w:val="000000"/>
                <w:sz w:val="24"/>
                <w:szCs w:val="24"/>
              </w:rPr>
            </w:pPr>
            <w:r>
              <w:rPr>
                <w:rFonts w:hint="eastAsia" w:ascii="宋体" w:hAnsi="宋体"/>
                <w:bCs/>
                <w:iCs/>
                <w:color w:val="000000"/>
                <w:sz w:val="24"/>
                <w:szCs w:val="24"/>
              </w:rPr>
              <w:t>□</w:t>
            </w:r>
            <w:r>
              <w:rPr>
                <w:rFonts w:hint="eastAsia" w:ascii="宋体" w:hAnsi="宋体"/>
                <w:color w:val="000000"/>
                <w:sz w:val="24"/>
                <w:szCs w:val="24"/>
              </w:rPr>
              <w:t xml:space="preserve">现场参观            </w:t>
            </w:r>
            <w:r>
              <w:rPr>
                <w:rFonts w:hint="eastAsia" w:ascii="宋体" w:hAnsi="宋体"/>
                <w:bCs/>
                <w:iCs/>
                <w:color w:val="000000"/>
                <w:sz w:val="24"/>
                <w:szCs w:val="24"/>
              </w:rPr>
              <w:t>□</w:t>
            </w:r>
            <w:r>
              <w:rPr>
                <w:rFonts w:hint="eastAsia" w:ascii="宋体" w:hAnsi="宋体"/>
                <w:color w:val="000000"/>
                <w:sz w:val="24"/>
                <w:szCs w:val="24"/>
              </w:rPr>
              <w:t>其他</w:t>
            </w:r>
          </w:p>
        </w:tc>
      </w:tr>
      <w:tr w14:paraId="160B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56" w:type="dxa"/>
            <w:vMerge w:val="restart"/>
            <w:tcBorders>
              <w:top w:val="single" w:color="auto" w:sz="4" w:space="0"/>
              <w:left w:val="single" w:color="auto" w:sz="4" w:space="0"/>
              <w:right w:val="single" w:color="auto" w:sz="4" w:space="0"/>
            </w:tcBorders>
            <w:shd w:val="clear" w:color="auto" w:fill="auto"/>
            <w:vAlign w:val="center"/>
          </w:tcPr>
          <w:p w14:paraId="3D27DB20">
            <w:pPr>
              <w:spacing w:line="560" w:lineRule="exact"/>
              <w:jc w:val="center"/>
              <w:rPr>
                <w:rFonts w:ascii="宋体" w:hAnsi="宋体"/>
                <w:bCs/>
                <w:iCs/>
                <w:color w:val="000000"/>
                <w:sz w:val="24"/>
                <w:szCs w:val="24"/>
              </w:rPr>
            </w:pPr>
            <w:r>
              <w:rPr>
                <w:rFonts w:hint="eastAsia" w:ascii="宋体" w:hAnsi="宋体"/>
                <w:bCs/>
                <w:iCs/>
                <w:color w:val="000000"/>
                <w:sz w:val="24"/>
                <w:szCs w:val="24"/>
              </w:rPr>
              <w:t>参与单位名称及人员名称</w:t>
            </w:r>
          </w:p>
        </w:tc>
        <w:tc>
          <w:tcPr>
            <w:tcW w:w="2137" w:type="dxa"/>
            <w:tcBorders>
              <w:top w:val="single" w:color="auto" w:sz="4" w:space="0"/>
              <w:left w:val="single" w:color="auto" w:sz="4" w:space="0"/>
              <w:bottom w:val="single" w:color="auto" w:sz="4" w:space="0"/>
              <w:right w:val="single" w:color="auto" w:sz="4" w:space="0"/>
            </w:tcBorders>
            <w:shd w:val="clear" w:color="auto" w:fill="auto"/>
            <w:vAlign w:val="center"/>
          </w:tcPr>
          <w:p w14:paraId="72950936">
            <w:pPr>
              <w:spacing w:line="360" w:lineRule="auto"/>
              <w:rPr>
                <w:bCs/>
                <w:iCs/>
                <w:color w:val="000000"/>
                <w:sz w:val="24"/>
                <w:szCs w:val="24"/>
              </w:rPr>
            </w:pPr>
            <w:r>
              <w:rPr>
                <w:rFonts w:hint="eastAsia"/>
                <w:bCs/>
                <w:iCs/>
                <w:color w:val="000000"/>
                <w:sz w:val="24"/>
                <w:szCs w:val="24"/>
                <w:lang w:val="en-US" w:eastAsia="zh-CN"/>
              </w:rPr>
              <w:t>华夏</w:t>
            </w:r>
            <w:r>
              <w:rPr>
                <w:rFonts w:hint="eastAsia"/>
                <w:bCs/>
                <w:iCs/>
                <w:color w:val="000000"/>
                <w:sz w:val="24"/>
                <w:szCs w:val="24"/>
              </w:rPr>
              <w:t>基金</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033713F1">
            <w:pPr>
              <w:tabs>
                <w:tab w:val="left" w:pos="1762"/>
              </w:tabs>
              <w:spacing w:line="360" w:lineRule="auto"/>
              <w:rPr>
                <w:rFonts w:hint="eastAsia" w:eastAsia="宋体"/>
                <w:bCs/>
                <w:iCs/>
                <w:color w:val="000000"/>
                <w:sz w:val="24"/>
                <w:szCs w:val="24"/>
                <w:lang w:eastAsia="zh-CN"/>
              </w:rPr>
            </w:pPr>
            <w:r>
              <w:rPr>
                <w:rFonts w:hint="eastAsia"/>
                <w:bCs/>
                <w:iCs/>
                <w:color w:val="000000"/>
                <w:sz w:val="24"/>
                <w:szCs w:val="24"/>
                <w:lang w:val="en-US" w:eastAsia="zh-CN"/>
              </w:rPr>
              <w:t>浙商证券</w:t>
            </w:r>
          </w:p>
        </w:tc>
        <w:tc>
          <w:tcPr>
            <w:tcW w:w="2643" w:type="dxa"/>
            <w:tcBorders>
              <w:top w:val="single" w:color="auto" w:sz="4" w:space="0"/>
              <w:left w:val="single" w:color="auto" w:sz="4" w:space="0"/>
              <w:bottom w:val="single" w:color="auto" w:sz="4" w:space="0"/>
              <w:right w:val="single" w:color="auto" w:sz="4" w:space="0"/>
            </w:tcBorders>
            <w:shd w:val="clear" w:color="auto" w:fill="auto"/>
            <w:vAlign w:val="center"/>
          </w:tcPr>
          <w:p w14:paraId="21A233B4">
            <w:pPr>
              <w:tabs>
                <w:tab w:val="left" w:pos="1762"/>
              </w:tabs>
              <w:spacing w:line="360" w:lineRule="auto"/>
              <w:rPr>
                <w:rFonts w:hint="default" w:eastAsia="宋体"/>
                <w:bCs/>
                <w:iCs/>
                <w:color w:val="000000"/>
                <w:sz w:val="24"/>
                <w:szCs w:val="24"/>
                <w:lang w:val="en-US" w:eastAsia="zh-CN"/>
              </w:rPr>
            </w:pPr>
            <w:r>
              <w:rPr>
                <w:rFonts w:hint="eastAsia"/>
                <w:bCs/>
                <w:iCs/>
                <w:color w:val="000000"/>
                <w:sz w:val="24"/>
                <w:szCs w:val="24"/>
                <w:lang w:val="en-US" w:eastAsia="zh-CN"/>
              </w:rPr>
              <w:t>国投证券</w:t>
            </w:r>
          </w:p>
        </w:tc>
      </w:tr>
      <w:tr w14:paraId="24EA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356" w:type="dxa"/>
            <w:vMerge w:val="continue"/>
            <w:tcBorders>
              <w:left w:val="single" w:color="auto" w:sz="4" w:space="0"/>
              <w:right w:val="single" w:color="auto" w:sz="4" w:space="0"/>
            </w:tcBorders>
            <w:shd w:val="clear" w:color="auto" w:fill="auto"/>
            <w:vAlign w:val="center"/>
          </w:tcPr>
          <w:p w14:paraId="111D33AB">
            <w:pPr>
              <w:spacing w:line="360" w:lineRule="auto"/>
            </w:pPr>
          </w:p>
        </w:tc>
        <w:tc>
          <w:tcPr>
            <w:tcW w:w="2137" w:type="dxa"/>
            <w:tcBorders>
              <w:top w:val="single" w:color="auto" w:sz="4" w:space="0"/>
              <w:left w:val="single" w:color="auto" w:sz="4" w:space="0"/>
              <w:bottom w:val="single" w:color="auto" w:sz="4" w:space="0"/>
              <w:right w:val="single" w:color="auto" w:sz="4" w:space="0"/>
            </w:tcBorders>
            <w:shd w:val="clear" w:color="auto" w:fill="auto"/>
            <w:vAlign w:val="center"/>
          </w:tcPr>
          <w:p w14:paraId="3528ABA7">
            <w:pPr>
              <w:spacing w:line="360" w:lineRule="auto"/>
              <w:rPr>
                <w:rFonts w:hint="eastAsia" w:eastAsia="宋体"/>
                <w:bCs/>
                <w:iCs/>
                <w:color w:val="000000"/>
                <w:sz w:val="24"/>
                <w:szCs w:val="24"/>
                <w:lang w:eastAsia="zh-CN"/>
              </w:rPr>
            </w:pPr>
            <w:r>
              <w:rPr>
                <w:rFonts w:hint="eastAsia"/>
                <w:bCs/>
                <w:iCs/>
                <w:color w:val="000000"/>
                <w:sz w:val="24"/>
                <w:szCs w:val="24"/>
                <w:lang w:val="en-US" w:eastAsia="zh-CN"/>
              </w:rPr>
              <w:t>中金证券</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CCDE5DF">
            <w:pPr>
              <w:spacing w:line="360" w:lineRule="auto"/>
              <w:rPr>
                <w:rFonts w:hint="default" w:eastAsia="宋体"/>
                <w:bCs/>
                <w:iCs/>
                <w:color w:val="000000"/>
                <w:sz w:val="24"/>
                <w:szCs w:val="24"/>
                <w:lang w:val="en-US" w:eastAsia="zh-CN"/>
              </w:rPr>
            </w:pPr>
            <w:r>
              <w:rPr>
                <w:rFonts w:hint="eastAsia"/>
                <w:bCs/>
                <w:iCs/>
                <w:color w:val="000000"/>
                <w:sz w:val="24"/>
                <w:szCs w:val="24"/>
                <w:lang w:val="en-US" w:eastAsia="zh-CN"/>
              </w:rPr>
              <w:t>兴全基金</w:t>
            </w:r>
          </w:p>
        </w:tc>
        <w:tc>
          <w:tcPr>
            <w:tcW w:w="2643" w:type="dxa"/>
            <w:tcBorders>
              <w:top w:val="single" w:color="auto" w:sz="4" w:space="0"/>
              <w:left w:val="single" w:color="auto" w:sz="4" w:space="0"/>
              <w:bottom w:val="single" w:color="auto" w:sz="4" w:space="0"/>
              <w:right w:val="single" w:color="auto" w:sz="4" w:space="0"/>
            </w:tcBorders>
            <w:shd w:val="clear" w:color="auto" w:fill="auto"/>
            <w:vAlign w:val="center"/>
          </w:tcPr>
          <w:p w14:paraId="1F750A06">
            <w:pPr>
              <w:spacing w:line="360" w:lineRule="auto"/>
              <w:rPr>
                <w:rFonts w:hint="eastAsia" w:eastAsia="宋体"/>
                <w:bCs/>
                <w:iCs/>
                <w:color w:val="000000"/>
                <w:sz w:val="24"/>
                <w:szCs w:val="24"/>
                <w:lang w:val="en-US" w:eastAsia="zh-CN"/>
              </w:rPr>
            </w:pPr>
            <w:r>
              <w:rPr>
                <w:rFonts w:hint="eastAsia"/>
                <w:bCs/>
                <w:iCs/>
                <w:color w:val="000000"/>
                <w:sz w:val="24"/>
                <w:szCs w:val="24"/>
              </w:rPr>
              <w:t>国投瑞银</w:t>
            </w:r>
            <w:r>
              <w:rPr>
                <w:rFonts w:hint="eastAsia"/>
                <w:bCs/>
                <w:iCs/>
                <w:color w:val="000000"/>
                <w:sz w:val="24"/>
                <w:szCs w:val="24"/>
                <w:lang w:val="en-US" w:eastAsia="zh-CN"/>
              </w:rPr>
              <w:t>基金</w:t>
            </w:r>
          </w:p>
        </w:tc>
      </w:tr>
      <w:tr w14:paraId="1F7B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69568ED">
            <w:pPr>
              <w:spacing w:line="560" w:lineRule="exact"/>
              <w:jc w:val="center"/>
              <w:rPr>
                <w:rFonts w:ascii="宋体" w:hAnsi="宋体"/>
                <w:bCs/>
                <w:iCs/>
                <w:color w:val="000000"/>
                <w:sz w:val="24"/>
                <w:szCs w:val="24"/>
              </w:rPr>
            </w:pPr>
            <w:r>
              <w:rPr>
                <w:rFonts w:hint="eastAsia" w:ascii="宋体" w:hAnsi="宋体"/>
                <w:bCs/>
                <w:iCs/>
                <w:color w:val="000000"/>
                <w:sz w:val="24"/>
                <w:szCs w:val="24"/>
              </w:rPr>
              <w:t>时间</w:t>
            </w:r>
          </w:p>
        </w:tc>
        <w:tc>
          <w:tcPr>
            <w:tcW w:w="6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E74629">
            <w:pPr>
              <w:bidi w:val="0"/>
              <w:rPr>
                <w:rFonts w:hint="eastAsia" w:eastAsia="宋体"/>
                <w:lang w:eastAsia="zh-CN"/>
              </w:rPr>
            </w:pPr>
            <w:r>
              <w:rPr>
                <w:rFonts w:hint="eastAsia"/>
              </w:rPr>
              <w:t>2024年</w:t>
            </w:r>
            <w:r>
              <w:t>11</w:t>
            </w:r>
            <w:r>
              <w:rPr>
                <w:rFonts w:hint="eastAsia"/>
              </w:rPr>
              <w:t>月</w:t>
            </w:r>
            <w:r>
              <w:rPr>
                <w:rFonts w:hint="eastAsia"/>
                <w:lang w:val="en-US" w:eastAsia="zh-CN"/>
              </w:rPr>
              <w:t>19</w:t>
            </w:r>
            <w:r>
              <w:rPr>
                <w:rFonts w:hint="eastAsia"/>
              </w:rPr>
              <w:t>日</w:t>
            </w:r>
            <w:r>
              <w:rPr>
                <w:rFonts w:hint="eastAsia"/>
                <w:lang w:eastAsia="zh-CN"/>
              </w:rPr>
              <w:t>、</w:t>
            </w:r>
            <w:r>
              <w:rPr>
                <w:rFonts w:hint="eastAsia"/>
              </w:rPr>
              <w:t>2024年</w:t>
            </w:r>
            <w:r>
              <w:t>11</w:t>
            </w:r>
            <w:r>
              <w:rPr>
                <w:rFonts w:hint="eastAsia"/>
              </w:rPr>
              <w:t>月</w:t>
            </w:r>
            <w:r>
              <w:rPr>
                <w:rFonts w:hint="eastAsia"/>
                <w:lang w:val="en-US" w:eastAsia="zh-CN"/>
              </w:rPr>
              <w:t>20</w:t>
            </w:r>
            <w:r>
              <w:rPr>
                <w:rFonts w:hint="eastAsia"/>
              </w:rPr>
              <w:t>日</w:t>
            </w:r>
            <w:r>
              <w:rPr>
                <w:rFonts w:hint="eastAsia"/>
                <w:lang w:eastAsia="zh-CN"/>
              </w:rPr>
              <w:t>、</w:t>
            </w:r>
            <w:r>
              <w:rPr>
                <w:rFonts w:hint="eastAsia"/>
              </w:rPr>
              <w:t>2024年</w:t>
            </w:r>
            <w:r>
              <w:t>11</w:t>
            </w:r>
            <w:r>
              <w:rPr>
                <w:rFonts w:hint="eastAsia"/>
              </w:rPr>
              <w:t>月</w:t>
            </w:r>
            <w:r>
              <w:rPr>
                <w:rFonts w:hint="eastAsia"/>
                <w:lang w:val="en-US" w:eastAsia="zh-CN"/>
              </w:rPr>
              <w:t>21</w:t>
            </w:r>
            <w:r>
              <w:rPr>
                <w:rFonts w:hint="eastAsia"/>
              </w:rPr>
              <w:t>日</w:t>
            </w:r>
          </w:p>
        </w:tc>
      </w:tr>
      <w:tr w14:paraId="01779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56A9634C">
            <w:pPr>
              <w:spacing w:line="560" w:lineRule="exact"/>
              <w:jc w:val="center"/>
              <w:rPr>
                <w:rFonts w:ascii="宋体" w:hAnsi="宋体"/>
                <w:bCs/>
                <w:iCs/>
                <w:color w:val="000000"/>
                <w:sz w:val="24"/>
                <w:szCs w:val="24"/>
              </w:rPr>
            </w:pPr>
            <w:r>
              <w:rPr>
                <w:rFonts w:hint="eastAsia" w:ascii="宋体" w:hAnsi="宋体"/>
                <w:bCs/>
                <w:iCs/>
                <w:color w:val="000000"/>
                <w:sz w:val="24"/>
                <w:szCs w:val="24"/>
              </w:rPr>
              <w:t>地点</w:t>
            </w:r>
          </w:p>
        </w:tc>
        <w:tc>
          <w:tcPr>
            <w:tcW w:w="6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53307A">
            <w:pPr>
              <w:spacing w:line="360" w:lineRule="auto"/>
              <w:rPr>
                <w:color w:val="000000"/>
                <w:sz w:val="24"/>
                <w:szCs w:val="24"/>
              </w:rPr>
            </w:pPr>
            <w:r>
              <w:rPr>
                <w:rFonts w:hint="eastAsia"/>
                <w:color w:val="000000"/>
                <w:sz w:val="24"/>
                <w:szCs w:val="24"/>
                <w:lang w:val="en-US" w:eastAsia="zh-CN"/>
              </w:rPr>
              <w:t>线下：华通线缆三楼会议室；</w:t>
            </w:r>
            <w:r>
              <w:rPr>
                <w:rFonts w:hint="eastAsia"/>
                <w:color w:val="000000"/>
                <w:sz w:val="24"/>
                <w:szCs w:val="24"/>
              </w:rPr>
              <w:t>线上：</w:t>
            </w:r>
            <w:r>
              <w:rPr>
                <w:rFonts w:hint="eastAsia"/>
                <w:color w:val="000000"/>
                <w:sz w:val="24"/>
                <w:szCs w:val="24"/>
                <w:lang w:val="en-US" w:eastAsia="zh-CN"/>
              </w:rPr>
              <w:t>腾讯</w:t>
            </w:r>
            <w:r>
              <w:rPr>
                <w:rFonts w:hint="eastAsia"/>
                <w:color w:val="000000"/>
                <w:sz w:val="24"/>
                <w:szCs w:val="24"/>
              </w:rPr>
              <w:t>会议</w:t>
            </w:r>
          </w:p>
        </w:tc>
      </w:tr>
      <w:tr w14:paraId="419DE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41AB5F6">
            <w:pPr>
              <w:spacing w:line="560" w:lineRule="exact"/>
              <w:jc w:val="center"/>
              <w:rPr>
                <w:rFonts w:ascii="宋体" w:hAnsi="宋体"/>
                <w:bCs/>
                <w:iCs/>
                <w:color w:val="000000"/>
                <w:sz w:val="24"/>
                <w:szCs w:val="24"/>
              </w:rPr>
            </w:pPr>
            <w:r>
              <w:rPr>
                <w:rFonts w:hint="eastAsia" w:ascii="宋体" w:hAnsi="宋体"/>
                <w:bCs/>
                <w:iCs/>
                <w:color w:val="000000"/>
                <w:sz w:val="24"/>
                <w:szCs w:val="24"/>
              </w:rPr>
              <w:t>上市公司接待人员姓名</w:t>
            </w:r>
          </w:p>
        </w:tc>
        <w:tc>
          <w:tcPr>
            <w:tcW w:w="6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9EFDA7E">
            <w:pPr>
              <w:spacing w:line="360" w:lineRule="auto"/>
              <w:rPr>
                <w:rFonts w:ascii="宋体" w:hAnsi="宋体"/>
                <w:bCs/>
                <w:iCs/>
                <w:color w:val="000000"/>
                <w:sz w:val="24"/>
                <w:szCs w:val="24"/>
              </w:rPr>
            </w:pPr>
            <w:r>
              <w:rPr>
                <w:rFonts w:hint="eastAsia" w:ascii="宋体" w:hAnsi="宋体"/>
                <w:bCs/>
                <w:iCs/>
                <w:color w:val="000000"/>
                <w:sz w:val="24"/>
                <w:szCs w:val="24"/>
              </w:rPr>
              <w:t>董事会秘书兼财务总监罗效愚</w:t>
            </w:r>
          </w:p>
        </w:tc>
      </w:tr>
      <w:tr w14:paraId="7C8B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621BF86E">
            <w:pPr>
              <w:spacing w:line="560" w:lineRule="exact"/>
              <w:jc w:val="center"/>
              <w:rPr>
                <w:rFonts w:ascii="宋体" w:hAnsi="宋体"/>
                <w:bCs/>
                <w:iCs/>
                <w:color w:val="000000"/>
                <w:sz w:val="24"/>
                <w:szCs w:val="24"/>
              </w:rPr>
            </w:pPr>
            <w:r>
              <w:rPr>
                <w:rFonts w:hint="eastAsia" w:ascii="宋体" w:hAnsi="宋体"/>
                <w:bCs/>
                <w:iCs/>
                <w:color w:val="000000"/>
                <w:sz w:val="24"/>
                <w:szCs w:val="24"/>
              </w:rPr>
              <w:t>投资者关系活动主要内容介绍</w:t>
            </w:r>
          </w:p>
        </w:tc>
        <w:tc>
          <w:tcPr>
            <w:tcW w:w="6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CC3D2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公司管理层交流</w:t>
            </w:r>
          </w:p>
          <w:p w14:paraId="1E51B7B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公司管理层与参会投资者进行互动交流，主要沟通内容如下：</w:t>
            </w:r>
          </w:p>
          <w:p w14:paraId="0E9C3531">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1、公司在海外项目的人员团队一般怎样建设？</w:t>
            </w:r>
          </w:p>
          <w:p w14:paraId="0689F03A">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公司针对海外项目进行专门的团队建设，其中核心管理人员、技术人员等由国内进行外派，</w:t>
            </w:r>
            <w:r>
              <w:rPr>
                <w:rFonts w:hint="eastAsia" w:ascii="宋体" w:hAnsi="宋体" w:cs="宋体"/>
                <w:sz w:val="24"/>
                <w:szCs w:val="24"/>
                <w:lang w:val="en-US" w:eastAsia="zh-CN"/>
              </w:rPr>
              <w:t>其他工人</w:t>
            </w:r>
            <w:r>
              <w:rPr>
                <w:rFonts w:hint="eastAsia" w:ascii="宋体" w:hAnsi="宋体" w:eastAsia="宋体" w:cs="宋体"/>
                <w:sz w:val="24"/>
                <w:szCs w:val="24"/>
              </w:rPr>
              <w:t>在当地</w:t>
            </w:r>
            <w:r>
              <w:rPr>
                <w:rFonts w:hint="eastAsia" w:ascii="宋体" w:hAnsi="宋体" w:cs="宋体"/>
                <w:sz w:val="24"/>
                <w:szCs w:val="24"/>
                <w:lang w:val="en-US" w:eastAsia="zh-CN"/>
              </w:rPr>
              <w:t>进行</w:t>
            </w:r>
            <w:r>
              <w:rPr>
                <w:rFonts w:hint="eastAsia" w:ascii="宋体" w:hAnsi="宋体" w:eastAsia="宋体" w:cs="宋体"/>
                <w:sz w:val="24"/>
                <w:szCs w:val="24"/>
              </w:rPr>
              <w:t>招聘。公司非常重视人员团队建设，目前公司内部正在着力进行人力资源系统升级、管培生团队建设等项目，致力于为公司的长远发展建设坚实的团队。</w:t>
            </w:r>
          </w:p>
          <w:p w14:paraId="10C9A2F2">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2、线缆板块</w:t>
            </w:r>
            <w:r>
              <w:rPr>
                <w:rFonts w:hint="eastAsia" w:ascii="宋体" w:hAnsi="宋体" w:cs="宋体"/>
                <w:sz w:val="24"/>
                <w:szCs w:val="24"/>
                <w:lang w:val="en-US" w:eastAsia="zh-CN"/>
              </w:rPr>
              <w:t>在海外市场</w:t>
            </w:r>
            <w:r>
              <w:rPr>
                <w:rFonts w:hint="eastAsia" w:ascii="宋体" w:hAnsi="宋体" w:eastAsia="宋体" w:cs="宋体"/>
                <w:sz w:val="24"/>
                <w:szCs w:val="24"/>
              </w:rPr>
              <w:t>主要有哪些</w:t>
            </w:r>
            <w:r>
              <w:rPr>
                <w:rFonts w:hint="eastAsia" w:ascii="宋体" w:hAnsi="宋体" w:cs="宋体"/>
                <w:sz w:val="24"/>
                <w:szCs w:val="24"/>
                <w:lang w:val="en-US" w:eastAsia="zh-CN"/>
              </w:rPr>
              <w:t>销售</w:t>
            </w:r>
            <w:r>
              <w:rPr>
                <w:rFonts w:hint="eastAsia" w:ascii="宋体" w:hAnsi="宋体" w:eastAsia="宋体" w:cs="宋体"/>
                <w:sz w:val="24"/>
                <w:szCs w:val="24"/>
              </w:rPr>
              <w:t>模式？</w:t>
            </w:r>
          </w:p>
          <w:p w14:paraId="145F21FF">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公司电力电缆产品</w:t>
            </w:r>
            <w:r>
              <w:rPr>
                <w:rFonts w:hint="eastAsia" w:ascii="宋体" w:hAnsi="宋体" w:cs="宋体"/>
                <w:sz w:val="24"/>
                <w:szCs w:val="24"/>
                <w:lang w:val="en-US" w:eastAsia="zh-CN"/>
              </w:rPr>
              <w:t>在海外主要有两种销售模式，一种为经销模式</w:t>
            </w:r>
            <w:r>
              <w:rPr>
                <w:rFonts w:hint="eastAsia" w:ascii="宋体" w:hAnsi="宋体" w:eastAsia="宋体" w:cs="宋体"/>
                <w:sz w:val="24"/>
                <w:szCs w:val="24"/>
              </w:rPr>
              <w:t>，主要对接北美比较大的经销商，公司已经与kingwire等公司建立了长期且稳定的合作关系；</w:t>
            </w:r>
            <w:r>
              <w:rPr>
                <w:rFonts w:hint="eastAsia" w:ascii="宋体" w:hAnsi="宋体" w:cs="宋体"/>
                <w:sz w:val="24"/>
                <w:szCs w:val="24"/>
                <w:lang w:val="en-US" w:eastAsia="zh-CN"/>
              </w:rPr>
              <w:t>另一种</w:t>
            </w:r>
            <w:r>
              <w:rPr>
                <w:rFonts w:hint="eastAsia" w:ascii="宋体" w:hAnsi="宋体" w:eastAsia="宋体" w:cs="宋体"/>
                <w:sz w:val="24"/>
                <w:szCs w:val="24"/>
              </w:rPr>
              <w:t>为直销</w:t>
            </w:r>
            <w:r>
              <w:rPr>
                <w:rFonts w:hint="eastAsia" w:ascii="宋体" w:hAnsi="宋体" w:cs="宋体"/>
                <w:sz w:val="24"/>
                <w:szCs w:val="24"/>
                <w:lang w:val="en-US" w:eastAsia="zh-CN"/>
              </w:rPr>
              <w:t>模式</w:t>
            </w:r>
            <w:r>
              <w:rPr>
                <w:rFonts w:hint="eastAsia" w:ascii="宋体" w:hAnsi="宋体" w:eastAsia="宋体" w:cs="宋体"/>
                <w:sz w:val="24"/>
                <w:szCs w:val="24"/>
              </w:rPr>
              <w:t>，直接面向客户进行服务。</w:t>
            </w:r>
          </w:p>
          <w:p w14:paraId="5B6F2FAE">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3、公司在非洲竞争力比较强的原因是什么？</w:t>
            </w:r>
          </w:p>
          <w:p w14:paraId="49542BA9">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公司在非洲具有先发优势，公司较早的在非洲当地建设了生产工厂，主要针对当地市场进行生产销售，目前在当地生产规模较大，竞争力较强；其次，公司凭借产品质量优势与当地客户建立了长期稳定的客户关系，目前非洲市场尤其是坦桑尼亚市场下游客户稳定，盈利情况较好。</w:t>
            </w:r>
          </w:p>
          <w:p w14:paraId="1CBD76C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4、油价波动对公司的影响情况？</w:t>
            </w:r>
          </w:p>
          <w:p w14:paraId="4E28454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油气钻采专用产品行业的市场需求主要会受到石油、天然气的钻采投资规模的影响，与油价的走势并不存在非常明确的线性关系。公司的油服产品主要应用于油田的全生命周期，且我公司的油服产品</w:t>
            </w:r>
            <w:r>
              <w:rPr>
                <w:rFonts w:hint="eastAsia" w:ascii="宋体" w:hAnsi="宋体" w:cs="宋体"/>
                <w:sz w:val="24"/>
                <w:szCs w:val="24"/>
                <w:lang w:val="en-US" w:eastAsia="zh-CN"/>
              </w:rPr>
              <w:t>的</w:t>
            </w:r>
            <w:r>
              <w:rPr>
                <w:rFonts w:hint="eastAsia" w:ascii="宋体" w:hAnsi="宋体" w:eastAsia="宋体" w:cs="宋体"/>
                <w:sz w:val="24"/>
                <w:szCs w:val="24"/>
              </w:rPr>
              <w:t>技术优势具有很强的竞争力，油价波动的影响</w:t>
            </w:r>
            <w:r>
              <w:rPr>
                <w:rFonts w:hint="eastAsia" w:ascii="宋体" w:hAnsi="宋体" w:cs="宋体"/>
                <w:sz w:val="24"/>
                <w:szCs w:val="24"/>
                <w:lang w:val="en-US" w:eastAsia="zh-CN"/>
              </w:rPr>
              <w:t>较小</w:t>
            </w:r>
            <w:r>
              <w:rPr>
                <w:rFonts w:hint="eastAsia" w:ascii="宋体" w:hAnsi="宋体" w:eastAsia="宋体" w:cs="宋体"/>
                <w:sz w:val="24"/>
                <w:szCs w:val="24"/>
              </w:rPr>
              <w:t>。</w:t>
            </w:r>
          </w:p>
          <w:p w14:paraId="4AF220A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5、公司未来是否有股权激励计划？</w:t>
            </w:r>
          </w:p>
          <w:p w14:paraId="54CCAC74">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公司2022年</w:t>
            </w:r>
            <w:r>
              <w:rPr>
                <w:rFonts w:hint="eastAsia" w:ascii="宋体" w:hAnsi="宋体" w:cs="宋体"/>
                <w:sz w:val="24"/>
                <w:szCs w:val="24"/>
                <w:lang w:val="en-US" w:eastAsia="zh-CN"/>
              </w:rPr>
              <w:t>限制性股票</w:t>
            </w:r>
            <w:bookmarkStart w:id="0" w:name="_GoBack"/>
            <w:bookmarkEnd w:id="0"/>
            <w:r>
              <w:rPr>
                <w:rFonts w:hint="eastAsia" w:ascii="宋体" w:hAnsi="宋体" w:eastAsia="宋体" w:cs="宋体"/>
                <w:sz w:val="24"/>
                <w:szCs w:val="24"/>
              </w:rPr>
              <w:t>激励计划目前还在实施中，已经于2024年11月15日进行了股权激励计划第二期的解禁上市。公司股权激励计划的实施极大程度上助力公司业绩的发展以及人员团队的建设。</w:t>
            </w:r>
          </w:p>
          <w:p w14:paraId="06145973">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司目前已经董事会审议通过以集中竞价方式进行股份回购计划，相关方案将于本月提交股东大会审议，若该方案审议通过公司将按照计划进行股份回购，其中回购股份50%在未来适宜时机将用于股权激励或员工持股计划。</w:t>
            </w:r>
          </w:p>
          <w:p w14:paraId="12CAD600">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二、风险提示</w:t>
            </w:r>
          </w:p>
          <w:p w14:paraId="0A807168">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ascii="宋体" w:hAnsi="宋体"/>
                <w:sz w:val="24"/>
                <w:szCs w:val="24"/>
              </w:rPr>
            </w:pPr>
            <w:r>
              <w:rPr>
                <w:rFonts w:hint="eastAsia" w:ascii="宋体" w:hAnsi="宋体" w:eastAsia="宋体" w:cs="宋体"/>
                <w:sz w:val="24"/>
                <w:szCs w:val="24"/>
              </w:rPr>
              <w:t>公司郑重提醒广大投资者，有关公司信息以公司在上海证券交易所网站（www.sse.com.cn）和法定信息披露媒体刊登的相关公告为准。本公告中如涉及对外部环境判断、公司发展战略、未来计划等描述，不构成公司对投资者的实质承诺，敬请广大投资者理性投资，注意投资风险。</w:t>
            </w:r>
          </w:p>
        </w:tc>
      </w:tr>
      <w:tr w14:paraId="3678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06344DC7">
            <w:pPr>
              <w:spacing w:line="560" w:lineRule="exact"/>
              <w:jc w:val="center"/>
              <w:rPr>
                <w:rFonts w:ascii="宋体" w:hAnsi="宋体"/>
                <w:bCs/>
                <w:iCs/>
                <w:color w:val="000000"/>
                <w:sz w:val="24"/>
                <w:szCs w:val="24"/>
              </w:rPr>
            </w:pPr>
            <w:r>
              <w:rPr>
                <w:rFonts w:hint="eastAsia" w:ascii="宋体" w:hAnsi="宋体"/>
                <w:bCs/>
                <w:iCs/>
                <w:color w:val="000000"/>
                <w:sz w:val="24"/>
                <w:szCs w:val="24"/>
              </w:rPr>
              <w:t>附件清单（如有）</w:t>
            </w:r>
          </w:p>
        </w:tc>
        <w:tc>
          <w:tcPr>
            <w:tcW w:w="6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9872C8">
            <w:pPr>
              <w:spacing w:line="560" w:lineRule="exact"/>
              <w:jc w:val="left"/>
              <w:rPr>
                <w:rFonts w:ascii="宋体" w:hAnsi="宋体"/>
                <w:bCs/>
                <w:iCs/>
                <w:color w:val="000000"/>
                <w:sz w:val="24"/>
                <w:szCs w:val="24"/>
              </w:rPr>
            </w:pPr>
            <w:r>
              <w:rPr>
                <w:rFonts w:hint="eastAsia" w:ascii="宋体" w:hAnsi="宋体"/>
                <w:bCs/>
                <w:iCs/>
                <w:color w:val="000000"/>
                <w:sz w:val="24"/>
                <w:szCs w:val="24"/>
              </w:rPr>
              <w:t>无</w:t>
            </w:r>
          </w:p>
        </w:tc>
      </w:tr>
      <w:tr w14:paraId="556E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14:paraId="3C20580B">
            <w:pPr>
              <w:spacing w:line="560" w:lineRule="exact"/>
              <w:jc w:val="center"/>
              <w:rPr>
                <w:rFonts w:ascii="宋体" w:hAnsi="宋体"/>
                <w:bCs/>
                <w:iCs/>
                <w:color w:val="000000"/>
                <w:sz w:val="24"/>
                <w:szCs w:val="24"/>
              </w:rPr>
            </w:pPr>
            <w:r>
              <w:rPr>
                <w:rFonts w:hint="eastAsia" w:ascii="宋体" w:hAnsi="宋体"/>
                <w:bCs/>
                <w:iCs/>
                <w:color w:val="000000"/>
                <w:sz w:val="24"/>
                <w:szCs w:val="24"/>
              </w:rPr>
              <w:t>时间</w:t>
            </w:r>
          </w:p>
        </w:tc>
        <w:tc>
          <w:tcPr>
            <w:tcW w:w="69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DE7D01">
            <w:pPr>
              <w:spacing w:line="560" w:lineRule="exact"/>
              <w:jc w:val="left"/>
              <w:rPr>
                <w:rFonts w:ascii="宋体" w:hAnsi="宋体"/>
                <w:bCs/>
                <w:iCs/>
                <w:color w:val="000000"/>
                <w:sz w:val="24"/>
                <w:szCs w:val="24"/>
              </w:rPr>
            </w:pPr>
            <w:r>
              <w:rPr>
                <w:rFonts w:hint="eastAsia" w:ascii="宋体" w:hAnsi="宋体"/>
                <w:bCs/>
                <w:iCs/>
                <w:color w:val="000000"/>
                <w:sz w:val="24"/>
                <w:szCs w:val="24"/>
              </w:rPr>
              <w:t>2024年</w:t>
            </w:r>
            <w:r>
              <w:rPr>
                <w:rFonts w:ascii="宋体" w:hAnsi="宋体"/>
                <w:bCs/>
                <w:iCs/>
                <w:color w:val="000000"/>
                <w:sz w:val="24"/>
                <w:szCs w:val="24"/>
              </w:rPr>
              <w:t>11</w:t>
            </w:r>
            <w:r>
              <w:rPr>
                <w:rFonts w:hint="eastAsia" w:ascii="宋体" w:hAnsi="宋体"/>
                <w:bCs/>
                <w:iCs/>
                <w:color w:val="000000"/>
                <w:sz w:val="24"/>
                <w:szCs w:val="24"/>
              </w:rPr>
              <w:t>月</w:t>
            </w:r>
            <w:r>
              <w:rPr>
                <w:rFonts w:hint="eastAsia" w:ascii="宋体" w:hAnsi="宋体"/>
                <w:bCs/>
                <w:iCs/>
                <w:color w:val="000000"/>
                <w:sz w:val="24"/>
                <w:szCs w:val="24"/>
                <w:lang w:val="en-US" w:eastAsia="zh-CN"/>
              </w:rPr>
              <w:t>21</w:t>
            </w:r>
            <w:r>
              <w:rPr>
                <w:rFonts w:hint="eastAsia" w:ascii="宋体" w:hAnsi="宋体"/>
                <w:bCs/>
                <w:iCs/>
                <w:color w:val="000000"/>
                <w:sz w:val="24"/>
                <w:szCs w:val="24"/>
              </w:rPr>
              <w:t>日</w:t>
            </w:r>
          </w:p>
        </w:tc>
      </w:tr>
    </w:tbl>
    <w:p w14:paraId="03E8536B">
      <w:pPr>
        <w:keepNext w:val="0"/>
        <w:keepLines w:val="0"/>
        <w:pageBreakBefore w:val="0"/>
        <w:widowControl w:val="0"/>
        <w:kinsoku/>
        <w:wordWrap/>
        <w:overflowPunct/>
        <w:topLinePunct w:val="0"/>
        <w:autoSpaceDE/>
        <w:autoSpaceDN/>
        <w:bidi w:val="0"/>
        <w:adjustRightInd/>
        <w:snapToGrid/>
        <w:spacing w:before="157" w:beforeLines="50" w:line="360" w:lineRule="auto"/>
        <w:ind w:firstLine="440" w:firstLineChars="200"/>
        <w:textAlignment w:val="auto"/>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384E9A"/>
    <w:multiLevelType w:val="multilevel"/>
    <w:tmpl w:val="74384E9A"/>
    <w:lvl w:ilvl="0" w:tentative="0">
      <w:start w:val="6"/>
      <w:numFmt w:val="decimal"/>
      <w:pStyle w:val="1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MThiYzc4ZjkxNWQ3ZDZkZTdjZjYyMTM0ZGFjODMifQ=="/>
  </w:docVars>
  <w:rsids>
    <w:rsidRoot w:val="00172A27"/>
    <w:rsid w:val="000009B4"/>
    <w:rsid w:val="00000DDB"/>
    <w:rsid w:val="00002164"/>
    <w:rsid w:val="00004DBC"/>
    <w:rsid w:val="0001101E"/>
    <w:rsid w:val="00030402"/>
    <w:rsid w:val="00034C10"/>
    <w:rsid w:val="0004177C"/>
    <w:rsid w:val="00043A46"/>
    <w:rsid w:val="000537F7"/>
    <w:rsid w:val="000661A4"/>
    <w:rsid w:val="00066580"/>
    <w:rsid w:val="00071768"/>
    <w:rsid w:val="00074853"/>
    <w:rsid w:val="00076E94"/>
    <w:rsid w:val="00077558"/>
    <w:rsid w:val="00077898"/>
    <w:rsid w:val="00080BE8"/>
    <w:rsid w:val="000827E0"/>
    <w:rsid w:val="0008723C"/>
    <w:rsid w:val="0009156B"/>
    <w:rsid w:val="000A4713"/>
    <w:rsid w:val="000A51AB"/>
    <w:rsid w:val="000A6344"/>
    <w:rsid w:val="000A6638"/>
    <w:rsid w:val="000B2786"/>
    <w:rsid w:val="000B5782"/>
    <w:rsid w:val="000B7B88"/>
    <w:rsid w:val="000C3E87"/>
    <w:rsid w:val="000C6873"/>
    <w:rsid w:val="000C7CD5"/>
    <w:rsid w:val="000D3389"/>
    <w:rsid w:val="000D67FA"/>
    <w:rsid w:val="000E1E3B"/>
    <w:rsid w:val="000E67A1"/>
    <w:rsid w:val="000F46FA"/>
    <w:rsid w:val="000F5227"/>
    <w:rsid w:val="000F71B4"/>
    <w:rsid w:val="000F7B33"/>
    <w:rsid w:val="00100C69"/>
    <w:rsid w:val="0010400C"/>
    <w:rsid w:val="00110FC5"/>
    <w:rsid w:val="00112311"/>
    <w:rsid w:val="00113A86"/>
    <w:rsid w:val="00114B34"/>
    <w:rsid w:val="00124664"/>
    <w:rsid w:val="00130570"/>
    <w:rsid w:val="001329DD"/>
    <w:rsid w:val="001356FE"/>
    <w:rsid w:val="001357F1"/>
    <w:rsid w:val="001367E0"/>
    <w:rsid w:val="001538E2"/>
    <w:rsid w:val="001573F4"/>
    <w:rsid w:val="00157433"/>
    <w:rsid w:val="00157908"/>
    <w:rsid w:val="0017126A"/>
    <w:rsid w:val="00172A27"/>
    <w:rsid w:val="001738B8"/>
    <w:rsid w:val="00181787"/>
    <w:rsid w:val="00182BFA"/>
    <w:rsid w:val="001A2820"/>
    <w:rsid w:val="001A6560"/>
    <w:rsid w:val="001B175A"/>
    <w:rsid w:val="001B2DCD"/>
    <w:rsid w:val="001B6A0C"/>
    <w:rsid w:val="001C477A"/>
    <w:rsid w:val="001C4A69"/>
    <w:rsid w:val="001D188B"/>
    <w:rsid w:val="001D58AA"/>
    <w:rsid w:val="001E0755"/>
    <w:rsid w:val="001E7CB2"/>
    <w:rsid w:val="001F1E72"/>
    <w:rsid w:val="002008F6"/>
    <w:rsid w:val="00201EAC"/>
    <w:rsid w:val="002124EE"/>
    <w:rsid w:val="00212A15"/>
    <w:rsid w:val="0021672A"/>
    <w:rsid w:val="0022094A"/>
    <w:rsid w:val="002221DB"/>
    <w:rsid w:val="002334E6"/>
    <w:rsid w:val="00233F63"/>
    <w:rsid w:val="00241012"/>
    <w:rsid w:val="002410FD"/>
    <w:rsid w:val="00242D28"/>
    <w:rsid w:val="00243FD0"/>
    <w:rsid w:val="0025322F"/>
    <w:rsid w:val="00260C7D"/>
    <w:rsid w:val="00265EC3"/>
    <w:rsid w:val="0026623B"/>
    <w:rsid w:val="0027297E"/>
    <w:rsid w:val="00274364"/>
    <w:rsid w:val="0027545A"/>
    <w:rsid w:val="00275C7C"/>
    <w:rsid w:val="00277461"/>
    <w:rsid w:val="002879B3"/>
    <w:rsid w:val="002B100F"/>
    <w:rsid w:val="002B2A68"/>
    <w:rsid w:val="002C6489"/>
    <w:rsid w:val="002C7E32"/>
    <w:rsid w:val="002E1F2D"/>
    <w:rsid w:val="002F1379"/>
    <w:rsid w:val="002F538A"/>
    <w:rsid w:val="00300B27"/>
    <w:rsid w:val="0030476C"/>
    <w:rsid w:val="00312574"/>
    <w:rsid w:val="00313769"/>
    <w:rsid w:val="003170E8"/>
    <w:rsid w:val="00317F1E"/>
    <w:rsid w:val="00321386"/>
    <w:rsid w:val="0033010E"/>
    <w:rsid w:val="0033047E"/>
    <w:rsid w:val="0033441C"/>
    <w:rsid w:val="00334FF5"/>
    <w:rsid w:val="003461A9"/>
    <w:rsid w:val="0035019F"/>
    <w:rsid w:val="00351724"/>
    <w:rsid w:val="00360171"/>
    <w:rsid w:val="00360753"/>
    <w:rsid w:val="00360BA1"/>
    <w:rsid w:val="00364D60"/>
    <w:rsid w:val="00370FBE"/>
    <w:rsid w:val="003750B0"/>
    <w:rsid w:val="003762B2"/>
    <w:rsid w:val="003817B9"/>
    <w:rsid w:val="00387DEE"/>
    <w:rsid w:val="00390A57"/>
    <w:rsid w:val="00392244"/>
    <w:rsid w:val="003975A4"/>
    <w:rsid w:val="003A2230"/>
    <w:rsid w:val="003A4F3E"/>
    <w:rsid w:val="003B0CCD"/>
    <w:rsid w:val="003B0E3B"/>
    <w:rsid w:val="003B15ED"/>
    <w:rsid w:val="003B475C"/>
    <w:rsid w:val="003C0F63"/>
    <w:rsid w:val="003C436C"/>
    <w:rsid w:val="003D109C"/>
    <w:rsid w:val="003D1C45"/>
    <w:rsid w:val="003D3A88"/>
    <w:rsid w:val="003E5075"/>
    <w:rsid w:val="003E76E6"/>
    <w:rsid w:val="003F3853"/>
    <w:rsid w:val="003F3ACB"/>
    <w:rsid w:val="004034AA"/>
    <w:rsid w:val="00404345"/>
    <w:rsid w:val="004100F6"/>
    <w:rsid w:val="004102D6"/>
    <w:rsid w:val="00410514"/>
    <w:rsid w:val="0041370C"/>
    <w:rsid w:val="00421532"/>
    <w:rsid w:val="00422AA8"/>
    <w:rsid w:val="0042569E"/>
    <w:rsid w:val="004261D1"/>
    <w:rsid w:val="004275B9"/>
    <w:rsid w:val="004329C0"/>
    <w:rsid w:val="00433955"/>
    <w:rsid w:val="00440C64"/>
    <w:rsid w:val="00453754"/>
    <w:rsid w:val="00465B1D"/>
    <w:rsid w:val="0046782B"/>
    <w:rsid w:val="004801CE"/>
    <w:rsid w:val="0048216F"/>
    <w:rsid w:val="0048609A"/>
    <w:rsid w:val="0049142F"/>
    <w:rsid w:val="004A0365"/>
    <w:rsid w:val="004A1871"/>
    <w:rsid w:val="004A45CB"/>
    <w:rsid w:val="004B276B"/>
    <w:rsid w:val="004B3357"/>
    <w:rsid w:val="004B6E7C"/>
    <w:rsid w:val="004C45BF"/>
    <w:rsid w:val="004D4716"/>
    <w:rsid w:val="004E0710"/>
    <w:rsid w:val="004E243F"/>
    <w:rsid w:val="004E556F"/>
    <w:rsid w:val="004E5A0E"/>
    <w:rsid w:val="004F252F"/>
    <w:rsid w:val="004F2952"/>
    <w:rsid w:val="004F542F"/>
    <w:rsid w:val="004F6292"/>
    <w:rsid w:val="004F6B5A"/>
    <w:rsid w:val="004F7D88"/>
    <w:rsid w:val="0050109D"/>
    <w:rsid w:val="00504376"/>
    <w:rsid w:val="00505A9D"/>
    <w:rsid w:val="00510316"/>
    <w:rsid w:val="005162D0"/>
    <w:rsid w:val="0052029F"/>
    <w:rsid w:val="00520D58"/>
    <w:rsid w:val="00522DD5"/>
    <w:rsid w:val="0052316A"/>
    <w:rsid w:val="005244FE"/>
    <w:rsid w:val="005248FA"/>
    <w:rsid w:val="00540AC7"/>
    <w:rsid w:val="005413BD"/>
    <w:rsid w:val="00552271"/>
    <w:rsid w:val="0056053B"/>
    <w:rsid w:val="005605BE"/>
    <w:rsid w:val="00564530"/>
    <w:rsid w:val="00564EE0"/>
    <w:rsid w:val="0057696B"/>
    <w:rsid w:val="00577048"/>
    <w:rsid w:val="0059029C"/>
    <w:rsid w:val="005959D1"/>
    <w:rsid w:val="005B0504"/>
    <w:rsid w:val="005B3C14"/>
    <w:rsid w:val="005B7823"/>
    <w:rsid w:val="005C1C2D"/>
    <w:rsid w:val="005D0246"/>
    <w:rsid w:val="005D1B3C"/>
    <w:rsid w:val="005E3F18"/>
    <w:rsid w:val="005E63FF"/>
    <w:rsid w:val="005E70CA"/>
    <w:rsid w:val="005F07AE"/>
    <w:rsid w:val="005F4DFC"/>
    <w:rsid w:val="005F5C28"/>
    <w:rsid w:val="005F7C75"/>
    <w:rsid w:val="0060562F"/>
    <w:rsid w:val="006140D7"/>
    <w:rsid w:val="00615903"/>
    <w:rsid w:val="00615BEE"/>
    <w:rsid w:val="00621C29"/>
    <w:rsid w:val="00622A91"/>
    <w:rsid w:val="00623B1D"/>
    <w:rsid w:val="00625F1F"/>
    <w:rsid w:val="00627B0D"/>
    <w:rsid w:val="00627BEE"/>
    <w:rsid w:val="006310FF"/>
    <w:rsid w:val="00633D8F"/>
    <w:rsid w:val="006372CE"/>
    <w:rsid w:val="00637F2C"/>
    <w:rsid w:val="00643067"/>
    <w:rsid w:val="00644FB1"/>
    <w:rsid w:val="00645010"/>
    <w:rsid w:val="00645E14"/>
    <w:rsid w:val="006464FE"/>
    <w:rsid w:val="00647A14"/>
    <w:rsid w:val="006555F5"/>
    <w:rsid w:val="00660948"/>
    <w:rsid w:val="00660F4C"/>
    <w:rsid w:val="006657EF"/>
    <w:rsid w:val="006664E6"/>
    <w:rsid w:val="00666EEB"/>
    <w:rsid w:val="0067570B"/>
    <w:rsid w:val="00687555"/>
    <w:rsid w:val="0069230B"/>
    <w:rsid w:val="006A443B"/>
    <w:rsid w:val="006A7034"/>
    <w:rsid w:val="006B5239"/>
    <w:rsid w:val="006C357D"/>
    <w:rsid w:val="006E4E15"/>
    <w:rsid w:val="006F3651"/>
    <w:rsid w:val="006F4CBC"/>
    <w:rsid w:val="006F4EF8"/>
    <w:rsid w:val="006F51DD"/>
    <w:rsid w:val="006F7739"/>
    <w:rsid w:val="00700BA6"/>
    <w:rsid w:val="007047E3"/>
    <w:rsid w:val="00714062"/>
    <w:rsid w:val="00715779"/>
    <w:rsid w:val="0071670F"/>
    <w:rsid w:val="007204C0"/>
    <w:rsid w:val="00722929"/>
    <w:rsid w:val="007230F3"/>
    <w:rsid w:val="00730BA3"/>
    <w:rsid w:val="00730D38"/>
    <w:rsid w:val="007419A4"/>
    <w:rsid w:val="007420BE"/>
    <w:rsid w:val="00742EBF"/>
    <w:rsid w:val="00744F05"/>
    <w:rsid w:val="00747DB4"/>
    <w:rsid w:val="007504CD"/>
    <w:rsid w:val="00755FA2"/>
    <w:rsid w:val="00761C17"/>
    <w:rsid w:val="007711A5"/>
    <w:rsid w:val="00772918"/>
    <w:rsid w:val="00780C68"/>
    <w:rsid w:val="00783868"/>
    <w:rsid w:val="0078395B"/>
    <w:rsid w:val="00784193"/>
    <w:rsid w:val="007907BA"/>
    <w:rsid w:val="00790A5E"/>
    <w:rsid w:val="00790D0F"/>
    <w:rsid w:val="0079233D"/>
    <w:rsid w:val="00793AA6"/>
    <w:rsid w:val="00794D24"/>
    <w:rsid w:val="007965C7"/>
    <w:rsid w:val="007B07C7"/>
    <w:rsid w:val="007B4A25"/>
    <w:rsid w:val="007C744C"/>
    <w:rsid w:val="007D3823"/>
    <w:rsid w:val="007E179A"/>
    <w:rsid w:val="007E21E5"/>
    <w:rsid w:val="007E5149"/>
    <w:rsid w:val="007E53FC"/>
    <w:rsid w:val="007F588F"/>
    <w:rsid w:val="007F5ABE"/>
    <w:rsid w:val="00800B1F"/>
    <w:rsid w:val="00801369"/>
    <w:rsid w:val="00804EA2"/>
    <w:rsid w:val="008207FE"/>
    <w:rsid w:val="008255D0"/>
    <w:rsid w:val="00827ECF"/>
    <w:rsid w:val="0083595C"/>
    <w:rsid w:val="008400DF"/>
    <w:rsid w:val="00842540"/>
    <w:rsid w:val="00844854"/>
    <w:rsid w:val="0084558D"/>
    <w:rsid w:val="00853E04"/>
    <w:rsid w:val="008552A2"/>
    <w:rsid w:val="008604C6"/>
    <w:rsid w:val="00860DBC"/>
    <w:rsid w:val="0087049D"/>
    <w:rsid w:val="00876D0C"/>
    <w:rsid w:val="008828A5"/>
    <w:rsid w:val="00884BB7"/>
    <w:rsid w:val="00892816"/>
    <w:rsid w:val="0089432B"/>
    <w:rsid w:val="008A545F"/>
    <w:rsid w:val="008A595C"/>
    <w:rsid w:val="008A6E8A"/>
    <w:rsid w:val="008A7295"/>
    <w:rsid w:val="008B20EB"/>
    <w:rsid w:val="008B6410"/>
    <w:rsid w:val="008B68F3"/>
    <w:rsid w:val="008C4FF9"/>
    <w:rsid w:val="008C642A"/>
    <w:rsid w:val="008D30FB"/>
    <w:rsid w:val="008D3494"/>
    <w:rsid w:val="008D760F"/>
    <w:rsid w:val="008E1E3E"/>
    <w:rsid w:val="008E5029"/>
    <w:rsid w:val="008F16C2"/>
    <w:rsid w:val="008F7F9D"/>
    <w:rsid w:val="0090038D"/>
    <w:rsid w:val="00907FCC"/>
    <w:rsid w:val="00910570"/>
    <w:rsid w:val="00912BB1"/>
    <w:rsid w:val="009258A8"/>
    <w:rsid w:val="00926952"/>
    <w:rsid w:val="00940C1D"/>
    <w:rsid w:val="00964B42"/>
    <w:rsid w:val="00965650"/>
    <w:rsid w:val="00972788"/>
    <w:rsid w:val="00973717"/>
    <w:rsid w:val="00975188"/>
    <w:rsid w:val="00984670"/>
    <w:rsid w:val="009870EF"/>
    <w:rsid w:val="009958C2"/>
    <w:rsid w:val="00996D8F"/>
    <w:rsid w:val="009A7322"/>
    <w:rsid w:val="009B01A2"/>
    <w:rsid w:val="009B4B04"/>
    <w:rsid w:val="009B6ECB"/>
    <w:rsid w:val="009C3AA1"/>
    <w:rsid w:val="009D09FF"/>
    <w:rsid w:val="009D281F"/>
    <w:rsid w:val="009E3240"/>
    <w:rsid w:val="009E4391"/>
    <w:rsid w:val="009E5AF1"/>
    <w:rsid w:val="009F0C30"/>
    <w:rsid w:val="009F347E"/>
    <w:rsid w:val="00A016B1"/>
    <w:rsid w:val="00A12204"/>
    <w:rsid w:val="00A127BE"/>
    <w:rsid w:val="00A158CF"/>
    <w:rsid w:val="00A3126E"/>
    <w:rsid w:val="00A33842"/>
    <w:rsid w:val="00A37F53"/>
    <w:rsid w:val="00A43631"/>
    <w:rsid w:val="00A44A9F"/>
    <w:rsid w:val="00A44CB3"/>
    <w:rsid w:val="00A4616D"/>
    <w:rsid w:val="00A47115"/>
    <w:rsid w:val="00A53E60"/>
    <w:rsid w:val="00A553CC"/>
    <w:rsid w:val="00A57E85"/>
    <w:rsid w:val="00A6111A"/>
    <w:rsid w:val="00A67054"/>
    <w:rsid w:val="00A71B3F"/>
    <w:rsid w:val="00A8769A"/>
    <w:rsid w:val="00A8777D"/>
    <w:rsid w:val="00A90A0E"/>
    <w:rsid w:val="00A9115A"/>
    <w:rsid w:val="00A9450D"/>
    <w:rsid w:val="00A95876"/>
    <w:rsid w:val="00AB018A"/>
    <w:rsid w:val="00AB4407"/>
    <w:rsid w:val="00AC09D8"/>
    <w:rsid w:val="00AC5050"/>
    <w:rsid w:val="00AC6ADB"/>
    <w:rsid w:val="00AC7307"/>
    <w:rsid w:val="00AC754F"/>
    <w:rsid w:val="00AC764D"/>
    <w:rsid w:val="00AD12AF"/>
    <w:rsid w:val="00AE23C8"/>
    <w:rsid w:val="00AE4967"/>
    <w:rsid w:val="00AF060B"/>
    <w:rsid w:val="00AF10A7"/>
    <w:rsid w:val="00AF1271"/>
    <w:rsid w:val="00AF140E"/>
    <w:rsid w:val="00AF2071"/>
    <w:rsid w:val="00B01B35"/>
    <w:rsid w:val="00B10F12"/>
    <w:rsid w:val="00B119F9"/>
    <w:rsid w:val="00B240C1"/>
    <w:rsid w:val="00B242FE"/>
    <w:rsid w:val="00B24550"/>
    <w:rsid w:val="00B27053"/>
    <w:rsid w:val="00B33197"/>
    <w:rsid w:val="00B33985"/>
    <w:rsid w:val="00B36FA6"/>
    <w:rsid w:val="00B51034"/>
    <w:rsid w:val="00B510B0"/>
    <w:rsid w:val="00B52A33"/>
    <w:rsid w:val="00B54D4C"/>
    <w:rsid w:val="00B5518B"/>
    <w:rsid w:val="00B7020D"/>
    <w:rsid w:val="00B73D83"/>
    <w:rsid w:val="00B77B38"/>
    <w:rsid w:val="00B8420F"/>
    <w:rsid w:val="00B84FAA"/>
    <w:rsid w:val="00B863A2"/>
    <w:rsid w:val="00B91144"/>
    <w:rsid w:val="00BA398E"/>
    <w:rsid w:val="00BB1219"/>
    <w:rsid w:val="00BB3771"/>
    <w:rsid w:val="00BB4AA6"/>
    <w:rsid w:val="00BC6E8E"/>
    <w:rsid w:val="00BC7C32"/>
    <w:rsid w:val="00BD258C"/>
    <w:rsid w:val="00BD3FDF"/>
    <w:rsid w:val="00BE4350"/>
    <w:rsid w:val="00C140F2"/>
    <w:rsid w:val="00C173FC"/>
    <w:rsid w:val="00C24142"/>
    <w:rsid w:val="00C35E0D"/>
    <w:rsid w:val="00C40331"/>
    <w:rsid w:val="00C4311D"/>
    <w:rsid w:val="00C438E0"/>
    <w:rsid w:val="00C515A0"/>
    <w:rsid w:val="00C52699"/>
    <w:rsid w:val="00C53135"/>
    <w:rsid w:val="00C53BAA"/>
    <w:rsid w:val="00C57202"/>
    <w:rsid w:val="00C74BCF"/>
    <w:rsid w:val="00C75EBA"/>
    <w:rsid w:val="00C80397"/>
    <w:rsid w:val="00C81A52"/>
    <w:rsid w:val="00C831CF"/>
    <w:rsid w:val="00C863E8"/>
    <w:rsid w:val="00C86731"/>
    <w:rsid w:val="00C91A50"/>
    <w:rsid w:val="00C92B3B"/>
    <w:rsid w:val="00C92DCC"/>
    <w:rsid w:val="00CA1B83"/>
    <w:rsid w:val="00CA2324"/>
    <w:rsid w:val="00CA5C44"/>
    <w:rsid w:val="00CB13D6"/>
    <w:rsid w:val="00CB2179"/>
    <w:rsid w:val="00CB351E"/>
    <w:rsid w:val="00CB35AC"/>
    <w:rsid w:val="00CC38B6"/>
    <w:rsid w:val="00CC5473"/>
    <w:rsid w:val="00CD2480"/>
    <w:rsid w:val="00CE2EC7"/>
    <w:rsid w:val="00CF3116"/>
    <w:rsid w:val="00CF4255"/>
    <w:rsid w:val="00CF7B5B"/>
    <w:rsid w:val="00D00AFE"/>
    <w:rsid w:val="00D04BBF"/>
    <w:rsid w:val="00D06C71"/>
    <w:rsid w:val="00D06E89"/>
    <w:rsid w:val="00D0709F"/>
    <w:rsid w:val="00D07F32"/>
    <w:rsid w:val="00D12DD3"/>
    <w:rsid w:val="00D15786"/>
    <w:rsid w:val="00D167D0"/>
    <w:rsid w:val="00D20A7C"/>
    <w:rsid w:val="00D210CE"/>
    <w:rsid w:val="00D23341"/>
    <w:rsid w:val="00D266A5"/>
    <w:rsid w:val="00D30D66"/>
    <w:rsid w:val="00D325E6"/>
    <w:rsid w:val="00D350C8"/>
    <w:rsid w:val="00D37555"/>
    <w:rsid w:val="00D408D6"/>
    <w:rsid w:val="00D41556"/>
    <w:rsid w:val="00D43913"/>
    <w:rsid w:val="00D4713B"/>
    <w:rsid w:val="00D56339"/>
    <w:rsid w:val="00D61959"/>
    <w:rsid w:val="00D71190"/>
    <w:rsid w:val="00D779F8"/>
    <w:rsid w:val="00D83D0B"/>
    <w:rsid w:val="00D85695"/>
    <w:rsid w:val="00D872C1"/>
    <w:rsid w:val="00D87F80"/>
    <w:rsid w:val="00D95282"/>
    <w:rsid w:val="00D95910"/>
    <w:rsid w:val="00DA7CF0"/>
    <w:rsid w:val="00DB3242"/>
    <w:rsid w:val="00DC1651"/>
    <w:rsid w:val="00DC61B8"/>
    <w:rsid w:val="00DD7A78"/>
    <w:rsid w:val="00DF68AE"/>
    <w:rsid w:val="00E02EAF"/>
    <w:rsid w:val="00E11DC7"/>
    <w:rsid w:val="00E11E08"/>
    <w:rsid w:val="00E12E9E"/>
    <w:rsid w:val="00E135FC"/>
    <w:rsid w:val="00E14AE2"/>
    <w:rsid w:val="00E30553"/>
    <w:rsid w:val="00E316DA"/>
    <w:rsid w:val="00E4217B"/>
    <w:rsid w:val="00E450AA"/>
    <w:rsid w:val="00E536E4"/>
    <w:rsid w:val="00E54775"/>
    <w:rsid w:val="00E55281"/>
    <w:rsid w:val="00E63BFA"/>
    <w:rsid w:val="00E758C4"/>
    <w:rsid w:val="00E8247C"/>
    <w:rsid w:val="00E83A75"/>
    <w:rsid w:val="00E92508"/>
    <w:rsid w:val="00EA39D4"/>
    <w:rsid w:val="00EA45B2"/>
    <w:rsid w:val="00EB395E"/>
    <w:rsid w:val="00EB69C6"/>
    <w:rsid w:val="00EC4F17"/>
    <w:rsid w:val="00EC53F8"/>
    <w:rsid w:val="00EC5E11"/>
    <w:rsid w:val="00EC66E9"/>
    <w:rsid w:val="00ED0DDE"/>
    <w:rsid w:val="00ED1BA3"/>
    <w:rsid w:val="00ED3531"/>
    <w:rsid w:val="00ED5AC7"/>
    <w:rsid w:val="00EE7323"/>
    <w:rsid w:val="00EF4198"/>
    <w:rsid w:val="00EF50D6"/>
    <w:rsid w:val="00EF7FE4"/>
    <w:rsid w:val="00F00E49"/>
    <w:rsid w:val="00F01351"/>
    <w:rsid w:val="00F0377D"/>
    <w:rsid w:val="00F03FF8"/>
    <w:rsid w:val="00F06CEF"/>
    <w:rsid w:val="00F103BD"/>
    <w:rsid w:val="00F1114E"/>
    <w:rsid w:val="00F22A8C"/>
    <w:rsid w:val="00F23291"/>
    <w:rsid w:val="00F31C69"/>
    <w:rsid w:val="00F3202D"/>
    <w:rsid w:val="00F33A63"/>
    <w:rsid w:val="00F44D98"/>
    <w:rsid w:val="00F5053B"/>
    <w:rsid w:val="00F63882"/>
    <w:rsid w:val="00F72221"/>
    <w:rsid w:val="00F74113"/>
    <w:rsid w:val="00F778AB"/>
    <w:rsid w:val="00F93CD1"/>
    <w:rsid w:val="00F9566A"/>
    <w:rsid w:val="00FA0AE4"/>
    <w:rsid w:val="00FA71CC"/>
    <w:rsid w:val="00FB1DB9"/>
    <w:rsid w:val="00FB4039"/>
    <w:rsid w:val="00FB6E6D"/>
    <w:rsid w:val="00FB7C3F"/>
    <w:rsid w:val="00FC3CB9"/>
    <w:rsid w:val="00FC3ED4"/>
    <w:rsid w:val="00FC471A"/>
    <w:rsid w:val="00FD3E63"/>
    <w:rsid w:val="00FE014B"/>
    <w:rsid w:val="00FE0CC6"/>
    <w:rsid w:val="00FE1642"/>
    <w:rsid w:val="00FE2070"/>
    <w:rsid w:val="00FE3600"/>
    <w:rsid w:val="00FE4062"/>
    <w:rsid w:val="015C7009"/>
    <w:rsid w:val="01A2611B"/>
    <w:rsid w:val="02251150"/>
    <w:rsid w:val="02511F45"/>
    <w:rsid w:val="02B5233B"/>
    <w:rsid w:val="031C2553"/>
    <w:rsid w:val="0345286E"/>
    <w:rsid w:val="034C0D5A"/>
    <w:rsid w:val="04001E75"/>
    <w:rsid w:val="04473600"/>
    <w:rsid w:val="05353DA0"/>
    <w:rsid w:val="059E3AE0"/>
    <w:rsid w:val="06252A6E"/>
    <w:rsid w:val="066044F4"/>
    <w:rsid w:val="06B156A8"/>
    <w:rsid w:val="08077D9A"/>
    <w:rsid w:val="08A454C4"/>
    <w:rsid w:val="08BA69F7"/>
    <w:rsid w:val="0914398A"/>
    <w:rsid w:val="0A0F696E"/>
    <w:rsid w:val="0A770BB5"/>
    <w:rsid w:val="0AD40116"/>
    <w:rsid w:val="0C17413F"/>
    <w:rsid w:val="0C3721AC"/>
    <w:rsid w:val="0CB9159D"/>
    <w:rsid w:val="0EDF13E9"/>
    <w:rsid w:val="0FE4089C"/>
    <w:rsid w:val="10755A24"/>
    <w:rsid w:val="107C576B"/>
    <w:rsid w:val="108D4A90"/>
    <w:rsid w:val="109A0F5B"/>
    <w:rsid w:val="11076A5B"/>
    <w:rsid w:val="1142587A"/>
    <w:rsid w:val="11AB1672"/>
    <w:rsid w:val="12907B19"/>
    <w:rsid w:val="13135720"/>
    <w:rsid w:val="14101C60"/>
    <w:rsid w:val="144F06C0"/>
    <w:rsid w:val="14AA1ABA"/>
    <w:rsid w:val="14E770CC"/>
    <w:rsid w:val="150317C5"/>
    <w:rsid w:val="15455939"/>
    <w:rsid w:val="15743E00"/>
    <w:rsid w:val="16526560"/>
    <w:rsid w:val="16704C38"/>
    <w:rsid w:val="186D58D3"/>
    <w:rsid w:val="18B01392"/>
    <w:rsid w:val="190B0C48"/>
    <w:rsid w:val="19E576EB"/>
    <w:rsid w:val="1A50725A"/>
    <w:rsid w:val="1ACA2ABE"/>
    <w:rsid w:val="1AED4E80"/>
    <w:rsid w:val="1AF44089"/>
    <w:rsid w:val="1BE55780"/>
    <w:rsid w:val="1CBF4223"/>
    <w:rsid w:val="1D126A49"/>
    <w:rsid w:val="1D37025D"/>
    <w:rsid w:val="1E1B192D"/>
    <w:rsid w:val="201B5C14"/>
    <w:rsid w:val="20B83463"/>
    <w:rsid w:val="20F10F57"/>
    <w:rsid w:val="218B0B78"/>
    <w:rsid w:val="21A34546"/>
    <w:rsid w:val="21FC002A"/>
    <w:rsid w:val="22050073"/>
    <w:rsid w:val="22B365D8"/>
    <w:rsid w:val="22CA56D0"/>
    <w:rsid w:val="237A3CFD"/>
    <w:rsid w:val="23E822B1"/>
    <w:rsid w:val="23FF584D"/>
    <w:rsid w:val="24831FDA"/>
    <w:rsid w:val="26885C79"/>
    <w:rsid w:val="27090EBD"/>
    <w:rsid w:val="271E5FEA"/>
    <w:rsid w:val="27873FEC"/>
    <w:rsid w:val="27D17500"/>
    <w:rsid w:val="291B6C85"/>
    <w:rsid w:val="2A9C0162"/>
    <w:rsid w:val="2BA946BE"/>
    <w:rsid w:val="2BB4007F"/>
    <w:rsid w:val="2C701096"/>
    <w:rsid w:val="2D6329A9"/>
    <w:rsid w:val="2DD438A6"/>
    <w:rsid w:val="2EA4771D"/>
    <w:rsid w:val="2EB067DF"/>
    <w:rsid w:val="2EC21BE6"/>
    <w:rsid w:val="2F1C7E9A"/>
    <w:rsid w:val="306739E5"/>
    <w:rsid w:val="30A752A2"/>
    <w:rsid w:val="31140B8A"/>
    <w:rsid w:val="31A0241D"/>
    <w:rsid w:val="31B97611"/>
    <w:rsid w:val="323E39E4"/>
    <w:rsid w:val="32412817"/>
    <w:rsid w:val="32B75C71"/>
    <w:rsid w:val="335A1288"/>
    <w:rsid w:val="35BC359E"/>
    <w:rsid w:val="35CB558F"/>
    <w:rsid w:val="362B08D8"/>
    <w:rsid w:val="36A22794"/>
    <w:rsid w:val="375673DE"/>
    <w:rsid w:val="38163439"/>
    <w:rsid w:val="39096AFA"/>
    <w:rsid w:val="3AAB14A0"/>
    <w:rsid w:val="3AD06507"/>
    <w:rsid w:val="3B862684"/>
    <w:rsid w:val="3BAE3989"/>
    <w:rsid w:val="3D0733C4"/>
    <w:rsid w:val="3DA42DCB"/>
    <w:rsid w:val="3ED10EB7"/>
    <w:rsid w:val="40491ED2"/>
    <w:rsid w:val="40692574"/>
    <w:rsid w:val="407D712F"/>
    <w:rsid w:val="412C5A7C"/>
    <w:rsid w:val="419B675D"/>
    <w:rsid w:val="42C41CE4"/>
    <w:rsid w:val="43D321DE"/>
    <w:rsid w:val="447C2876"/>
    <w:rsid w:val="4484797D"/>
    <w:rsid w:val="46C92DA7"/>
    <w:rsid w:val="46D86895"/>
    <w:rsid w:val="47076C6D"/>
    <w:rsid w:val="48276F9D"/>
    <w:rsid w:val="48B87BF5"/>
    <w:rsid w:val="495D4A4D"/>
    <w:rsid w:val="499B614F"/>
    <w:rsid w:val="49C10D2B"/>
    <w:rsid w:val="4A7D1CCB"/>
    <w:rsid w:val="4AAF6DD6"/>
    <w:rsid w:val="4B6A7155"/>
    <w:rsid w:val="4BDD2F4F"/>
    <w:rsid w:val="4C474817"/>
    <w:rsid w:val="4C884D42"/>
    <w:rsid w:val="4D77007F"/>
    <w:rsid w:val="4EEC684A"/>
    <w:rsid w:val="4F732AC8"/>
    <w:rsid w:val="4FFB7B14"/>
    <w:rsid w:val="500D1A9A"/>
    <w:rsid w:val="50A65A6D"/>
    <w:rsid w:val="51597A9B"/>
    <w:rsid w:val="520E4D2A"/>
    <w:rsid w:val="52552958"/>
    <w:rsid w:val="52F932E4"/>
    <w:rsid w:val="53733096"/>
    <w:rsid w:val="54F14BBA"/>
    <w:rsid w:val="564F4D48"/>
    <w:rsid w:val="56C43A70"/>
    <w:rsid w:val="57931F59"/>
    <w:rsid w:val="587E1439"/>
    <w:rsid w:val="596040BD"/>
    <w:rsid w:val="5A61633E"/>
    <w:rsid w:val="5AA77AC9"/>
    <w:rsid w:val="5DE3467B"/>
    <w:rsid w:val="5E062D59"/>
    <w:rsid w:val="5E0B0E29"/>
    <w:rsid w:val="5E130209"/>
    <w:rsid w:val="5EEB4428"/>
    <w:rsid w:val="5EF57055"/>
    <w:rsid w:val="5EF7101F"/>
    <w:rsid w:val="5F465B03"/>
    <w:rsid w:val="5F8959EF"/>
    <w:rsid w:val="60206352"/>
    <w:rsid w:val="60C56EFB"/>
    <w:rsid w:val="60C74214"/>
    <w:rsid w:val="60E94F09"/>
    <w:rsid w:val="617B530A"/>
    <w:rsid w:val="617F3A95"/>
    <w:rsid w:val="624E7B5D"/>
    <w:rsid w:val="625642AF"/>
    <w:rsid w:val="64267CB1"/>
    <w:rsid w:val="64A57817"/>
    <w:rsid w:val="65EA4BC1"/>
    <w:rsid w:val="65F8567D"/>
    <w:rsid w:val="66A7157D"/>
    <w:rsid w:val="671309C0"/>
    <w:rsid w:val="684F4465"/>
    <w:rsid w:val="693E3CEF"/>
    <w:rsid w:val="69676DA1"/>
    <w:rsid w:val="6A0E64AD"/>
    <w:rsid w:val="6A3D1DC1"/>
    <w:rsid w:val="6A486BD3"/>
    <w:rsid w:val="6B9F679B"/>
    <w:rsid w:val="6BA51E03"/>
    <w:rsid w:val="6BD83F86"/>
    <w:rsid w:val="6C411B2C"/>
    <w:rsid w:val="6DE9247B"/>
    <w:rsid w:val="6E511DCE"/>
    <w:rsid w:val="6F8561D3"/>
    <w:rsid w:val="70875F7B"/>
    <w:rsid w:val="70CB40BA"/>
    <w:rsid w:val="71593E5C"/>
    <w:rsid w:val="719374FA"/>
    <w:rsid w:val="72A162F1"/>
    <w:rsid w:val="73506AF8"/>
    <w:rsid w:val="73D414D7"/>
    <w:rsid w:val="743326A2"/>
    <w:rsid w:val="74943AA6"/>
    <w:rsid w:val="74950D3A"/>
    <w:rsid w:val="7535244A"/>
    <w:rsid w:val="75761AAE"/>
    <w:rsid w:val="75D04E21"/>
    <w:rsid w:val="76EE202B"/>
    <w:rsid w:val="77D9075A"/>
    <w:rsid w:val="77ED5A40"/>
    <w:rsid w:val="77ED700C"/>
    <w:rsid w:val="78203570"/>
    <w:rsid w:val="786F17CF"/>
    <w:rsid w:val="795D3D1D"/>
    <w:rsid w:val="796926C2"/>
    <w:rsid w:val="79FC3536"/>
    <w:rsid w:val="7A7C2861"/>
    <w:rsid w:val="7A9279F6"/>
    <w:rsid w:val="7BB120FE"/>
    <w:rsid w:val="7C3674AE"/>
    <w:rsid w:val="7C3A6597"/>
    <w:rsid w:val="7C8E2521"/>
    <w:rsid w:val="7C9D6654"/>
    <w:rsid w:val="7D2C7C8E"/>
    <w:rsid w:val="7D5176F5"/>
    <w:rsid w:val="7D951CD7"/>
    <w:rsid w:val="7DEB18F7"/>
    <w:rsid w:val="7E0916E2"/>
    <w:rsid w:val="7EDE76AE"/>
    <w:rsid w:val="7FBA58F0"/>
    <w:rsid w:val="7FD5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qFormat/>
    <w:uiPriority w:val="99"/>
    <w:rPr>
      <w:sz w:val="21"/>
      <w:szCs w:val="21"/>
    </w:rPr>
  </w:style>
  <w:style w:type="character" w:customStyle="1" w:styleId="9">
    <w:name w:val="页眉 字符"/>
    <w:basedOn w:val="7"/>
    <w:link w:val="4"/>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99"/>
    <w:pPr>
      <w:numPr>
        <w:ilvl w:val="0"/>
        <w:numId w:val="1"/>
      </w:numPr>
      <w:adjustRightInd w:val="0"/>
      <w:snapToGrid w:val="0"/>
      <w:spacing w:line="360" w:lineRule="auto"/>
      <w:ind w:left="0" w:firstLine="48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1111</Words>
  <Characters>1173</Characters>
  <Lines>11</Lines>
  <Paragraphs>3</Paragraphs>
  <TotalTime>18</TotalTime>
  <ScaleCrop>false</ScaleCrop>
  <LinksUpToDate>false</LinksUpToDate>
  <CharactersWithSpaces>1295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2020-06-19T09:42:00Z</dcterms:created>
  <dc:creator>杨凤</dc:creator>
  <cp:lastModifiedBy>杨颖鑫</cp:lastModifiedBy>
  <cp:lastPrinted>2022-03-09T05:04:00Z</cp:lastPrinted>
  <dcterms:modified xsi:type="dcterms:W3CDTF">2024-11-21T09:16:51Z</dcterms:modified>
  <cp:revision>730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D445F8B48171439796851707025EFD4F_13</vt:lpwstr>
  </property>
</Properties>
</file>