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211A8">
      <w:pPr>
        <w:widowControl/>
        <w:shd w:val="clear" w:color="auto" w:fill="FFFFFF"/>
        <w:spacing w:line="480" w:lineRule="auto"/>
        <w:rPr>
          <w:rFonts w:cs="宋体" w:asciiTheme="minorEastAsia" w:hAnsiTheme="minorEastAsia"/>
          <w:color w:val="000000"/>
          <w:kern w:val="0"/>
          <w:sz w:val="24"/>
          <w:szCs w:val="21"/>
        </w:rPr>
      </w:pPr>
      <w:r>
        <w:rPr>
          <w:rFonts w:cs="宋体" w:asciiTheme="minorEastAsia" w:hAnsiTheme="minorEastAsia"/>
          <w:color w:val="000000"/>
          <w:kern w:val="0"/>
          <w:sz w:val="24"/>
          <w:szCs w:val="21"/>
        </w:rPr>
        <w:t xml:space="preserve">证券代码：688379         </w:t>
      </w:r>
      <w:r>
        <w:rPr>
          <w:rFonts w:hint="eastAsia" w:cs="宋体" w:asciiTheme="minorEastAsia" w:hAnsiTheme="minorEastAsia"/>
          <w:color w:val="000000"/>
          <w:kern w:val="0"/>
          <w:sz w:val="24"/>
          <w:szCs w:val="21"/>
        </w:rPr>
        <w:t xml:space="preserve">    </w:t>
      </w:r>
      <w:r>
        <w:rPr>
          <w:rFonts w:cs="宋体" w:asciiTheme="minorEastAsia" w:hAnsiTheme="minorEastAsia"/>
          <w:color w:val="000000"/>
          <w:kern w:val="0"/>
          <w:sz w:val="24"/>
          <w:szCs w:val="21"/>
        </w:rPr>
        <w:t xml:space="preserve">                      </w:t>
      </w:r>
      <w:r>
        <w:rPr>
          <w:rFonts w:hint="eastAsia" w:cs="宋体" w:asciiTheme="minorEastAsia" w:hAnsiTheme="minorEastAsia"/>
          <w:color w:val="000000"/>
          <w:kern w:val="0"/>
          <w:sz w:val="24"/>
          <w:szCs w:val="21"/>
        </w:rPr>
        <w:t xml:space="preserve">   </w:t>
      </w:r>
      <w:r>
        <w:rPr>
          <w:rFonts w:cs="宋体" w:asciiTheme="minorEastAsia" w:hAnsiTheme="minorEastAsia"/>
          <w:color w:val="000000"/>
          <w:kern w:val="0"/>
          <w:sz w:val="24"/>
          <w:szCs w:val="21"/>
        </w:rPr>
        <w:t>证券简称：华光新材</w:t>
      </w:r>
    </w:p>
    <w:p w14:paraId="54E0DD49">
      <w:pPr>
        <w:widowControl/>
        <w:shd w:val="clear" w:color="auto" w:fill="FFFFFF"/>
        <w:spacing w:line="480" w:lineRule="auto"/>
        <w:jc w:val="center"/>
        <w:rPr>
          <w:rFonts w:ascii="Courier New" w:hAnsi="Courier New" w:eastAsia="宋体" w:cs="宋体"/>
          <w:color w:val="000000"/>
          <w:kern w:val="0"/>
          <w:sz w:val="30"/>
          <w:szCs w:val="30"/>
        </w:rPr>
      </w:pPr>
      <w:r>
        <w:rPr>
          <w:rFonts w:ascii="Courier New" w:hAnsi="Courier New" w:eastAsia="宋体" w:cs="宋体"/>
          <w:b/>
          <w:bCs/>
          <w:color w:val="000000"/>
          <w:kern w:val="0"/>
          <w:sz w:val="30"/>
          <w:szCs w:val="30"/>
        </w:rPr>
        <w:t>杭州华光焊接新材料股份有限公司投资者关系活动记录表</w:t>
      </w:r>
    </w:p>
    <w:p w14:paraId="5BABA852">
      <w:pPr>
        <w:widowControl/>
        <w:shd w:val="clear" w:color="auto" w:fill="FFFFFF"/>
        <w:spacing w:line="480" w:lineRule="auto"/>
        <w:ind w:firstLine="480" w:firstLineChars="200"/>
        <w:jc w:val="right"/>
        <w:rPr>
          <w:rFonts w:cs="宋体" w:asciiTheme="minorEastAsia" w:hAnsiTheme="minorEastAsia"/>
          <w:color w:val="000000"/>
          <w:kern w:val="0"/>
          <w:sz w:val="24"/>
          <w:szCs w:val="21"/>
        </w:rPr>
      </w:pPr>
      <w:r>
        <w:rPr>
          <w:rFonts w:cs="宋体" w:asciiTheme="minorEastAsia" w:hAnsiTheme="minorEastAsia"/>
          <w:color w:val="000000"/>
          <w:kern w:val="0"/>
          <w:sz w:val="24"/>
          <w:szCs w:val="21"/>
        </w:rPr>
        <w:t>编号：202</w:t>
      </w:r>
      <w:r>
        <w:rPr>
          <w:rFonts w:hint="eastAsia" w:cs="宋体" w:asciiTheme="minorEastAsia" w:hAnsiTheme="minorEastAsia"/>
          <w:color w:val="000000"/>
          <w:kern w:val="0"/>
          <w:sz w:val="24"/>
          <w:szCs w:val="21"/>
        </w:rPr>
        <w:t>4</w:t>
      </w:r>
      <w:r>
        <w:rPr>
          <w:rFonts w:cs="宋体" w:asciiTheme="minorEastAsia" w:hAnsiTheme="minorEastAsia"/>
          <w:color w:val="000000"/>
          <w:kern w:val="0"/>
          <w:sz w:val="24"/>
          <w:szCs w:val="21"/>
        </w:rPr>
        <w:t>-00</w:t>
      </w:r>
      <w:r>
        <w:rPr>
          <w:rFonts w:hint="eastAsia" w:cs="宋体" w:asciiTheme="minorEastAsia" w:hAnsiTheme="minorEastAsia"/>
          <w:color w:val="000000"/>
          <w:kern w:val="0"/>
          <w:sz w:val="24"/>
          <w:szCs w:val="21"/>
        </w:rPr>
        <w:t>7</w:t>
      </w:r>
    </w:p>
    <w:tbl>
      <w:tblPr>
        <w:tblStyle w:val="11"/>
        <w:tblpPr w:leftFromText="180" w:rightFromText="180" w:vertAnchor="text" w:tblpXSpec="right" w:tblpY="1"/>
        <w:tblOverlap w:val="never"/>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455"/>
      </w:tblGrid>
      <w:tr w14:paraId="3045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34CFBF82">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投资者关系活动类别</w:t>
            </w:r>
          </w:p>
        </w:tc>
        <w:tc>
          <w:tcPr>
            <w:tcW w:w="7455" w:type="dxa"/>
            <w:vAlign w:val="center"/>
          </w:tcPr>
          <w:p w14:paraId="2EDABF9A">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■特定对象调研 □分析师会议</w:t>
            </w:r>
          </w:p>
          <w:p w14:paraId="66B79E6B">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□媒体采访 □业绩说明会</w:t>
            </w:r>
          </w:p>
          <w:p w14:paraId="6046B477">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□新闻发布会 □路演活动</w:t>
            </w:r>
          </w:p>
          <w:p w14:paraId="2C9662C7">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□现场参观</w:t>
            </w:r>
          </w:p>
          <w:p w14:paraId="55E9B927">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□其他</w:t>
            </w:r>
          </w:p>
        </w:tc>
      </w:tr>
      <w:tr w14:paraId="0820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4A1931FD">
            <w:pPr>
              <w:widowControl/>
              <w:spacing w:line="3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参与单位名称</w:t>
            </w:r>
          </w:p>
        </w:tc>
        <w:tc>
          <w:tcPr>
            <w:tcW w:w="7455" w:type="dxa"/>
            <w:vAlign w:val="center"/>
          </w:tcPr>
          <w:p w14:paraId="696FF7EB">
            <w:pPr>
              <w:widowControl/>
              <w:spacing w:line="420" w:lineRule="atLeast"/>
              <w:jc w:val="left"/>
              <w:rPr>
                <w:rFonts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财通证券、国恬基金、中财集团、浙江发展资产、杭州工商信托、勤辰基金、西部证券</w:t>
            </w:r>
          </w:p>
        </w:tc>
      </w:tr>
      <w:tr w14:paraId="407A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617416E7">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时间</w:t>
            </w:r>
          </w:p>
        </w:tc>
        <w:tc>
          <w:tcPr>
            <w:tcW w:w="7455" w:type="dxa"/>
            <w:vAlign w:val="center"/>
          </w:tcPr>
          <w:p w14:paraId="781D6E7D">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2024年</w:t>
            </w:r>
            <w:r>
              <w:rPr>
                <w:rFonts w:hint="eastAsia" w:ascii="Times New Roman" w:hAnsi="Times New Roman" w:eastAsia="宋体" w:cs="Times New Roman"/>
                <w:color w:val="000000"/>
                <w:kern w:val="0"/>
                <w:sz w:val="24"/>
                <w:szCs w:val="21"/>
              </w:rPr>
              <w:t>11</w:t>
            </w:r>
            <w:r>
              <w:rPr>
                <w:rFonts w:ascii="Times New Roman" w:hAnsi="Times New Roman" w:eastAsia="宋体" w:cs="Times New Roman"/>
                <w:color w:val="000000"/>
                <w:kern w:val="0"/>
                <w:sz w:val="24"/>
                <w:szCs w:val="21"/>
              </w:rPr>
              <w:t>月</w:t>
            </w:r>
            <w:r>
              <w:rPr>
                <w:rFonts w:hint="eastAsia" w:ascii="Times New Roman" w:hAnsi="Times New Roman" w:eastAsia="宋体" w:cs="Times New Roman"/>
                <w:color w:val="000000"/>
                <w:kern w:val="0"/>
                <w:sz w:val="24"/>
                <w:szCs w:val="21"/>
              </w:rPr>
              <w:t>20日-2024年11月22日</w:t>
            </w:r>
          </w:p>
        </w:tc>
      </w:tr>
      <w:tr w14:paraId="3AFA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340D8B94">
            <w:pPr>
              <w:widowControl/>
              <w:spacing w:line="420" w:lineRule="atLeast"/>
              <w:jc w:val="left"/>
              <w:rPr>
                <w:rFonts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参会方式</w:t>
            </w:r>
          </w:p>
        </w:tc>
        <w:tc>
          <w:tcPr>
            <w:tcW w:w="7455" w:type="dxa"/>
            <w:vAlign w:val="center"/>
          </w:tcPr>
          <w:p w14:paraId="3CB0301A">
            <w:pPr>
              <w:widowControl/>
              <w:spacing w:line="420" w:lineRule="atLeast"/>
              <w:jc w:val="left"/>
              <w:rPr>
                <w:rFonts w:ascii="Times New Roman" w:hAnsi="Times New Roman" w:cs="Times New Roman"/>
                <w:color w:val="000000"/>
                <w:kern w:val="0"/>
                <w:sz w:val="24"/>
                <w:szCs w:val="21"/>
              </w:rPr>
            </w:pPr>
            <w:r>
              <w:rPr>
                <w:rFonts w:hint="eastAsia" w:ascii="Times New Roman" w:hAnsi="Times New Roman" w:cs="Times New Roman"/>
                <w:color w:val="000000"/>
                <w:sz w:val="24"/>
                <w:szCs w:val="21"/>
                <w:shd w:val="clear" w:color="auto" w:fill="FFFFFF"/>
              </w:rPr>
              <w:t>现场调研</w:t>
            </w:r>
          </w:p>
        </w:tc>
      </w:tr>
      <w:tr w14:paraId="513F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32595845">
            <w:pPr>
              <w:widowControl/>
              <w:spacing w:line="3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上市公司接待人员姓名</w:t>
            </w:r>
          </w:p>
        </w:tc>
        <w:tc>
          <w:tcPr>
            <w:tcW w:w="7455" w:type="dxa"/>
            <w:vAlign w:val="center"/>
          </w:tcPr>
          <w:p w14:paraId="2666C348">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董事会秘书胡岭、证券事务代表李美娟</w:t>
            </w:r>
          </w:p>
        </w:tc>
      </w:tr>
      <w:tr w14:paraId="3CD9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2B16873E">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投资者关系活动主要内容介绍</w:t>
            </w:r>
          </w:p>
        </w:tc>
        <w:tc>
          <w:tcPr>
            <w:tcW w:w="7455" w:type="dxa"/>
            <w:vAlign w:val="center"/>
          </w:tcPr>
          <w:p w14:paraId="2E74AF0D">
            <w:pPr>
              <w:widowControl/>
              <w:spacing w:line="420" w:lineRule="atLeast"/>
              <w:jc w:val="left"/>
              <w:rPr>
                <w:rFonts w:ascii="Times New Roman" w:hAnsi="Times New Roman" w:eastAsia="宋体" w:cs="Times New Roman"/>
                <w:sz w:val="24"/>
                <w:szCs w:val="24"/>
              </w:rPr>
            </w:pPr>
            <w:r>
              <w:rPr>
                <w:rFonts w:ascii="Times New Roman" w:hAnsi="Times New Roman" w:eastAsia="宋体" w:cs="Times New Roman"/>
                <w:sz w:val="24"/>
                <w:szCs w:val="24"/>
              </w:rPr>
              <w:t>第一部分 介绍公司相关情况</w:t>
            </w:r>
          </w:p>
          <w:p w14:paraId="5F57A76C">
            <w:pPr>
              <w:widowControl/>
              <w:spacing w:line="420" w:lineRule="atLeas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董事会秘书在会议开始阶段介绍了</w:t>
            </w:r>
            <w:r>
              <w:rPr>
                <w:rFonts w:hint="eastAsia" w:ascii="Times New Roman" w:hAnsi="Times New Roman" w:eastAsia="宋体" w:cs="Times New Roman"/>
                <w:sz w:val="24"/>
                <w:szCs w:val="24"/>
              </w:rPr>
              <w:t>公司2024年三季度经营情况、未来发展规划</w:t>
            </w:r>
            <w:r>
              <w:rPr>
                <w:rFonts w:ascii="Times New Roman" w:hAnsi="Times New Roman" w:eastAsia="宋体" w:cs="Times New Roman"/>
                <w:sz w:val="24"/>
                <w:szCs w:val="24"/>
              </w:rPr>
              <w:t>及</w:t>
            </w:r>
            <w:r>
              <w:rPr>
                <w:rFonts w:hint="eastAsia" w:ascii="Times New Roman" w:hAnsi="Times New Roman" w:eastAsia="宋体" w:cs="Times New Roman"/>
                <w:sz w:val="24"/>
                <w:szCs w:val="24"/>
              </w:rPr>
              <w:t>新产品布局情况</w:t>
            </w:r>
            <w:r>
              <w:rPr>
                <w:rFonts w:ascii="Times New Roman" w:hAnsi="Times New Roman" w:eastAsia="宋体" w:cs="Times New Roman"/>
                <w:sz w:val="24"/>
                <w:szCs w:val="24"/>
              </w:rPr>
              <w:t>。</w:t>
            </w:r>
          </w:p>
          <w:p w14:paraId="721CF657">
            <w:pPr>
              <w:widowControl/>
              <w:spacing w:line="420" w:lineRule="atLeast"/>
              <w:jc w:val="left"/>
              <w:rPr>
                <w:rFonts w:ascii="Times New Roman" w:hAnsi="Times New Roman" w:eastAsia="宋体" w:cs="Times New Roman"/>
                <w:sz w:val="24"/>
                <w:szCs w:val="24"/>
              </w:rPr>
            </w:pPr>
          </w:p>
          <w:p w14:paraId="461DF7BC">
            <w:pPr>
              <w:widowControl/>
              <w:numPr>
                <w:ilvl w:val="0"/>
                <w:numId w:val="1"/>
              </w:num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提问回答</w:t>
            </w:r>
          </w:p>
          <w:p w14:paraId="36C71239">
            <w:pPr>
              <w:widowControl/>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问题1：</w:t>
            </w:r>
            <w:r>
              <w:rPr>
                <w:rFonts w:hint="eastAsia" w:ascii="Times New Roman" w:hAnsi="Times New Roman" w:cs="Times New Roman"/>
                <w:b/>
                <w:bCs/>
                <w:sz w:val="24"/>
                <w:szCs w:val="24"/>
              </w:rPr>
              <w:t>请问公司目前整体产能建设及产能利用率情况如何？</w:t>
            </w:r>
          </w:p>
          <w:p w14:paraId="3FC4EC42">
            <w:pPr>
              <w:spacing w:line="360" w:lineRule="auto"/>
              <w:rPr>
                <w:rFonts w:hint="eastAsia" w:ascii="宋体" w:hAnsi="宋体" w:eastAsia="宋体" w:cs="宋体"/>
                <w:sz w:val="24"/>
                <w:szCs w:val="24"/>
              </w:rPr>
            </w:pPr>
            <w:r>
              <w:rPr>
                <w:rFonts w:hint="eastAsia" w:ascii="宋体" w:hAnsi="宋体" w:eastAsia="宋体" w:cs="宋体"/>
                <w:sz w:val="24"/>
                <w:szCs w:val="24"/>
              </w:rPr>
              <w:t>答：尊敬的投资者您好，公司《年产4,000吨新型绿色钎焊材料智能制造建设项目》</w:t>
            </w:r>
            <w:r>
              <w:rPr>
                <w:rFonts w:hint="eastAsia" w:ascii="宋体" w:hAnsi="宋体" w:eastAsia="宋体" w:cs="宋体"/>
                <w:sz w:val="24"/>
                <w:szCs w:val="24"/>
              </w:rPr>
              <w:t>将于202</w:t>
            </w:r>
            <w:r>
              <w:rPr>
                <w:rFonts w:hint="eastAsia" w:ascii="宋体" w:hAnsi="宋体" w:eastAsia="宋体" w:cs="宋体"/>
                <w:sz w:val="24"/>
                <w:szCs w:val="24"/>
              </w:rPr>
              <w:t>4年底</w:t>
            </w:r>
            <w:r>
              <w:rPr>
                <w:rFonts w:hint="eastAsia" w:ascii="宋体" w:hAnsi="宋体" w:eastAsia="宋体" w:cs="宋体"/>
                <w:sz w:val="24"/>
                <w:szCs w:val="24"/>
              </w:rPr>
              <w:t>前完成建设，</w:t>
            </w:r>
            <w:r>
              <w:rPr>
                <w:rFonts w:hint="eastAsia" w:ascii="宋体" w:hAnsi="宋体" w:eastAsia="宋体" w:cs="宋体"/>
                <w:bCs/>
                <w:sz w:val="24"/>
                <w:szCs w:val="24"/>
              </w:rPr>
              <w:t>加上原有6000吨产能，整体达到10000吨的产能。</w:t>
            </w:r>
            <w:r>
              <w:rPr>
                <w:rFonts w:hint="eastAsia" w:ascii="宋体" w:hAnsi="宋体" w:eastAsia="宋体" w:cs="宋体"/>
                <w:sz w:val="24"/>
                <w:szCs w:val="24"/>
              </w:rPr>
              <w:t>2024年产能利用率在逐步爬坡过程中，目前公司的产能利用率已超过70%</w:t>
            </w:r>
            <w:r>
              <w:rPr>
                <w:rFonts w:hint="eastAsia" w:ascii="宋体" w:hAnsi="宋体" w:eastAsia="宋体" w:cs="宋体"/>
                <w:sz w:val="24"/>
                <w:szCs w:val="24"/>
              </w:rPr>
              <w:t>，力争2025年达产，达产后公司整体订单交付能力将得到有效提升，同时随着海外市场的进一步拓展，营收规模将进一步增长。</w:t>
            </w:r>
          </w:p>
          <w:p w14:paraId="2BF4867A">
            <w:pPr>
              <w:widowControl/>
              <w:spacing w:line="360" w:lineRule="auto"/>
              <w:jc w:val="left"/>
              <w:rPr>
                <w:rFonts w:ascii="Times New Roman" w:hAnsi="Times New Roman" w:cs="Times New Roman"/>
                <w:sz w:val="24"/>
                <w:szCs w:val="24"/>
              </w:rPr>
            </w:pPr>
          </w:p>
          <w:p w14:paraId="4E39F7E5">
            <w:pPr>
              <w:widowControl/>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问题</w:t>
            </w:r>
            <w:r>
              <w:rPr>
                <w:rFonts w:hint="eastAsia" w:ascii="Times New Roman" w:hAnsi="Times New Roman" w:cs="Times New Roman"/>
                <w:b/>
                <w:bCs/>
                <w:sz w:val="24"/>
                <w:szCs w:val="24"/>
              </w:rPr>
              <w:t>2</w:t>
            </w:r>
            <w:r>
              <w:rPr>
                <w:rFonts w:ascii="Times New Roman" w:hAnsi="Times New Roman" w:cs="Times New Roman"/>
                <w:b/>
                <w:bCs/>
                <w:sz w:val="24"/>
                <w:szCs w:val="24"/>
              </w:rPr>
              <w:t>：</w:t>
            </w:r>
            <w:r>
              <w:rPr>
                <w:rFonts w:hint="eastAsia" w:ascii="Times New Roman" w:hAnsi="Times New Roman" w:cs="Times New Roman"/>
                <w:b/>
                <w:bCs/>
                <w:sz w:val="24"/>
                <w:szCs w:val="24"/>
              </w:rPr>
              <w:t>公司2024年第二、第三季度毛利率提升的主要原因是什么？</w:t>
            </w:r>
          </w:p>
          <w:p w14:paraId="660ADA65">
            <w:pPr>
              <w:widowControl/>
              <w:spacing w:line="360" w:lineRule="auto"/>
              <w:jc w:val="left"/>
              <w:rPr>
                <w:rFonts w:ascii="Times New Roman" w:hAnsi="Times New Roman" w:cs="Times New Roman"/>
                <w:sz w:val="24"/>
                <w:szCs w:val="24"/>
              </w:rPr>
            </w:pPr>
            <w:r>
              <w:rPr>
                <w:rFonts w:hint="eastAsia" w:ascii="Times New Roman" w:hAnsi="Times New Roman" w:cs="Times New Roman"/>
                <w:sz w:val="24"/>
                <w:szCs w:val="24"/>
              </w:rPr>
              <w:t>答：</w:t>
            </w:r>
            <w:r>
              <w:rPr>
                <w:rFonts w:ascii="宋体" w:hAnsi="宋体" w:eastAsia="宋体" w:cs="宋体"/>
                <w:sz w:val="24"/>
                <w:szCs w:val="24"/>
              </w:rPr>
              <w:t>公司</w:t>
            </w:r>
            <w:r>
              <w:rPr>
                <w:rFonts w:hint="eastAsia" w:ascii="宋体" w:hAnsi="宋体" w:eastAsia="宋体" w:cs="宋体"/>
                <w:sz w:val="24"/>
                <w:szCs w:val="24"/>
              </w:rPr>
              <w:t>第二、</w:t>
            </w:r>
            <w:r>
              <w:rPr>
                <w:rFonts w:ascii="宋体" w:hAnsi="宋体" w:eastAsia="宋体" w:cs="宋体"/>
                <w:sz w:val="24"/>
                <w:szCs w:val="24"/>
              </w:rPr>
              <w:t>三季度毛利率增长主要</w:t>
            </w:r>
            <w:r>
              <w:rPr>
                <w:rFonts w:hint="eastAsia" w:ascii="宋体" w:hAnsi="宋体" w:eastAsia="宋体" w:cs="宋体"/>
                <w:sz w:val="24"/>
                <w:szCs w:val="24"/>
              </w:rPr>
              <w:t>是因为</w:t>
            </w:r>
            <w:r>
              <w:rPr>
                <w:rFonts w:ascii="宋体" w:hAnsi="宋体" w:eastAsia="宋体" w:cs="宋体"/>
                <w:sz w:val="24"/>
                <w:szCs w:val="24"/>
              </w:rPr>
              <w:t>公司加快</w:t>
            </w:r>
            <w:r>
              <w:rPr>
                <w:rFonts w:hint="eastAsia" w:ascii="宋体" w:hAnsi="宋体" w:eastAsia="宋体" w:cs="宋体"/>
                <w:sz w:val="24"/>
                <w:szCs w:val="24"/>
              </w:rPr>
              <w:t>推进</w:t>
            </w:r>
            <w:r>
              <w:rPr>
                <w:rFonts w:ascii="宋体" w:hAnsi="宋体" w:eastAsia="宋体" w:cs="宋体"/>
                <w:sz w:val="24"/>
                <w:szCs w:val="24"/>
              </w:rPr>
              <w:t>新产品新技术开发，</w:t>
            </w:r>
            <w:r>
              <w:rPr>
                <w:rFonts w:hint="eastAsia" w:ascii="宋体" w:hAnsi="宋体" w:eastAsia="宋体" w:cs="宋体"/>
                <w:sz w:val="24"/>
                <w:szCs w:val="24"/>
              </w:rPr>
              <w:t>积极</w:t>
            </w:r>
            <w:r>
              <w:rPr>
                <w:rFonts w:ascii="宋体" w:hAnsi="宋体" w:eastAsia="宋体" w:cs="宋体"/>
                <w:sz w:val="24"/>
                <w:szCs w:val="24"/>
              </w:rPr>
              <w:t>拓展电子、新能源汽车等新赛道，进一步加大海外市场拓展力度，实现销售收入的大幅提升；《年产4,000吨新型绿色钎焊材料智能制造募投项目》已逐步投产实现</w:t>
            </w:r>
            <w:r>
              <w:rPr>
                <w:rFonts w:hint="eastAsia" w:ascii="宋体" w:hAnsi="宋体" w:eastAsia="宋体" w:cs="宋体"/>
                <w:sz w:val="24"/>
                <w:szCs w:val="24"/>
              </w:rPr>
              <w:t>效益</w:t>
            </w:r>
            <w:r>
              <w:rPr>
                <w:rFonts w:ascii="宋体" w:hAnsi="宋体" w:eastAsia="宋体" w:cs="宋体"/>
                <w:sz w:val="24"/>
                <w:szCs w:val="24"/>
              </w:rPr>
              <w:t>以及原材料价格上涨等因素带来毛利率增长。</w:t>
            </w:r>
          </w:p>
          <w:p w14:paraId="426B81AD">
            <w:pPr>
              <w:widowControl/>
              <w:spacing w:line="360" w:lineRule="auto"/>
              <w:jc w:val="left"/>
              <w:rPr>
                <w:rFonts w:ascii="Times New Roman" w:hAnsi="Times New Roman" w:cs="Times New Roman"/>
                <w:sz w:val="24"/>
                <w:szCs w:val="24"/>
              </w:rPr>
            </w:pPr>
          </w:p>
          <w:p w14:paraId="24F020A8">
            <w:pPr>
              <w:widowControl/>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问题</w:t>
            </w:r>
            <w:r>
              <w:rPr>
                <w:rFonts w:hint="eastAsia" w:ascii="Times New Roman" w:hAnsi="Times New Roman" w:cs="Times New Roman"/>
                <w:b/>
                <w:bCs/>
                <w:sz w:val="24"/>
                <w:szCs w:val="24"/>
              </w:rPr>
              <w:t>3</w:t>
            </w:r>
            <w:r>
              <w:rPr>
                <w:rFonts w:ascii="Times New Roman" w:hAnsi="Times New Roman" w:cs="Times New Roman"/>
                <w:b/>
                <w:bCs/>
                <w:sz w:val="24"/>
                <w:szCs w:val="24"/>
              </w:rPr>
              <w:t>：</w:t>
            </w:r>
            <w:r>
              <w:rPr>
                <w:rFonts w:hint="eastAsia" w:ascii="Times New Roman" w:hAnsi="Times New Roman" w:cs="Times New Roman"/>
                <w:b/>
                <w:bCs/>
                <w:sz w:val="24"/>
                <w:szCs w:val="24"/>
              </w:rPr>
              <w:t>公司应用于无人机的主要是什么产品，具体应用在什么部件？</w:t>
            </w:r>
          </w:p>
          <w:p w14:paraId="12F478A3">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答：公司正在研发提升无人机发动机缸体内壁耐高温、耐摩擦性能的高温材料及表面改性技术，目前处于小批量验证和优化阶段。</w:t>
            </w:r>
          </w:p>
          <w:p w14:paraId="52075A93">
            <w:pPr>
              <w:widowControl/>
              <w:spacing w:line="360" w:lineRule="auto"/>
              <w:jc w:val="left"/>
              <w:rPr>
                <w:rFonts w:ascii="Times New Roman" w:hAnsi="Times New Roman" w:cs="Times New Roman"/>
                <w:sz w:val="24"/>
                <w:szCs w:val="24"/>
              </w:rPr>
            </w:pPr>
          </w:p>
          <w:p w14:paraId="272CD81D">
            <w:pPr>
              <w:widowControl/>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问题</w:t>
            </w:r>
            <w:r>
              <w:rPr>
                <w:rFonts w:hint="eastAsia" w:ascii="Times New Roman" w:hAnsi="Times New Roman" w:cs="Times New Roman"/>
                <w:b/>
                <w:bCs/>
                <w:sz w:val="24"/>
                <w:szCs w:val="24"/>
              </w:rPr>
              <w:t>4</w:t>
            </w:r>
            <w:r>
              <w:rPr>
                <w:rFonts w:ascii="Times New Roman" w:hAnsi="Times New Roman" w:cs="Times New Roman"/>
                <w:b/>
                <w:bCs/>
                <w:sz w:val="24"/>
                <w:szCs w:val="24"/>
              </w:rPr>
              <w:t>：</w:t>
            </w:r>
            <w:r>
              <w:rPr>
                <w:rFonts w:ascii="宋体" w:hAnsi="宋体" w:eastAsia="宋体" w:cs="宋体"/>
                <w:b/>
                <w:bCs/>
                <w:sz w:val="24"/>
                <w:szCs w:val="24"/>
              </w:rPr>
              <w:t>公司核心竞争优势</w:t>
            </w:r>
            <w:r>
              <w:rPr>
                <w:rFonts w:hint="eastAsia" w:ascii="宋体" w:hAnsi="宋体" w:eastAsia="宋体" w:cs="宋体"/>
                <w:b/>
                <w:bCs/>
                <w:sz w:val="24"/>
                <w:szCs w:val="24"/>
              </w:rPr>
              <w:t>是什么</w:t>
            </w:r>
            <w:r>
              <w:rPr>
                <w:rFonts w:ascii="宋体" w:hAnsi="宋体" w:eastAsia="宋体" w:cs="宋体"/>
                <w:b/>
                <w:bCs/>
                <w:sz w:val="24"/>
                <w:szCs w:val="24"/>
              </w:rPr>
              <w:t>？如何保持自身核心优势</w:t>
            </w:r>
            <w:r>
              <w:rPr>
                <w:rFonts w:hint="eastAsia" w:ascii="Times New Roman" w:hAnsi="Times New Roman" w:cs="Times New Roman"/>
                <w:b/>
                <w:bCs/>
                <w:sz w:val="24"/>
                <w:szCs w:val="24"/>
              </w:rPr>
              <w:t>？</w:t>
            </w:r>
          </w:p>
          <w:p w14:paraId="47E3EFEE">
            <w:pPr>
              <w:spacing w:line="360" w:lineRule="auto"/>
              <w:rPr>
                <w:rFonts w:ascii="宋体" w:hAnsi="宋体" w:eastAsia="宋体" w:cs="宋体"/>
                <w:sz w:val="24"/>
                <w:szCs w:val="24"/>
              </w:rPr>
            </w:pPr>
            <w:r>
              <w:rPr>
                <w:rFonts w:hint="eastAsia" w:ascii="Times New Roman" w:hAnsi="Times New Roman" w:cs="Times New Roman"/>
                <w:sz w:val="24"/>
                <w:szCs w:val="24"/>
              </w:rPr>
              <w:t>答：</w:t>
            </w:r>
            <w:r>
              <w:rPr>
                <w:rFonts w:ascii="宋体" w:hAnsi="宋体" w:eastAsia="宋体" w:cs="宋体"/>
                <w:sz w:val="24"/>
                <w:szCs w:val="24"/>
              </w:rPr>
              <w:t>华光新材在钎焊材料领域经过近三十年的积淀，具有行业领先的自主研发与技术创新优势，形成了钎料配方和产品制备工艺两大类核心技术，快速响应客户的需求提供高品质产品。其次，公司拥有多品规批量化供货的产品优势，数千种品规的产品，批次质量稳定性高，具备定制化设计、规模化生产的优势，以技术、品质、交付和服务赢得客户的信赖。公司还具有产业化应用推广的能力，拥有数千家长期稳定的优质客户资源优势，与客户协同技术创新，优质客户的黏性强。未来公司将对标行业内国际优秀企业，寻求差异化竞争优势，进一步提升核心竞争力。</w:t>
            </w:r>
          </w:p>
          <w:p w14:paraId="32EFEB59">
            <w:pPr>
              <w:spacing w:line="360" w:lineRule="auto"/>
              <w:rPr>
                <w:rFonts w:ascii="宋体" w:hAnsi="宋体" w:eastAsia="宋体" w:cs="宋体"/>
                <w:sz w:val="24"/>
                <w:szCs w:val="24"/>
              </w:rPr>
            </w:pPr>
          </w:p>
          <w:p w14:paraId="0A554016">
            <w:pPr>
              <w:spacing w:line="360" w:lineRule="auto"/>
              <w:rPr>
                <w:rFonts w:ascii="宋体" w:hAnsi="宋体" w:eastAsia="宋体" w:cs="宋体"/>
                <w:b/>
                <w:bCs/>
                <w:sz w:val="24"/>
                <w:szCs w:val="24"/>
              </w:rPr>
            </w:pPr>
            <w:r>
              <w:rPr>
                <w:rFonts w:hint="eastAsia" w:ascii="宋体" w:hAnsi="宋体" w:eastAsia="宋体" w:cs="宋体"/>
                <w:b/>
                <w:bCs/>
                <w:sz w:val="24"/>
                <w:szCs w:val="24"/>
              </w:rPr>
              <w:t>问题5：公司今年新材料新技术研发主要围绕哪些方向？</w:t>
            </w:r>
          </w:p>
          <w:p w14:paraId="6E83B3E2">
            <w:pPr>
              <w:spacing w:line="360" w:lineRule="auto"/>
              <w:rPr>
                <w:rFonts w:ascii="宋体" w:hAnsi="宋体" w:eastAsia="宋体" w:cs="宋体"/>
                <w:sz w:val="24"/>
                <w:szCs w:val="24"/>
                <w:highlight w:val="none"/>
              </w:rPr>
            </w:pPr>
            <w:r>
              <w:rPr>
                <w:rFonts w:hint="eastAsia" w:ascii="宋体" w:hAnsi="宋体" w:eastAsia="宋体" w:cs="宋体"/>
                <w:sz w:val="24"/>
                <w:szCs w:val="24"/>
              </w:rPr>
              <w:t>答：</w:t>
            </w:r>
            <w:r>
              <w:rPr>
                <w:sz w:val="24"/>
                <w:szCs w:val="24"/>
              </w:rPr>
              <w:t>为积极响应下游客户绿色低碳、降本增效等需求，公司深化开展绿色钎料、节银钎料、预成型钎料、真空钎料的研发；坚持推进各类复合钎料、高可靠</w:t>
            </w:r>
            <w:r>
              <w:rPr>
                <w:rFonts w:hint="eastAsia"/>
                <w:sz w:val="24"/>
                <w:szCs w:val="24"/>
              </w:rPr>
              <w:t>锡焊膏、导电胶、镍基材料、</w:t>
            </w:r>
            <w:bookmarkStart w:id="0" w:name="_GoBack"/>
            <w:r>
              <w:rPr>
                <w:rFonts w:hint="eastAsia"/>
                <w:sz w:val="24"/>
                <w:szCs w:val="24"/>
                <w:highlight w:val="none"/>
              </w:rPr>
              <w:t>应用于I</w:t>
            </w:r>
            <w:r>
              <w:rPr>
                <w:sz w:val="24"/>
                <w:szCs w:val="24"/>
                <w:highlight w:val="none"/>
              </w:rPr>
              <w:t>GBT的活性银铜钛焊膏</w:t>
            </w:r>
            <w:r>
              <w:rPr>
                <w:rFonts w:hint="eastAsia"/>
                <w:sz w:val="24"/>
                <w:szCs w:val="24"/>
                <w:highlight w:val="none"/>
              </w:rPr>
              <w:t>等各类高毛利新产品的研发及验证；持续开展先进焊接技术和材料、自动化焊接设备、绿色智能焊接工艺等方面的创新及研究，</w:t>
            </w:r>
            <w:r>
              <w:rPr>
                <w:rFonts w:ascii="宋体" w:hAnsi="宋体" w:eastAsia="宋体" w:cs="宋体"/>
                <w:sz w:val="24"/>
                <w:szCs w:val="24"/>
                <w:highlight w:val="none"/>
              </w:rPr>
              <w:t>今年首台集视觉、机器人、焊接等成套全自动智能焊接解决方案项目成功出口海外。同时随着</w:t>
            </w:r>
            <w:r>
              <w:rPr>
                <w:rFonts w:hint="eastAsia" w:ascii="宋体" w:hAnsi="宋体" w:eastAsia="宋体" w:cs="宋体"/>
                <w:sz w:val="24"/>
                <w:szCs w:val="24"/>
                <w:highlight w:val="none"/>
              </w:rPr>
              <w:t>A</w:t>
            </w:r>
            <w:r>
              <w:rPr>
                <w:rFonts w:ascii="宋体" w:hAnsi="宋体" w:eastAsia="宋体" w:cs="宋体"/>
                <w:sz w:val="24"/>
                <w:szCs w:val="24"/>
                <w:highlight w:val="none"/>
              </w:rPr>
              <w:t>I</w:t>
            </w:r>
            <w:r>
              <w:rPr>
                <w:rFonts w:hint="eastAsia" w:ascii="宋体" w:hAnsi="宋体" w:eastAsia="宋体" w:cs="宋体"/>
                <w:sz w:val="24"/>
                <w:szCs w:val="24"/>
                <w:highlight w:val="none"/>
                <w:lang w:val="en-US" w:eastAsia="zh-CN"/>
              </w:rPr>
              <w:t>发展</w:t>
            </w:r>
            <w:r>
              <w:rPr>
                <w:rFonts w:ascii="宋体" w:hAnsi="宋体" w:eastAsia="宋体" w:cs="宋体"/>
                <w:sz w:val="24"/>
                <w:szCs w:val="24"/>
                <w:highlight w:val="none"/>
              </w:rPr>
              <w:t>带来</w:t>
            </w:r>
            <w:r>
              <w:rPr>
                <w:rFonts w:hint="eastAsia" w:ascii="宋体" w:hAnsi="宋体" w:eastAsia="宋体" w:cs="宋体"/>
                <w:sz w:val="24"/>
                <w:szCs w:val="24"/>
                <w:highlight w:val="none"/>
                <w:lang w:val="en-US" w:eastAsia="zh-CN"/>
              </w:rPr>
              <w:t>的</w:t>
            </w:r>
            <w:r>
              <w:rPr>
                <w:rFonts w:ascii="宋体" w:hAnsi="宋体" w:eastAsia="宋体" w:cs="宋体"/>
                <w:sz w:val="24"/>
                <w:szCs w:val="24"/>
                <w:highlight w:val="none"/>
              </w:rPr>
              <w:t>算力建设</w:t>
            </w:r>
            <w:r>
              <w:rPr>
                <w:rFonts w:hint="eastAsia" w:ascii="宋体" w:hAnsi="宋体" w:eastAsia="宋体" w:cs="宋体"/>
                <w:sz w:val="24"/>
                <w:szCs w:val="24"/>
                <w:highlight w:val="none"/>
                <w:lang w:val="en-US" w:eastAsia="zh-CN"/>
              </w:rPr>
              <w:t>需求</w:t>
            </w:r>
            <w:r>
              <w:rPr>
                <w:rFonts w:ascii="宋体" w:hAnsi="宋体" w:eastAsia="宋体" w:cs="宋体"/>
                <w:sz w:val="24"/>
                <w:szCs w:val="24"/>
                <w:highlight w:val="none"/>
              </w:rPr>
              <w:t>，公司在</w:t>
            </w:r>
            <w:r>
              <w:rPr>
                <w:rFonts w:hint="eastAsia" w:ascii="宋体" w:hAnsi="宋体" w:eastAsia="宋体" w:cs="宋体"/>
                <w:sz w:val="24"/>
                <w:szCs w:val="24"/>
                <w:highlight w:val="none"/>
              </w:rPr>
              <w:t>服务器</w:t>
            </w:r>
            <w:r>
              <w:rPr>
                <w:rFonts w:ascii="宋体" w:hAnsi="宋体" w:eastAsia="宋体" w:cs="宋体"/>
                <w:sz w:val="24"/>
                <w:szCs w:val="24"/>
                <w:highlight w:val="none"/>
              </w:rPr>
              <w:t>液冷板领域也将不断推出相关焊接产品。</w:t>
            </w:r>
          </w:p>
          <w:bookmarkEnd w:id="0"/>
          <w:p w14:paraId="531BA14C">
            <w:pPr>
              <w:widowControl/>
              <w:spacing w:line="360" w:lineRule="auto"/>
              <w:jc w:val="left"/>
              <w:rPr>
                <w:rFonts w:ascii="Times New Roman" w:hAnsi="Times New Roman" w:cs="Times New Roman"/>
                <w:sz w:val="24"/>
                <w:szCs w:val="24"/>
              </w:rPr>
            </w:pPr>
          </w:p>
          <w:p w14:paraId="57ACBB01">
            <w:pPr>
              <w:spacing w:line="360" w:lineRule="auto"/>
              <w:rPr>
                <w:rFonts w:ascii="Times New Roman" w:hAnsi="Times New Roman" w:cs="Times New Roman"/>
                <w:b/>
                <w:bCs/>
                <w:sz w:val="24"/>
                <w:szCs w:val="24"/>
              </w:rPr>
            </w:pPr>
            <w:r>
              <w:rPr>
                <w:rFonts w:ascii="Times New Roman" w:hAnsi="Times New Roman" w:cs="Times New Roman"/>
                <w:b/>
                <w:bCs/>
                <w:sz w:val="24"/>
                <w:szCs w:val="24"/>
              </w:rPr>
              <w:t>问题</w:t>
            </w:r>
            <w:r>
              <w:rPr>
                <w:rFonts w:hint="eastAsia" w:ascii="Times New Roman" w:hAnsi="Times New Roman" w:cs="Times New Roman"/>
                <w:b/>
                <w:bCs/>
                <w:sz w:val="24"/>
                <w:szCs w:val="24"/>
              </w:rPr>
              <w:t>6</w:t>
            </w:r>
            <w:r>
              <w:rPr>
                <w:rFonts w:ascii="Times New Roman" w:hAnsi="Times New Roman" w:cs="Times New Roman"/>
                <w:b/>
                <w:bCs/>
                <w:sz w:val="24"/>
                <w:szCs w:val="24"/>
              </w:rPr>
              <w:t>：</w:t>
            </w:r>
            <w:r>
              <w:rPr>
                <w:rFonts w:ascii="宋体" w:hAnsi="宋体" w:eastAsia="宋体" w:cs="宋体"/>
                <w:b/>
                <w:bCs/>
                <w:sz w:val="24"/>
                <w:szCs w:val="24"/>
              </w:rPr>
              <w:t>公司经营</w:t>
            </w:r>
            <w:r>
              <w:rPr>
                <w:rFonts w:hint="eastAsia" w:ascii="宋体" w:hAnsi="宋体" w:eastAsia="宋体" w:cs="宋体"/>
                <w:b/>
                <w:bCs/>
                <w:sz w:val="24"/>
                <w:szCs w:val="24"/>
              </w:rPr>
              <w:t>性</w:t>
            </w:r>
            <w:r>
              <w:rPr>
                <w:rFonts w:ascii="宋体" w:hAnsi="宋体" w:eastAsia="宋体" w:cs="宋体"/>
                <w:b/>
                <w:bCs/>
                <w:sz w:val="24"/>
                <w:szCs w:val="24"/>
              </w:rPr>
              <w:t>现金流</w:t>
            </w:r>
            <w:r>
              <w:rPr>
                <w:rFonts w:hint="eastAsia" w:ascii="宋体" w:hAnsi="宋体" w:eastAsia="宋体" w:cs="宋体"/>
                <w:b/>
                <w:bCs/>
                <w:sz w:val="24"/>
                <w:szCs w:val="24"/>
              </w:rPr>
              <w:t>一直</w:t>
            </w:r>
            <w:r>
              <w:rPr>
                <w:rFonts w:ascii="宋体" w:hAnsi="宋体" w:eastAsia="宋体" w:cs="宋体"/>
                <w:b/>
                <w:bCs/>
                <w:sz w:val="24"/>
                <w:szCs w:val="24"/>
              </w:rPr>
              <w:t>为负，主要原因是什么？</w:t>
            </w:r>
          </w:p>
          <w:p w14:paraId="57BC6DB8">
            <w:pPr>
              <w:spacing w:line="360" w:lineRule="auto"/>
              <w:rPr>
                <w:rFonts w:ascii="宋体" w:hAnsi="宋体" w:eastAsia="宋体" w:cs="宋体"/>
                <w:sz w:val="24"/>
                <w:szCs w:val="24"/>
              </w:rPr>
            </w:pPr>
            <w:r>
              <w:rPr>
                <w:rFonts w:hint="eastAsia" w:ascii="Times New Roman" w:hAnsi="Times New Roman" w:cs="Times New Roman"/>
                <w:sz w:val="24"/>
                <w:szCs w:val="24"/>
              </w:rPr>
              <w:t>答：</w:t>
            </w:r>
            <w:r>
              <w:rPr>
                <w:rFonts w:hint="eastAsia"/>
                <w:sz w:val="24"/>
                <w:szCs w:val="24"/>
              </w:rPr>
              <w:t>公司与供应商主要以现款结算且无账期或账期较短、与客户以票据结算的比例较高且存在账期，公司将部分应收票据予以贴现以满足日常资金需求。根据相关会计准则要求，公司对应收票据贴现谨慎进行会计处理，将不符合终止确认条件的票据进行贴现形成的现金流列报为筹资活动现金流</w:t>
            </w:r>
            <w:r>
              <w:rPr>
                <w:rFonts w:ascii="宋体" w:hAnsi="宋体" w:eastAsia="宋体" w:cs="宋体"/>
                <w:sz w:val="24"/>
                <w:szCs w:val="24"/>
              </w:rPr>
              <w:t>，从而使得经营活动产生的现金流量净额为负。</w:t>
            </w:r>
          </w:p>
          <w:p w14:paraId="4A082F24">
            <w:pPr>
              <w:widowControl/>
              <w:spacing w:line="360" w:lineRule="auto"/>
              <w:jc w:val="left"/>
              <w:rPr>
                <w:rFonts w:ascii="Times New Roman" w:hAnsi="Times New Roman" w:cs="Times New Roman"/>
                <w:sz w:val="24"/>
                <w:szCs w:val="24"/>
              </w:rPr>
            </w:pPr>
          </w:p>
          <w:p w14:paraId="145434BA">
            <w:pPr>
              <w:widowControl/>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问题</w:t>
            </w:r>
            <w:r>
              <w:rPr>
                <w:rFonts w:hint="eastAsia" w:ascii="Times New Roman" w:hAnsi="Times New Roman" w:cs="Times New Roman"/>
                <w:b/>
                <w:bCs/>
                <w:sz w:val="24"/>
                <w:szCs w:val="24"/>
              </w:rPr>
              <w:t>7</w:t>
            </w:r>
            <w:r>
              <w:rPr>
                <w:rFonts w:ascii="Times New Roman" w:hAnsi="Times New Roman" w:cs="Times New Roman"/>
                <w:b/>
                <w:bCs/>
                <w:sz w:val="24"/>
                <w:szCs w:val="24"/>
              </w:rPr>
              <w:t>：</w:t>
            </w:r>
            <w:r>
              <w:rPr>
                <w:rFonts w:hint="eastAsia" w:ascii="Times New Roman" w:hAnsi="Times New Roman" w:cs="Times New Roman"/>
                <w:b/>
                <w:bCs/>
                <w:sz w:val="24"/>
                <w:szCs w:val="24"/>
              </w:rPr>
              <w:t>公司2024年的分红规划是怎样的？</w:t>
            </w:r>
          </w:p>
          <w:p w14:paraId="002FE448">
            <w:pPr>
              <w:spacing w:line="360" w:lineRule="auto"/>
              <w:rPr>
                <w:rFonts w:ascii="宋体" w:hAnsi="宋体" w:eastAsia="宋体" w:cs="宋体"/>
                <w:sz w:val="24"/>
                <w:szCs w:val="24"/>
              </w:rPr>
            </w:pPr>
            <w:r>
              <w:rPr>
                <w:rFonts w:hint="eastAsia" w:ascii="Times New Roman" w:hAnsi="Times New Roman" w:cs="Times New Roman"/>
                <w:sz w:val="24"/>
                <w:szCs w:val="24"/>
              </w:rPr>
              <w:t>答：</w:t>
            </w:r>
            <w:r>
              <w:rPr>
                <w:rFonts w:ascii="宋体" w:hAnsi="宋体" w:eastAsia="宋体" w:cs="宋体"/>
                <w:sz w:val="24"/>
                <w:szCs w:val="24"/>
              </w:rPr>
              <w:t>公司拟计划2024年度利润的现金分红派息率为30%以上，未来公司将结合业务现状、未来发展规划及行业发展趋势，继续为投资者提供连续、稳定的现金分红，为投资者带来长期的投资回报。</w:t>
            </w:r>
          </w:p>
          <w:p w14:paraId="1153F26E">
            <w:pPr>
              <w:widowControl/>
              <w:spacing w:line="360" w:lineRule="auto"/>
              <w:jc w:val="left"/>
              <w:rPr>
                <w:rFonts w:ascii="Times New Roman" w:hAnsi="Times New Roman" w:cs="Times New Roman"/>
                <w:sz w:val="24"/>
                <w:szCs w:val="24"/>
              </w:rPr>
            </w:pPr>
          </w:p>
          <w:p w14:paraId="019361AA">
            <w:pPr>
              <w:spacing w:line="360" w:lineRule="auto"/>
              <w:rPr>
                <w:rFonts w:ascii="Times New Roman" w:hAnsi="Times New Roman" w:cs="Times New Roman"/>
                <w:sz w:val="24"/>
                <w:szCs w:val="24"/>
              </w:rPr>
            </w:pPr>
          </w:p>
          <w:p w14:paraId="7E19C224">
            <w:pPr>
              <w:spacing w:line="360" w:lineRule="auto"/>
              <w:rPr>
                <w:rFonts w:ascii="Times New Roman" w:hAnsi="Times New Roman" w:cs="Times New Roman"/>
                <w:sz w:val="24"/>
                <w:szCs w:val="24"/>
              </w:rPr>
            </w:pPr>
          </w:p>
          <w:p w14:paraId="781E7338">
            <w:pPr>
              <w:spacing w:line="360" w:lineRule="auto"/>
              <w:rPr>
                <w:b/>
                <w:bCs/>
                <w:sz w:val="24"/>
                <w:szCs w:val="24"/>
              </w:rPr>
            </w:pPr>
          </w:p>
          <w:p w14:paraId="4330891E">
            <w:pPr>
              <w:spacing w:line="360" w:lineRule="auto"/>
              <w:rPr>
                <w:rFonts w:ascii="Times New Roman" w:hAnsi="Times New Roman" w:cs="Times New Roman"/>
                <w:b/>
                <w:bCs/>
                <w:sz w:val="24"/>
                <w:szCs w:val="24"/>
              </w:rPr>
            </w:pPr>
          </w:p>
          <w:p w14:paraId="006CD0A9">
            <w:pPr>
              <w:spacing w:line="360" w:lineRule="auto"/>
              <w:rPr>
                <w:rFonts w:ascii="Times New Roman" w:hAnsi="Times New Roman" w:cs="Times New Roman"/>
                <w:b/>
                <w:bCs/>
                <w:sz w:val="24"/>
                <w:szCs w:val="24"/>
              </w:rPr>
            </w:pPr>
          </w:p>
          <w:p w14:paraId="48880F58">
            <w:pPr>
              <w:spacing w:line="360" w:lineRule="auto"/>
              <w:rPr>
                <w:rFonts w:ascii="Times New Roman" w:hAnsi="Times New Roman" w:cs="Times New Roman"/>
                <w:b/>
                <w:bCs/>
                <w:sz w:val="24"/>
                <w:szCs w:val="24"/>
              </w:rPr>
            </w:pPr>
          </w:p>
          <w:p w14:paraId="28E9FB1D">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接待过程中，公司与投资者进行了充分地交流与沟通，并严格按照公司《信息披露管理制度》等规定，保证信息披露的真实、准确、完整、及时、公平，没有出现未公开重大信息泄露等情况。</w:t>
            </w:r>
          </w:p>
        </w:tc>
      </w:tr>
    </w:tbl>
    <w:p w14:paraId="6EE3E9E0">
      <w:pPr>
        <w:widowControl/>
        <w:shd w:val="clear" w:color="auto" w:fill="FFFFFF"/>
        <w:spacing w:line="420" w:lineRule="atLeast"/>
        <w:jc w:val="left"/>
        <w:rPr>
          <w:rFonts w:ascii="Courier New" w:hAnsi="Courier New" w:eastAsia="宋体" w:cs="宋体"/>
          <w:color w:val="000000"/>
          <w:kern w:val="0"/>
          <w:sz w:val="28"/>
          <w:szCs w:val="28"/>
        </w:rPr>
      </w:pPr>
    </w:p>
    <w:p w14:paraId="0B914EEA"/>
    <w:sectPr>
      <w:pgSz w:w="11906" w:h="16838"/>
      <w:pgMar w:top="1134" w:right="1418"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993E99"/>
    <w:multiLevelType w:val="singleLevel"/>
    <w:tmpl w:val="7A993E99"/>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xYWJmNjdhYmRhM2YxY2VlZmRiOGIwNWViNjg4ODAifQ=="/>
  </w:docVars>
  <w:rsids>
    <w:rsidRoot w:val="008503AE"/>
    <w:rsid w:val="00000BC2"/>
    <w:rsid w:val="00001C08"/>
    <w:rsid w:val="00004D23"/>
    <w:rsid w:val="000055B1"/>
    <w:rsid w:val="0001112B"/>
    <w:rsid w:val="00011810"/>
    <w:rsid w:val="000134C7"/>
    <w:rsid w:val="000142FD"/>
    <w:rsid w:val="00014A71"/>
    <w:rsid w:val="0001672A"/>
    <w:rsid w:val="00027D4E"/>
    <w:rsid w:val="00030224"/>
    <w:rsid w:val="00033ABA"/>
    <w:rsid w:val="00034261"/>
    <w:rsid w:val="000365EA"/>
    <w:rsid w:val="00042F69"/>
    <w:rsid w:val="0004300B"/>
    <w:rsid w:val="0004420D"/>
    <w:rsid w:val="000464E7"/>
    <w:rsid w:val="00050B83"/>
    <w:rsid w:val="00051116"/>
    <w:rsid w:val="00055A80"/>
    <w:rsid w:val="000577A2"/>
    <w:rsid w:val="0006103F"/>
    <w:rsid w:val="00061769"/>
    <w:rsid w:val="000635D8"/>
    <w:rsid w:val="00064C73"/>
    <w:rsid w:val="000669B3"/>
    <w:rsid w:val="000705BE"/>
    <w:rsid w:val="0007180F"/>
    <w:rsid w:val="00073254"/>
    <w:rsid w:val="00074C50"/>
    <w:rsid w:val="00082392"/>
    <w:rsid w:val="00084DE0"/>
    <w:rsid w:val="00085AC5"/>
    <w:rsid w:val="00087055"/>
    <w:rsid w:val="000875E5"/>
    <w:rsid w:val="0008786F"/>
    <w:rsid w:val="00094DEA"/>
    <w:rsid w:val="000A0D91"/>
    <w:rsid w:val="000A1A46"/>
    <w:rsid w:val="000A1F60"/>
    <w:rsid w:val="000A47B3"/>
    <w:rsid w:val="000A6984"/>
    <w:rsid w:val="000B0BE5"/>
    <w:rsid w:val="000B1B2D"/>
    <w:rsid w:val="000B3A31"/>
    <w:rsid w:val="000B425C"/>
    <w:rsid w:val="000B53F5"/>
    <w:rsid w:val="000B6D2E"/>
    <w:rsid w:val="000B6F11"/>
    <w:rsid w:val="000C13E6"/>
    <w:rsid w:val="000C1417"/>
    <w:rsid w:val="000C30B8"/>
    <w:rsid w:val="000C3EF4"/>
    <w:rsid w:val="000D2FFF"/>
    <w:rsid w:val="000D7CE6"/>
    <w:rsid w:val="000E021F"/>
    <w:rsid w:val="000E3B16"/>
    <w:rsid w:val="000E6C86"/>
    <w:rsid w:val="000E7ED6"/>
    <w:rsid w:val="000F1FC5"/>
    <w:rsid w:val="000F21D1"/>
    <w:rsid w:val="000F78E3"/>
    <w:rsid w:val="00100B60"/>
    <w:rsid w:val="001019D4"/>
    <w:rsid w:val="00101C09"/>
    <w:rsid w:val="00101C6A"/>
    <w:rsid w:val="00102160"/>
    <w:rsid w:val="0010415F"/>
    <w:rsid w:val="00111D26"/>
    <w:rsid w:val="00112571"/>
    <w:rsid w:val="00116282"/>
    <w:rsid w:val="00116EA3"/>
    <w:rsid w:val="001202D1"/>
    <w:rsid w:val="001204C9"/>
    <w:rsid w:val="001230D7"/>
    <w:rsid w:val="00127802"/>
    <w:rsid w:val="00130261"/>
    <w:rsid w:val="00133903"/>
    <w:rsid w:val="001378C6"/>
    <w:rsid w:val="00140339"/>
    <w:rsid w:val="00141E21"/>
    <w:rsid w:val="00141F3C"/>
    <w:rsid w:val="0014424F"/>
    <w:rsid w:val="00144541"/>
    <w:rsid w:val="00150109"/>
    <w:rsid w:val="0015015E"/>
    <w:rsid w:val="001516D9"/>
    <w:rsid w:val="00152BC5"/>
    <w:rsid w:val="00153A24"/>
    <w:rsid w:val="00153B21"/>
    <w:rsid w:val="0015606E"/>
    <w:rsid w:val="0016002F"/>
    <w:rsid w:val="00161DB3"/>
    <w:rsid w:val="0016778E"/>
    <w:rsid w:val="00170DC5"/>
    <w:rsid w:val="00174C5B"/>
    <w:rsid w:val="0017683D"/>
    <w:rsid w:val="001775A6"/>
    <w:rsid w:val="0018057D"/>
    <w:rsid w:val="0018365A"/>
    <w:rsid w:val="00185682"/>
    <w:rsid w:val="00190FCB"/>
    <w:rsid w:val="00196277"/>
    <w:rsid w:val="00196711"/>
    <w:rsid w:val="001A08F7"/>
    <w:rsid w:val="001A1ABB"/>
    <w:rsid w:val="001A4481"/>
    <w:rsid w:val="001A4CC9"/>
    <w:rsid w:val="001A5939"/>
    <w:rsid w:val="001A6A3E"/>
    <w:rsid w:val="001A7A88"/>
    <w:rsid w:val="001B1203"/>
    <w:rsid w:val="001B307E"/>
    <w:rsid w:val="001B3D1E"/>
    <w:rsid w:val="001B3E70"/>
    <w:rsid w:val="001C0F39"/>
    <w:rsid w:val="001C38A3"/>
    <w:rsid w:val="001C42C4"/>
    <w:rsid w:val="001C79E1"/>
    <w:rsid w:val="001D254F"/>
    <w:rsid w:val="001D615A"/>
    <w:rsid w:val="001E1442"/>
    <w:rsid w:val="001E19A0"/>
    <w:rsid w:val="001E39B2"/>
    <w:rsid w:val="001E572B"/>
    <w:rsid w:val="001E63ED"/>
    <w:rsid w:val="001F0B89"/>
    <w:rsid w:val="001F0FBA"/>
    <w:rsid w:val="001F1245"/>
    <w:rsid w:val="001F34D1"/>
    <w:rsid w:val="00200DA3"/>
    <w:rsid w:val="00202469"/>
    <w:rsid w:val="00203514"/>
    <w:rsid w:val="00205231"/>
    <w:rsid w:val="00205E93"/>
    <w:rsid w:val="00213F91"/>
    <w:rsid w:val="002141C1"/>
    <w:rsid w:val="00214F3D"/>
    <w:rsid w:val="002215D9"/>
    <w:rsid w:val="00222200"/>
    <w:rsid w:val="002269C1"/>
    <w:rsid w:val="002309EA"/>
    <w:rsid w:val="00232849"/>
    <w:rsid w:val="00236833"/>
    <w:rsid w:val="002400F5"/>
    <w:rsid w:val="002406AF"/>
    <w:rsid w:val="00242C60"/>
    <w:rsid w:val="002436E4"/>
    <w:rsid w:val="00244D9E"/>
    <w:rsid w:val="0025232A"/>
    <w:rsid w:val="00254443"/>
    <w:rsid w:val="00262CC0"/>
    <w:rsid w:val="00264ABA"/>
    <w:rsid w:val="00265BC9"/>
    <w:rsid w:val="00266442"/>
    <w:rsid w:val="00266965"/>
    <w:rsid w:val="002706E3"/>
    <w:rsid w:val="002719EC"/>
    <w:rsid w:val="00273A73"/>
    <w:rsid w:val="00273C91"/>
    <w:rsid w:val="00275199"/>
    <w:rsid w:val="00275427"/>
    <w:rsid w:val="002822F1"/>
    <w:rsid w:val="002824E0"/>
    <w:rsid w:val="00287348"/>
    <w:rsid w:val="00290EFC"/>
    <w:rsid w:val="00291C4C"/>
    <w:rsid w:val="00297A6C"/>
    <w:rsid w:val="002A478D"/>
    <w:rsid w:val="002A71A3"/>
    <w:rsid w:val="002B0167"/>
    <w:rsid w:val="002B26D3"/>
    <w:rsid w:val="002B35E8"/>
    <w:rsid w:val="002B61DD"/>
    <w:rsid w:val="002C2E20"/>
    <w:rsid w:val="002D04EC"/>
    <w:rsid w:val="002D09F9"/>
    <w:rsid w:val="002D1CAF"/>
    <w:rsid w:val="002D2F8A"/>
    <w:rsid w:val="002D4BE3"/>
    <w:rsid w:val="002D5071"/>
    <w:rsid w:val="002D6C42"/>
    <w:rsid w:val="002E3FCE"/>
    <w:rsid w:val="002E4941"/>
    <w:rsid w:val="002E6AC1"/>
    <w:rsid w:val="002F3AC2"/>
    <w:rsid w:val="002F4266"/>
    <w:rsid w:val="002F576B"/>
    <w:rsid w:val="00300D41"/>
    <w:rsid w:val="00301250"/>
    <w:rsid w:val="0030418A"/>
    <w:rsid w:val="003050A5"/>
    <w:rsid w:val="0030550F"/>
    <w:rsid w:val="00305D73"/>
    <w:rsid w:val="00311E48"/>
    <w:rsid w:val="00313735"/>
    <w:rsid w:val="00315E12"/>
    <w:rsid w:val="0032251A"/>
    <w:rsid w:val="00323D0A"/>
    <w:rsid w:val="0032446F"/>
    <w:rsid w:val="003273B4"/>
    <w:rsid w:val="00331232"/>
    <w:rsid w:val="00340B57"/>
    <w:rsid w:val="00342DFE"/>
    <w:rsid w:val="00347827"/>
    <w:rsid w:val="00350179"/>
    <w:rsid w:val="00351318"/>
    <w:rsid w:val="003517DD"/>
    <w:rsid w:val="00351918"/>
    <w:rsid w:val="00352A77"/>
    <w:rsid w:val="0035416D"/>
    <w:rsid w:val="003550F9"/>
    <w:rsid w:val="003555A9"/>
    <w:rsid w:val="003559A8"/>
    <w:rsid w:val="003567A2"/>
    <w:rsid w:val="0036724B"/>
    <w:rsid w:val="00373B78"/>
    <w:rsid w:val="003745D6"/>
    <w:rsid w:val="00374F2D"/>
    <w:rsid w:val="00377CA7"/>
    <w:rsid w:val="00377F19"/>
    <w:rsid w:val="00384C96"/>
    <w:rsid w:val="00387F37"/>
    <w:rsid w:val="00390371"/>
    <w:rsid w:val="00396EA5"/>
    <w:rsid w:val="003A06B9"/>
    <w:rsid w:val="003A087D"/>
    <w:rsid w:val="003A1AFD"/>
    <w:rsid w:val="003A4FD6"/>
    <w:rsid w:val="003A7A53"/>
    <w:rsid w:val="003B3D2A"/>
    <w:rsid w:val="003B663A"/>
    <w:rsid w:val="003C06D5"/>
    <w:rsid w:val="003C0CC9"/>
    <w:rsid w:val="003C13A9"/>
    <w:rsid w:val="003C49E1"/>
    <w:rsid w:val="003C4E9B"/>
    <w:rsid w:val="003C637E"/>
    <w:rsid w:val="003C75CE"/>
    <w:rsid w:val="003D028E"/>
    <w:rsid w:val="003D2F24"/>
    <w:rsid w:val="003D4BAA"/>
    <w:rsid w:val="003D4C7C"/>
    <w:rsid w:val="003D5858"/>
    <w:rsid w:val="003E5BA5"/>
    <w:rsid w:val="003E6BD5"/>
    <w:rsid w:val="003E6CA9"/>
    <w:rsid w:val="003E6E03"/>
    <w:rsid w:val="003E7973"/>
    <w:rsid w:val="003F0F2A"/>
    <w:rsid w:val="004012FE"/>
    <w:rsid w:val="00401B36"/>
    <w:rsid w:val="00402628"/>
    <w:rsid w:val="00407BB7"/>
    <w:rsid w:val="00414605"/>
    <w:rsid w:val="00414BF6"/>
    <w:rsid w:val="004157D0"/>
    <w:rsid w:val="00415BFD"/>
    <w:rsid w:val="004161F1"/>
    <w:rsid w:val="00422C0F"/>
    <w:rsid w:val="0042355D"/>
    <w:rsid w:val="00424B89"/>
    <w:rsid w:val="00426D68"/>
    <w:rsid w:val="00433F4E"/>
    <w:rsid w:val="00433FED"/>
    <w:rsid w:val="0043434E"/>
    <w:rsid w:val="00440307"/>
    <w:rsid w:val="004403A3"/>
    <w:rsid w:val="00440DA8"/>
    <w:rsid w:val="00441DBA"/>
    <w:rsid w:val="004432F5"/>
    <w:rsid w:val="00444040"/>
    <w:rsid w:val="00445BDE"/>
    <w:rsid w:val="00453F00"/>
    <w:rsid w:val="00460736"/>
    <w:rsid w:val="00460A19"/>
    <w:rsid w:val="00462612"/>
    <w:rsid w:val="00464159"/>
    <w:rsid w:val="00464A1E"/>
    <w:rsid w:val="00464D84"/>
    <w:rsid w:val="00465FB0"/>
    <w:rsid w:val="00466630"/>
    <w:rsid w:val="00472C59"/>
    <w:rsid w:val="00474842"/>
    <w:rsid w:val="004753F7"/>
    <w:rsid w:val="00476C21"/>
    <w:rsid w:val="00476DFF"/>
    <w:rsid w:val="00477C18"/>
    <w:rsid w:val="00480249"/>
    <w:rsid w:val="004839A9"/>
    <w:rsid w:val="00487F41"/>
    <w:rsid w:val="00490017"/>
    <w:rsid w:val="0049689C"/>
    <w:rsid w:val="004A02C8"/>
    <w:rsid w:val="004A12D3"/>
    <w:rsid w:val="004B3818"/>
    <w:rsid w:val="004C02CE"/>
    <w:rsid w:val="004C13DB"/>
    <w:rsid w:val="004C50FF"/>
    <w:rsid w:val="004C529E"/>
    <w:rsid w:val="004C7F53"/>
    <w:rsid w:val="004D31FC"/>
    <w:rsid w:val="004D5367"/>
    <w:rsid w:val="004D5661"/>
    <w:rsid w:val="004D6BD6"/>
    <w:rsid w:val="004E02E8"/>
    <w:rsid w:val="004E179A"/>
    <w:rsid w:val="004F00E9"/>
    <w:rsid w:val="004F2A99"/>
    <w:rsid w:val="004F59C3"/>
    <w:rsid w:val="004F6B5A"/>
    <w:rsid w:val="00500820"/>
    <w:rsid w:val="00501F02"/>
    <w:rsid w:val="00504594"/>
    <w:rsid w:val="00506CE0"/>
    <w:rsid w:val="00510ED0"/>
    <w:rsid w:val="005146F5"/>
    <w:rsid w:val="0051521B"/>
    <w:rsid w:val="005179DF"/>
    <w:rsid w:val="00520136"/>
    <w:rsid w:val="005213AC"/>
    <w:rsid w:val="00526A1A"/>
    <w:rsid w:val="00526F41"/>
    <w:rsid w:val="0053205B"/>
    <w:rsid w:val="00533D5E"/>
    <w:rsid w:val="00537ADE"/>
    <w:rsid w:val="00541DF4"/>
    <w:rsid w:val="0054290F"/>
    <w:rsid w:val="00545438"/>
    <w:rsid w:val="00547BD4"/>
    <w:rsid w:val="00550D4D"/>
    <w:rsid w:val="00552EF5"/>
    <w:rsid w:val="00553C3F"/>
    <w:rsid w:val="00556F28"/>
    <w:rsid w:val="00557D06"/>
    <w:rsid w:val="00557DAE"/>
    <w:rsid w:val="005640FA"/>
    <w:rsid w:val="0056650A"/>
    <w:rsid w:val="00566CC3"/>
    <w:rsid w:val="00570DBF"/>
    <w:rsid w:val="00570E31"/>
    <w:rsid w:val="00581655"/>
    <w:rsid w:val="0058517A"/>
    <w:rsid w:val="00585336"/>
    <w:rsid w:val="0058581A"/>
    <w:rsid w:val="00592783"/>
    <w:rsid w:val="0059300E"/>
    <w:rsid w:val="0059372C"/>
    <w:rsid w:val="00596428"/>
    <w:rsid w:val="005979CF"/>
    <w:rsid w:val="00597BDF"/>
    <w:rsid w:val="005A39AB"/>
    <w:rsid w:val="005A5572"/>
    <w:rsid w:val="005B2BCB"/>
    <w:rsid w:val="005B4EEA"/>
    <w:rsid w:val="005B69EB"/>
    <w:rsid w:val="005B7DF7"/>
    <w:rsid w:val="005C0F82"/>
    <w:rsid w:val="005C6FB6"/>
    <w:rsid w:val="005D02A5"/>
    <w:rsid w:val="005D1318"/>
    <w:rsid w:val="005D6C88"/>
    <w:rsid w:val="005D6ED0"/>
    <w:rsid w:val="005D7133"/>
    <w:rsid w:val="005E06FD"/>
    <w:rsid w:val="005E2604"/>
    <w:rsid w:val="005E361F"/>
    <w:rsid w:val="005E6497"/>
    <w:rsid w:val="005E7CDA"/>
    <w:rsid w:val="005F0F93"/>
    <w:rsid w:val="005F21CA"/>
    <w:rsid w:val="005F5960"/>
    <w:rsid w:val="005F7812"/>
    <w:rsid w:val="005F7BB0"/>
    <w:rsid w:val="00600282"/>
    <w:rsid w:val="00603DD3"/>
    <w:rsid w:val="00606B96"/>
    <w:rsid w:val="006157D6"/>
    <w:rsid w:val="00624158"/>
    <w:rsid w:val="00625780"/>
    <w:rsid w:val="00634A16"/>
    <w:rsid w:val="006425CA"/>
    <w:rsid w:val="00642A64"/>
    <w:rsid w:val="00644B5F"/>
    <w:rsid w:val="006458BC"/>
    <w:rsid w:val="00646871"/>
    <w:rsid w:val="00646DE6"/>
    <w:rsid w:val="00647061"/>
    <w:rsid w:val="006475FB"/>
    <w:rsid w:val="00647702"/>
    <w:rsid w:val="0064788F"/>
    <w:rsid w:val="00651BCD"/>
    <w:rsid w:val="00651F99"/>
    <w:rsid w:val="00652CB3"/>
    <w:rsid w:val="00653701"/>
    <w:rsid w:val="0065472F"/>
    <w:rsid w:val="0065576F"/>
    <w:rsid w:val="006603AA"/>
    <w:rsid w:val="006603B6"/>
    <w:rsid w:val="00660DB9"/>
    <w:rsid w:val="0066135B"/>
    <w:rsid w:val="006623E7"/>
    <w:rsid w:val="00662478"/>
    <w:rsid w:val="006642FE"/>
    <w:rsid w:val="00670590"/>
    <w:rsid w:val="00673B47"/>
    <w:rsid w:val="00674844"/>
    <w:rsid w:val="00675FFF"/>
    <w:rsid w:val="00676142"/>
    <w:rsid w:val="00676ED8"/>
    <w:rsid w:val="0067776B"/>
    <w:rsid w:val="00677B5D"/>
    <w:rsid w:val="00680401"/>
    <w:rsid w:val="00692E8B"/>
    <w:rsid w:val="00694C2D"/>
    <w:rsid w:val="00694CC2"/>
    <w:rsid w:val="0069639B"/>
    <w:rsid w:val="006A5C4B"/>
    <w:rsid w:val="006B1B49"/>
    <w:rsid w:val="006B2DBA"/>
    <w:rsid w:val="006B4B00"/>
    <w:rsid w:val="006B4E49"/>
    <w:rsid w:val="006B6FC9"/>
    <w:rsid w:val="006B7114"/>
    <w:rsid w:val="006C205C"/>
    <w:rsid w:val="006C6061"/>
    <w:rsid w:val="006D1250"/>
    <w:rsid w:val="006D6B27"/>
    <w:rsid w:val="006D7205"/>
    <w:rsid w:val="006E036B"/>
    <w:rsid w:val="006E133B"/>
    <w:rsid w:val="006E3B30"/>
    <w:rsid w:val="006E5157"/>
    <w:rsid w:val="006E60E8"/>
    <w:rsid w:val="006F0AE5"/>
    <w:rsid w:val="006F2336"/>
    <w:rsid w:val="006F2FE5"/>
    <w:rsid w:val="006F316B"/>
    <w:rsid w:val="006F53BE"/>
    <w:rsid w:val="006F5CC2"/>
    <w:rsid w:val="00701E37"/>
    <w:rsid w:val="00704272"/>
    <w:rsid w:val="00711DD7"/>
    <w:rsid w:val="00712073"/>
    <w:rsid w:val="007142AE"/>
    <w:rsid w:val="0072152C"/>
    <w:rsid w:val="00721DDA"/>
    <w:rsid w:val="007229E8"/>
    <w:rsid w:val="007239EA"/>
    <w:rsid w:val="007246F6"/>
    <w:rsid w:val="00736589"/>
    <w:rsid w:val="0073697C"/>
    <w:rsid w:val="00736C76"/>
    <w:rsid w:val="00737B12"/>
    <w:rsid w:val="00746890"/>
    <w:rsid w:val="00746B73"/>
    <w:rsid w:val="007471D1"/>
    <w:rsid w:val="00755E1E"/>
    <w:rsid w:val="00756D12"/>
    <w:rsid w:val="007630A9"/>
    <w:rsid w:val="007652F4"/>
    <w:rsid w:val="00766B84"/>
    <w:rsid w:val="00766FEE"/>
    <w:rsid w:val="00770A8C"/>
    <w:rsid w:val="0077482D"/>
    <w:rsid w:val="007813BB"/>
    <w:rsid w:val="00781739"/>
    <w:rsid w:val="00783089"/>
    <w:rsid w:val="00784F54"/>
    <w:rsid w:val="00785D75"/>
    <w:rsid w:val="00787BC0"/>
    <w:rsid w:val="0079109E"/>
    <w:rsid w:val="0079208D"/>
    <w:rsid w:val="00792F85"/>
    <w:rsid w:val="00793D57"/>
    <w:rsid w:val="0079442D"/>
    <w:rsid w:val="00796FE9"/>
    <w:rsid w:val="007A59B9"/>
    <w:rsid w:val="007B5E2A"/>
    <w:rsid w:val="007B6526"/>
    <w:rsid w:val="007C2090"/>
    <w:rsid w:val="007C394F"/>
    <w:rsid w:val="007C6B06"/>
    <w:rsid w:val="007D169F"/>
    <w:rsid w:val="007E1757"/>
    <w:rsid w:val="007E2E53"/>
    <w:rsid w:val="007F0E37"/>
    <w:rsid w:val="007F2454"/>
    <w:rsid w:val="007F25C2"/>
    <w:rsid w:val="007F26FA"/>
    <w:rsid w:val="007F68F8"/>
    <w:rsid w:val="0080107B"/>
    <w:rsid w:val="008036A1"/>
    <w:rsid w:val="00806DE5"/>
    <w:rsid w:val="008108D8"/>
    <w:rsid w:val="0081166A"/>
    <w:rsid w:val="00815D3F"/>
    <w:rsid w:val="00821DE3"/>
    <w:rsid w:val="00831604"/>
    <w:rsid w:val="00832043"/>
    <w:rsid w:val="008324E1"/>
    <w:rsid w:val="008350A3"/>
    <w:rsid w:val="008379A3"/>
    <w:rsid w:val="00837EAE"/>
    <w:rsid w:val="00841196"/>
    <w:rsid w:val="0084325E"/>
    <w:rsid w:val="008503AE"/>
    <w:rsid w:val="00856AD0"/>
    <w:rsid w:val="008570B7"/>
    <w:rsid w:val="0086163B"/>
    <w:rsid w:val="00861E78"/>
    <w:rsid w:val="00863343"/>
    <w:rsid w:val="00866FFA"/>
    <w:rsid w:val="008711A1"/>
    <w:rsid w:val="00871BC5"/>
    <w:rsid w:val="008808F6"/>
    <w:rsid w:val="00880C31"/>
    <w:rsid w:val="008866F1"/>
    <w:rsid w:val="00887373"/>
    <w:rsid w:val="008874F2"/>
    <w:rsid w:val="00887D35"/>
    <w:rsid w:val="008922F3"/>
    <w:rsid w:val="00897AEB"/>
    <w:rsid w:val="008A1930"/>
    <w:rsid w:val="008A31BC"/>
    <w:rsid w:val="008A31E4"/>
    <w:rsid w:val="008A3D5C"/>
    <w:rsid w:val="008A404F"/>
    <w:rsid w:val="008A4D6F"/>
    <w:rsid w:val="008A6032"/>
    <w:rsid w:val="008A6439"/>
    <w:rsid w:val="008A6F44"/>
    <w:rsid w:val="008B5F89"/>
    <w:rsid w:val="008B7574"/>
    <w:rsid w:val="008C1B30"/>
    <w:rsid w:val="008C4971"/>
    <w:rsid w:val="008C59CE"/>
    <w:rsid w:val="008D1003"/>
    <w:rsid w:val="008D1E09"/>
    <w:rsid w:val="008D316C"/>
    <w:rsid w:val="008E0FA1"/>
    <w:rsid w:val="008E3732"/>
    <w:rsid w:val="008E3BAE"/>
    <w:rsid w:val="008E51E5"/>
    <w:rsid w:val="008E6C1A"/>
    <w:rsid w:val="008E7A9C"/>
    <w:rsid w:val="008F1BD3"/>
    <w:rsid w:val="008F5AED"/>
    <w:rsid w:val="008F67AB"/>
    <w:rsid w:val="008F7091"/>
    <w:rsid w:val="00900B15"/>
    <w:rsid w:val="0090121F"/>
    <w:rsid w:val="0090180B"/>
    <w:rsid w:val="00904683"/>
    <w:rsid w:val="009066E8"/>
    <w:rsid w:val="00910B1A"/>
    <w:rsid w:val="00911372"/>
    <w:rsid w:val="0091262E"/>
    <w:rsid w:val="009136EC"/>
    <w:rsid w:val="009144F6"/>
    <w:rsid w:val="00915BF0"/>
    <w:rsid w:val="00915CD4"/>
    <w:rsid w:val="009179C6"/>
    <w:rsid w:val="00923752"/>
    <w:rsid w:val="00925122"/>
    <w:rsid w:val="009251BC"/>
    <w:rsid w:val="009268A7"/>
    <w:rsid w:val="00932D1E"/>
    <w:rsid w:val="00934A10"/>
    <w:rsid w:val="00940214"/>
    <w:rsid w:val="00941577"/>
    <w:rsid w:val="0094174D"/>
    <w:rsid w:val="00942E1E"/>
    <w:rsid w:val="00944A36"/>
    <w:rsid w:val="00945805"/>
    <w:rsid w:val="009461DF"/>
    <w:rsid w:val="00951197"/>
    <w:rsid w:val="009543D7"/>
    <w:rsid w:val="00955793"/>
    <w:rsid w:val="00955F9B"/>
    <w:rsid w:val="0096151E"/>
    <w:rsid w:val="00961540"/>
    <w:rsid w:val="00961F2A"/>
    <w:rsid w:val="00962D39"/>
    <w:rsid w:val="00966896"/>
    <w:rsid w:val="00966C36"/>
    <w:rsid w:val="00967C36"/>
    <w:rsid w:val="00970434"/>
    <w:rsid w:val="009717CD"/>
    <w:rsid w:val="009732E4"/>
    <w:rsid w:val="00976D29"/>
    <w:rsid w:val="00983978"/>
    <w:rsid w:val="009849E3"/>
    <w:rsid w:val="009900DA"/>
    <w:rsid w:val="0099031E"/>
    <w:rsid w:val="00991BE8"/>
    <w:rsid w:val="00994DF9"/>
    <w:rsid w:val="009A2301"/>
    <w:rsid w:val="009A23BF"/>
    <w:rsid w:val="009A2663"/>
    <w:rsid w:val="009B003E"/>
    <w:rsid w:val="009B18C9"/>
    <w:rsid w:val="009B4396"/>
    <w:rsid w:val="009B7CDA"/>
    <w:rsid w:val="009C59E6"/>
    <w:rsid w:val="009C6800"/>
    <w:rsid w:val="009D1326"/>
    <w:rsid w:val="009D40FC"/>
    <w:rsid w:val="009D7C15"/>
    <w:rsid w:val="009E0A62"/>
    <w:rsid w:val="009E0E62"/>
    <w:rsid w:val="009E2222"/>
    <w:rsid w:val="009E3037"/>
    <w:rsid w:val="009E441B"/>
    <w:rsid w:val="009E44DB"/>
    <w:rsid w:val="009E7066"/>
    <w:rsid w:val="009E7316"/>
    <w:rsid w:val="009F1BDA"/>
    <w:rsid w:val="009F6C5A"/>
    <w:rsid w:val="00A03BA5"/>
    <w:rsid w:val="00A10F29"/>
    <w:rsid w:val="00A12941"/>
    <w:rsid w:val="00A140D7"/>
    <w:rsid w:val="00A15DBC"/>
    <w:rsid w:val="00A16425"/>
    <w:rsid w:val="00A16750"/>
    <w:rsid w:val="00A173F0"/>
    <w:rsid w:val="00A2101A"/>
    <w:rsid w:val="00A2441C"/>
    <w:rsid w:val="00A329C4"/>
    <w:rsid w:val="00A3317F"/>
    <w:rsid w:val="00A34823"/>
    <w:rsid w:val="00A34869"/>
    <w:rsid w:val="00A4442D"/>
    <w:rsid w:val="00A47E3B"/>
    <w:rsid w:val="00A5268D"/>
    <w:rsid w:val="00A54959"/>
    <w:rsid w:val="00A61546"/>
    <w:rsid w:val="00A627A5"/>
    <w:rsid w:val="00A64972"/>
    <w:rsid w:val="00A65008"/>
    <w:rsid w:val="00A6540B"/>
    <w:rsid w:val="00A661AB"/>
    <w:rsid w:val="00A670FB"/>
    <w:rsid w:val="00A67823"/>
    <w:rsid w:val="00A731A0"/>
    <w:rsid w:val="00A73316"/>
    <w:rsid w:val="00A74FEB"/>
    <w:rsid w:val="00A82A1B"/>
    <w:rsid w:val="00A83759"/>
    <w:rsid w:val="00A84733"/>
    <w:rsid w:val="00A8507F"/>
    <w:rsid w:val="00A868A2"/>
    <w:rsid w:val="00A87599"/>
    <w:rsid w:val="00A9189D"/>
    <w:rsid w:val="00A91DB2"/>
    <w:rsid w:val="00A925E9"/>
    <w:rsid w:val="00A9290A"/>
    <w:rsid w:val="00A93D9E"/>
    <w:rsid w:val="00A94A55"/>
    <w:rsid w:val="00A96019"/>
    <w:rsid w:val="00A97644"/>
    <w:rsid w:val="00A97F3B"/>
    <w:rsid w:val="00AA4A6E"/>
    <w:rsid w:val="00AA5A6B"/>
    <w:rsid w:val="00AA72C8"/>
    <w:rsid w:val="00AA7CF4"/>
    <w:rsid w:val="00AB0CD8"/>
    <w:rsid w:val="00AB0F7D"/>
    <w:rsid w:val="00AB2A4F"/>
    <w:rsid w:val="00AB52F0"/>
    <w:rsid w:val="00AC0DA1"/>
    <w:rsid w:val="00AC0E16"/>
    <w:rsid w:val="00AC0FA6"/>
    <w:rsid w:val="00AC20D3"/>
    <w:rsid w:val="00AC3ED6"/>
    <w:rsid w:val="00AD6862"/>
    <w:rsid w:val="00AE44DB"/>
    <w:rsid w:val="00AF0682"/>
    <w:rsid w:val="00AF16F3"/>
    <w:rsid w:val="00AF2865"/>
    <w:rsid w:val="00AF3170"/>
    <w:rsid w:val="00AF3710"/>
    <w:rsid w:val="00AF3A31"/>
    <w:rsid w:val="00AF4227"/>
    <w:rsid w:val="00AF5FD6"/>
    <w:rsid w:val="00B01085"/>
    <w:rsid w:val="00B029C3"/>
    <w:rsid w:val="00B056C0"/>
    <w:rsid w:val="00B05835"/>
    <w:rsid w:val="00B05942"/>
    <w:rsid w:val="00B13A47"/>
    <w:rsid w:val="00B170D3"/>
    <w:rsid w:val="00B2249C"/>
    <w:rsid w:val="00B257AF"/>
    <w:rsid w:val="00B30C6C"/>
    <w:rsid w:val="00B330D8"/>
    <w:rsid w:val="00B35E1D"/>
    <w:rsid w:val="00B4396F"/>
    <w:rsid w:val="00B50AC9"/>
    <w:rsid w:val="00B51340"/>
    <w:rsid w:val="00B5263A"/>
    <w:rsid w:val="00B529B6"/>
    <w:rsid w:val="00B60C22"/>
    <w:rsid w:val="00B65889"/>
    <w:rsid w:val="00B706CA"/>
    <w:rsid w:val="00B71F30"/>
    <w:rsid w:val="00B74BB8"/>
    <w:rsid w:val="00B755D2"/>
    <w:rsid w:val="00B75628"/>
    <w:rsid w:val="00B7582C"/>
    <w:rsid w:val="00B7743A"/>
    <w:rsid w:val="00B77BCE"/>
    <w:rsid w:val="00B800B6"/>
    <w:rsid w:val="00B855AF"/>
    <w:rsid w:val="00B87CFB"/>
    <w:rsid w:val="00B91D72"/>
    <w:rsid w:val="00B9260B"/>
    <w:rsid w:val="00B930C8"/>
    <w:rsid w:val="00B93E41"/>
    <w:rsid w:val="00B9744D"/>
    <w:rsid w:val="00B97807"/>
    <w:rsid w:val="00BA3BF3"/>
    <w:rsid w:val="00BA4112"/>
    <w:rsid w:val="00BB1834"/>
    <w:rsid w:val="00BB31FE"/>
    <w:rsid w:val="00BB39DE"/>
    <w:rsid w:val="00BB6B32"/>
    <w:rsid w:val="00BC31F3"/>
    <w:rsid w:val="00BC3A7D"/>
    <w:rsid w:val="00BC4534"/>
    <w:rsid w:val="00BC7443"/>
    <w:rsid w:val="00BC756A"/>
    <w:rsid w:val="00BC7D44"/>
    <w:rsid w:val="00BD1689"/>
    <w:rsid w:val="00BD63BC"/>
    <w:rsid w:val="00BD6602"/>
    <w:rsid w:val="00BD6BC5"/>
    <w:rsid w:val="00BE40BC"/>
    <w:rsid w:val="00BE4CB6"/>
    <w:rsid w:val="00BE4D68"/>
    <w:rsid w:val="00BE51E2"/>
    <w:rsid w:val="00BE6F7E"/>
    <w:rsid w:val="00BE712B"/>
    <w:rsid w:val="00BF281E"/>
    <w:rsid w:val="00BF7565"/>
    <w:rsid w:val="00C00793"/>
    <w:rsid w:val="00C04353"/>
    <w:rsid w:val="00C0485B"/>
    <w:rsid w:val="00C06191"/>
    <w:rsid w:val="00C06217"/>
    <w:rsid w:val="00C07165"/>
    <w:rsid w:val="00C11456"/>
    <w:rsid w:val="00C1295B"/>
    <w:rsid w:val="00C134F4"/>
    <w:rsid w:val="00C1436D"/>
    <w:rsid w:val="00C218F4"/>
    <w:rsid w:val="00C21CAB"/>
    <w:rsid w:val="00C238B2"/>
    <w:rsid w:val="00C30BCD"/>
    <w:rsid w:val="00C33CD3"/>
    <w:rsid w:val="00C34021"/>
    <w:rsid w:val="00C34599"/>
    <w:rsid w:val="00C35C5B"/>
    <w:rsid w:val="00C361D0"/>
    <w:rsid w:val="00C36FD5"/>
    <w:rsid w:val="00C37963"/>
    <w:rsid w:val="00C37CE2"/>
    <w:rsid w:val="00C406B3"/>
    <w:rsid w:val="00C42D31"/>
    <w:rsid w:val="00C46497"/>
    <w:rsid w:val="00C50284"/>
    <w:rsid w:val="00C511B9"/>
    <w:rsid w:val="00C55C68"/>
    <w:rsid w:val="00C6280A"/>
    <w:rsid w:val="00C71FD9"/>
    <w:rsid w:val="00C74527"/>
    <w:rsid w:val="00C748A8"/>
    <w:rsid w:val="00C75404"/>
    <w:rsid w:val="00C8397A"/>
    <w:rsid w:val="00C868A9"/>
    <w:rsid w:val="00C92389"/>
    <w:rsid w:val="00C96209"/>
    <w:rsid w:val="00C97917"/>
    <w:rsid w:val="00CA0CAC"/>
    <w:rsid w:val="00CA30A6"/>
    <w:rsid w:val="00CA43AB"/>
    <w:rsid w:val="00CA54A4"/>
    <w:rsid w:val="00CB4FD3"/>
    <w:rsid w:val="00CB6EC7"/>
    <w:rsid w:val="00CC0C60"/>
    <w:rsid w:val="00CC1B22"/>
    <w:rsid w:val="00CC26F6"/>
    <w:rsid w:val="00CC5F42"/>
    <w:rsid w:val="00CC784C"/>
    <w:rsid w:val="00CD1C4B"/>
    <w:rsid w:val="00CD203E"/>
    <w:rsid w:val="00CD55CA"/>
    <w:rsid w:val="00CD60A1"/>
    <w:rsid w:val="00CD6E2F"/>
    <w:rsid w:val="00CD7763"/>
    <w:rsid w:val="00CE0890"/>
    <w:rsid w:val="00CE0F05"/>
    <w:rsid w:val="00CE294E"/>
    <w:rsid w:val="00CE2C7F"/>
    <w:rsid w:val="00CE56A3"/>
    <w:rsid w:val="00CE7A99"/>
    <w:rsid w:val="00CF2C6C"/>
    <w:rsid w:val="00CF2C87"/>
    <w:rsid w:val="00CF3707"/>
    <w:rsid w:val="00CF449C"/>
    <w:rsid w:val="00CF6651"/>
    <w:rsid w:val="00CF7741"/>
    <w:rsid w:val="00CF7B41"/>
    <w:rsid w:val="00D004EA"/>
    <w:rsid w:val="00D01181"/>
    <w:rsid w:val="00D01651"/>
    <w:rsid w:val="00D0271F"/>
    <w:rsid w:val="00D03F26"/>
    <w:rsid w:val="00D05787"/>
    <w:rsid w:val="00D10F5E"/>
    <w:rsid w:val="00D1730A"/>
    <w:rsid w:val="00D17DC6"/>
    <w:rsid w:val="00D236EA"/>
    <w:rsid w:val="00D3142C"/>
    <w:rsid w:val="00D334DD"/>
    <w:rsid w:val="00D3380E"/>
    <w:rsid w:val="00D33CDC"/>
    <w:rsid w:val="00D3522C"/>
    <w:rsid w:val="00D36845"/>
    <w:rsid w:val="00D402A2"/>
    <w:rsid w:val="00D40424"/>
    <w:rsid w:val="00D47449"/>
    <w:rsid w:val="00D5006F"/>
    <w:rsid w:val="00D5220A"/>
    <w:rsid w:val="00D52296"/>
    <w:rsid w:val="00D5307C"/>
    <w:rsid w:val="00D60FE1"/>
    <w:rsid w:val="00D644F9"/>
    <w:rsid w:val="00D707FD"/>
    <w:rsid w:val="00D70E22"/>
    <w:rsid w:val="00D72823"/>
    <w:rsid w:val="00D73DD5"/>
    <w:rsid w:val="00D7606D"/>
    <w:rsid w:val="00D81F65"/>
    <w:rsid w:val="00D850FA"/>
    <w:rsid w:val="00D8584D"/>
    <w:rsid w:val="00D867E8"/>
    <w:rsid w:val="00D87C13"/>
    <w:rsid w:val="00D93687"/>
    <w:rsid w:val="00D937AC"/>
    <w:rsid w:val="00D95417"/>
    <w:rsid w:val="00D956B6"/>
    <w:rsid w:val="00DA18C2"/>
    <w:rsid w:val="00DA2AFD"/>
    <w:rsid w:val="00DA5CFA"/>
    <w:rsid w:val="00DA7714"/>
    <w:rsid w:val="00DB53A1"/>
    <w:rsid w:val="00DB76A0"/>
    <w:rsid w:val="00DC0352"/>
    <w:rsid w:val="00DC6583"/>
    <w:rsid w:val="00DD036F"/>
    <w:rsid w:val="00DD295C"/>
    <w:rsid w:val="00DD3B46"/>
    <w:rsid w:val="00DD50FC"/>
    <w:rsid w:val="00DE1005"/>
    <w:rsid w:val="00DE183C"/>
    <w:rsid w:val="00DE5030"/>
    <w:rsid w:val="00DE5F52"/>
    <w:rsid w:val="00DE71F1"/>
    <w:rsid w:val="00DF103F"/>
    <w:rsid w:val="00DF2689"/>
    <w:rsid w:val="00DF3402"/>
    <w:rsid w:val="00DF4B34"/>
    <w:rsid w:val="00DF5851"/>
    <w:rsid w:val="00E03468"/>
    <w:rsid w:val="00E03DEF"/>
    <w:rsid w:val="00E06779"/>
    <w:rsid w:val="00E07B09"/>
    <w:rsid w:val="00E170E9"/>
    <w:rsid w:val="00E17423"/>
    <w:rsid w:val="00E211E5"/>
    <w:rsid w:val="00E23264"/>
    <w:rsid w:val="00E27B2E"/>
    <w:rsid w:val="00E27E33"/>
    <w:rsid w:val="00E30564"/>
    <w:rsid w:val="00E306D7"/>
    <w:rsid w:val="00E31EF6"/>
    <w:rsid w:val="00E325E0"/>
    <w:rsid w:val="00E3318A"/>
    <w:rsid w:val="00E33AAE"/>
    <w:rsid w:val="00E40FB4"/>
    <w:rsid w:val="00E436FD"/>
    <w:rsid w:val="00E4550B"/>
    <w:rsid w:val="00E45579"/>
    <w:rsid w:val="00E45A92"/>
    <w:rsid w:val="00E4691E"/>
    <w:rsid w:val="00E475EF"/>
    <w:rsid w:val="00E5546C"/>
    <w:rsid w:val="00E567D3"/>
    <w:rsid w:val="00E61085"/>
    <w:rsid w:val="00E6295A"/>
    <w:rsid w:val="00E71B18"/>
    <w:rsid w:val="00E74943"/>
    <w:rsid w:val="00E91076"/>
    <w:rsid w:val="00E91BA4"/>
    <w:rsid w:val="00E91E36"/>
    <w:rsid w:val="00E954CB"/>
    <w:rsid w:val="00EA2323"/>
    <w:rsid w:val="00EA2EF6"/>
    <w:rsid w:val="00EA3A92"/>
    <w:rsid w:val="00EA6445"/>
    <w:rsid w:val="00EB3067"/>
    <w:rsid w:val="00EB43B9"/>
    <w:rsid w:val="00EB78C0"/>
    <w:rsid w:val="00EB7B08"/>
    <w:rsid w:val="00EC2468"/>
    <w:rsid w:val="00EC78D0"/>
    <w:rsid w:val="00ED1F91"/>
    <w:rsid w:val="00ED24C1"/>
    <w:rsid w:val="00ED6CBC"/>
    <w:rsid w:val="00ED6E09"/>
    <w:rsid w:val="00EE44BF"/>
    <w:rsid w:val="00EE78A1"/>
    <w:rsid w:val="00EF0C1C"/>
    <w:rsid w:val="00EF3156"/>
    <w:rsid w:val="00EF4451"/>
    <w:rsid w:val="00EF50E0"/>
    <w:rsid w:val="00EF5B72"/>
    <w:rsid w:val="00EF711C"/>
    <w:rsid w:val="00F028B7"/>
    <w:rsid w:val="00F02E77"/>
    <w:rsid w:val="00F05024"/>
    <w:rsid w:val="00F05F71"/>
    <w:rsid w:val="00F063AD"/>
    <w:rsid w:val="00F064CB"/>
    <w:rsid w:val="00F10354"/>
    <w:rsid w:val="00F10926"/>
    <w:rsid w:val="00F12FCB"/>
    <w:rsid w:val="00F14733"/>
    <w:rsid w:val="00F26577"/>
    <w:rsid w:val="00F34FBF"/>
    <w:rsid w:val="00F373EF"/>
    <w:rsid w:val="00F442A6"/>
    <w:rsid w:val="00F45B96"/>
    <w:rsid w:val="00F4663E"/>
    <w:rsid w:val="00F47ED3"/>
    <w:rsid w:val="00F502E1"/>
    <w:rsid w:val="00F50782"/>
    <w:rsid w:val="00F6120C"/>
    <w:rsid w:val="00F644D3"/>
    <w:rsid w:val="00F649F5"/>
    <w:rsid w:val="00F66274"/>
    <w:rsid w:val="00F73D2A"/>
    <w:rsid w:val="00F75092"/>
    <w:rsid w:val="00F75507"/>
    <w:rsid w:val="00F83981"/>
    <w:rsid w:val="00F8536F"/>
    <w:rsid w:val="00F85472"/>
    <w:rsid w:val="00F86AC8"/>
    <w:rsid w:val="00F86B97"/>
    <w:rsid w:val="00F877B6"/>
    <w:rsid w:val="00F91A14"/>
    <w:rsid w:val="00F95179"/>
    <w:rsid w:val="00F972DE"/>
    <w:rsid w:val="00F97928"/>
    <w:rsid w:val="00FA4C28"/>
    <w:rsid w:val="00FA54ED"/>
    <w:rsid w:val="00FA5D6F"/>
    <w:rsid w:val="00FB3013"/>
    <w:rsid w:val="00FB5628"/>
    <w:rsid w:val="00FC2686"/>
    <w:rsid w:val="00FC3424"/>
    <w:rsid w:val="00FC6B5E"/>
    <w:rsid w:val="00FD396A"/>
    <w:rsid w:val="00FD3C1A"/>
    <w:rsid w:val="00FD3D99"/>
    <w:rsid w:val="00FD40CA"/>
    <w:rsid w:val="00FD438D"/>
    <w:rsid w:val="00FD47E4"/>
    <w:rsid w:val="00FD4858"/>
    <w:rsid w:val="00FE1109"/>
    <w:rsid w:val="00FE1ECA"/>
    <w:rsid w:val="00FE2710"/>
    <w:rsid w:val="00FE2989"/>
    <w:rsid w:val="00FE3161"/>
    <w:rsid w:val="00FE3EFA"/>
    <w:rsid w:val="00FE45B9"/>
    <w:rsid w:val="00FE5FF3"/>
    <w:rsid w:val="00FE643B"/>
    <w:rsid w:val="00FE64AB"/>
    <w:rsid w:val="00FE756E"/>
    <w:rsid w:val="00FF1067"/>
    <w:rsid w:val="00FF1A07"/>
    <w:rsid w:val="00FF5C0D"/>
    <w:rsid w:val="00FF7236"/>
    <w:rsid w:val="00FF7741"/>
    <w:rsid w:val="01161A9A"/>
    <w:rsid w:val="026E6F9B"/>
    <w:rsid w:val="03DE35EF"/>
    <w:rsid w:val="04F7799D"/>
    <w:rsid w:val="06683B10"/>
    <w:rsid w:val="06DA74BD"/>
    <w:rsid w:val="07393EAA"/>
    <w:rsid w:val="073D0CEA"/>
    <w:rsid w:val="075E5771"/>
    <w:rsid w:val="0869448C"/>
    <w:rsid w:val="08780967"/>
    <w:rsid w:val="0923288D"/>
    <w:rsid w:val="0966767D"/>
    <w:rsid w:val="0A171CC6"/>
    <w:rsid w:val="0A8E0D48"/>
    <w:rsid w:val="0ADE6442"/>
    <w:rsid w:val="0AEE57C7"/>
    <w:rsid w:val="0B111744"/>
    <w:rsid w:val="108928EE"/>
    <w:rsid w:val="13016CD9"/>
    <w:rsid w:val="13C977F7"/>
    <w:rsid w:val="14F168A1"/>
    <w:rsid w:val="15181F84"/>
    <w:rsid w:val="16136179"/>
    <w:rsid w:val="179761F4"/>
    <w:rsid w:val="19E35721"/>
    <w:rsid w:val="19E62A6A"/>
    <w:rsid w:val="1A0E23D9"/>
    <w:rsid w:val="1B056FA6"/>
    <w:rsid w:val="1B561B8A"/>
    <w:rsid w:val="1B656D35"/>
    <w:rsid w:val="1B947CCE"/>
    <w:rsid w:val="1BE85403"/>
    <w:rsid w:val="1C392ACF"/>
    <w:rsid w:val="1C5E72D6"/>
    <w:rsid w:val="1C9631B6"/>
    <w:rsid w:val="1CBB4733"/>
    <w:rsid w:val="1DB210B4"/>
    <w:rsid w:val="1E0170D3"/>
    <w:rsid w:val="1E176E6D"/>
    <w:rsid w:val="1EB043D2"/>
    <w:rsid w:val="1FBA3746"/>
    <w:rsid w:val="217D32FC"/>
    <w:rsid w:val="21FA5B91"/>
    <w:rsid w:val="25834542"/>
    <w:rsid w:val="25E53141"/>
    <w:rsid w:val="25F767DC"/>
    <w:rsid w:val="260C2ECE"/>
    <w:rsid w:val="28072D06"/>
    <w:rsid w:val="28652973"/>
    <w:rsid w:val="29A9133E"/>
    <w:rsid w:val="29B34659"/>
    <w:rsid w:val="2A186697"/>
    <w:rsid w:val="2A222295"/>
    <w:rsid w:val="2ABA1D52"/>
    <w:rsid w:val="2AEF3255"/>
    <w:rsid w:val="2B28375B"/>
    <w:rsid w:val="2B4324C3"/>
    <w:rsid w:val="2B6C5576"/>
    <w:rsid w:val="2B6E6CAA"/>
    <w:rsid w:val="2B7606C6"/>
    <w:rsid w:val="2D7921CC"/>
    <w:rsid w:val="2E49178A"/>
    <w:rsid w:val="2E5D2BBE"/>
    <w:rsid w:val="2F63746F"/>
    <w:rsid w:val="2F9E416C"/>
    <w:rsid w:val="311B5125"/>
    <w:rsid w:val="31E755C0"/>
    <w:rsid w:val="32111F1D"/>
    <w:rsid w:val="35235397"/>
    <w:rsid w:val="35266576"/>
    <w:rsid w:val="355B6C0F"/>
    <w:rsid w:val="369260AD"/>
    <w:rsid w:val="37D7646D"/>
    <w:rsid w:val="386C2B80"/>
    <w:rsid w:val="38A72358"/>
    <w:rsid w:val="38C426CE"/>
    <w:rsid w:val="39027277"/>
    <w:rsid w:val="3971096A"/>
    <w:rsid w:val="397F1976"/>
    <w:rsid w:val="39F655DF"/>
    <w:rsid w:val="3A211641"/>
    <w:rsid w:val="3AA80595"/>
    <w:rsid w:val="3AEC5CF5"/>
    <w:rsid w:val="3B5E435E"/>
    <w:rsid w:val="3C57255C"/>
    <w:rsid w:val="3C9E527C"/>
    <w:rsid w:val="3D047F80"/>
    <w:rsid w:val="3E691DE9"/>
    <w:rsid w:val="3E9167AC"/>
    <w:rsid w:val="3F4B7F0F"/>
    <w:rsid w:val="410F6C78"/>
    <w:rsid w:val="413D3239"/>
    <w:rsid w:val="418C02C8"/>
    <w:rsid w:val="425828A0"/>
    <w:rsid w:val="4292190E"/>
    <w:rsid w:val="42D472BA"/>
    <w:rsid w:val="4338699F"/>
    <w:rsid w:val="43A674EE"/>
    <w:rsid w:val="43B327F7"/>
    <w:rsid w:val="43FA626A"/>
    <w:rsid w:val="4495671A"/>
    <w:rsid w:val="455B36E5"/>
    <w:rsid w:val="463E49BE"/>
    <w:rsid w:val="464078D3"/>
    <w:rsid w:val="46A474C9"/>
    <w:rsid w:val="46B07D2F"/>
    <w:rsid w:val="478D45F2"/>
    <w:rsid w:val="4985326B"/>
    <w:rsid w:val="49BA3C16"/>
    <w:rsid w:val="4AED5347"/>
    <w:rsid w:val="4CEC4311"/>
    <w:rsid w:val="4CF96DDA"/>
    <w:rsid w:val="4DB622F0"/>
    <w:rsid w:val="4DFE60AA"/>
    <w:rsid w:val="4E4446C6"/>
    <w:rsid w:val="4F243F53"/>
    <w:rsid w:val="4FA15887"/>
    <w:rsid w:val="4FED385A"/>
    <w:rsid w:val="51586419"/>
    <w:rsid w:val="51EA50B1"/>
    <w:rsid w:val="525A1D1D"/>
    <w:rsid w:val="52683A48"/>
    <w:rsid w:val="528608AB"/>
    <w:rsid w:val="53517756"/>
    <w:rsid w:val="54071A30"/>
    <w:rsid w:val="54180096"/>
    <w:rsid w:val="56E436DA"/>
    <w:rsid w:val="56EE7C13"/>
    <w:rsid w:val="582C5F09"/>
    <w:rsid w:val="582F01FA"/>
    <w:rsid w:val="599C49B9"/>
    <w:rsid w:val="5CCD2577"/>
    <w:rsid w:val="5E027C06"/>
    <w:rsid w:val="5E8E347A"/>
    <w:rsid w:val="5F143EC1"/>
    <w:rsid w:val="5F422812"/>
    <w:rsid w:val="603F0748"/>
    <w:rsid w:val="629E7A48"/>
    <w:rsid w:val="65C90630"/>
    <w:rsid w:val="6785748D"/>
    <w:rsid w:val="68E95AA0"/>
    <w:rsid w:val="69184EE1"/>
    <w:rsid w:val="693469CC"/>
    <w:rsid w:val="69A119B2"/>
    <w:rsid w:val="6C7D20A2"/>
    <w:rsid w:val="6D9F6377"/>
    <w:rsid w:val="6EA2275C"/>
    <w:rsid w:val="6EB8444E"/>
    <w:rsid w:val="6F7B5355"/>
    <w:rsid w:val="70076BE8"/>
    <w:rsid w:val="7076459B"/>
    <w:rsid w:val="72491EE4"/>
    <w:rsid w:val="74561EEC"/>
    <w:rsid w:val="751E6FE0"/>
    <w:rsid w:val="754937FF"/>
    <w:rsid w:val="759C4F0A"/>
    <w:rsid w:val="762373A5"/>
    <w:rsid w:val="778F17DF"/>
    <w:rsid w:val="78197E01"/>
    <w:rsid w:val="78600A45"/>
    <w:rsid w:val="78AF6D3C"/>
    <w:rsid w:val="7A0559C3"/>
    <w:rsid w:val="7A755C23"/>
    <w:rsid w:val="7A761FD9"/>
    <w:rsid w:val="7C392845"/>
    <w:rsid w:val="7C74451B"/>
    <w:rsid w:val="7CFC230E"/>
    <w:rsid w:val="7D1863D4"/>
    <w:rsid w:val="7D3E79C1"/>
    <w:rsid w:val="7E164407"/>
    <w:rsid w:val="7F272E03"/>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5"/>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semiHidden/>
    <w:unhideWhenUsed/>
    <w:qFormat/>
    <w:uiPriority w:val="99"/>
    <w:pPr>
      <w:jc w:val="left"/>
    </w:pPr>
  </w:style>
  <w:style w:type="paragraph" w:styleId="4">
    <w:name w:val="Balloon Text"/>
    <w:basedOn w:val="1"/>
    <w:link w:val="23"/>
    <w:autoRedefine/>
    <w:semiHidden/>
    <w:unhideWhenUsed/>
    <w:qFormat/>
    <w:uiPriority w:val="99"/>
    <w:rPr>
      <w:sz w:val="18"/>
      <w:szCs w:val="18"/>
    </w:rPr>
  </w:style>
  <w:style w:type="paragraph" w:styleId="5">
    <w:name w:val="footer"/>
    <w:basedOn w:val="1"/>
    <w:link w:val="20"/>
    <w:autoRedefine/>
    <w:unhideWhenUsed/>
    <w:qFormat/>
    <w:uiPriority w:val="99"/>
    <w:pPr>
      <w:tabs>
        <w:tab w:val="center" w:pos="4153"/>
        <w:tab w:val="right" w:pos="8306"/>
      </w:tabs>
      <w:snapToGrid w:val="0"/>
      <w:jc w:val="left"/>
    </w:pPr>
    <w:rPr>
      <w:sz w:val="18"/>
      <w:szCs w:val="18"/>
    </w:rPr>
  </w:style>
  <w:style w:type="paragraph" w:styleId="6">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338DE6"/>
      <w:u w:val="none"/>
    </w:rPr>
  </w:style>
  <w:style w:type="character" w:styleId="14">
    <w:name w:val="annotation reference"/>
    <w:basedOn w:val="12"/>
    <w:autoRedefine/>
    <w:semiHidden/>
    <w:unhideWhenUsed/>
    <w:qFormat/>
    <w:uiPriority w:val="99"/>
    <w:rPr>
      <w:sz w:val="21"/>
      <w:szCs w:val="21"/>
    </w:rPr>
  </w:style>
  <w:style w:type="character" w:customStyle="1" w:styleId="15">
    <w:name w:val="标题 1 Char"/>
    <w:basedOn w:val="12"/>
    <w:link w:val="2"/>
    <w:autoRedefine/>
    <w:qFormat/>
    <w:uiPriority w:val="9"/>
    <w:rPr>
      <w:rFonts w:ascii="宋体" w:hAnsi="宋体" w:eastAsia="宋体" w:cs="宋体"/>
      <w:b/>
      <w:bCs/>
      <w:kern w:val="36"/>
      <w:sz w:val="48"/>
      <w:szCs w:val="48"/>
    </w:rPr>
  </w:style>
  <w:style w:type="paragraph" w:customStyle="1" w:styleId="16">
    <w:name w:val="md-siz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md-size1"/>
    <w:basedOn w:val="12"/>
    <w:autoRedefine/>
    <w:qFormat/>
    <w:uiPriority w:val="0"/>
  </w:style>
  <w:style w:type="character" w:customStyle="1" w:styleId="18">
    <w:name w:val="apple-converted-space"/>
    <w:basedOn w:val="12"/>
    <w:autoRedefine/>
    <w:qFormat/>
    <w:uiPriority w:val="0"/>
  </w:style>
  <w:style w:type="character" w:customStyle="1" w:styleId="19">
    <w:name w:val="页眉 Char"/>
    <w:basedOn w:val="12"/>
    <w:link w:val="6"/>
    <w:autoRedefine/>
    <w:qFormat/>
    <w:uiPriority w:val="99"/>
    <w:rPr>
      <w:sz w:val="18"/>
      <w:szCs w:val="18"/>
    </w:rPr>
  </w:style>
  <w:style w:type="character" w:customStyle="1" w:styleId="20">
    <w:name w:val="页脚 Char"/>
    <w:basedOn w:val="12"/>
    <w:link w:val="5"/>
    <w:autoRedefine/>
    <w:qFormat/>
    <w:uiPriority w:val="99"/>
    <w:rPr>
      <w:sz w:val="18"/>
      <w:szCs w:val="18"/>
    </w:rPr>
  </w:style>
  <w:style w:type="character" w:customStyle="1" w:styleId="21">
    <w:name w:val="批注文字 Char"/>
    <w:basedOn w:val="12"/>
    <w:link w:val="3"/>
    <w:autoRedefine/>
    <w:semiHidden/>
    <w:qFormat/>
    <w:uiPriority w:val="99"/>
  </w:style>
  <w:style w:type="character" w:customStyle="1" w:styleId="22">
    <w:name w:val="批注主题 Char"/>
    <w:basedOn w:val="21"/>
    <w:link w:val="9"/>
    <w:autoRedefine/>
    <w:semiHidden/>
    <w:qFormat/>
    <w:uiPriority w:val="99"/>
    <w:rPr>
      <w:b/>
      <w:bCs/>
    </w:rPr>
  </w:style>
  <w:style w:type="character" w:customStyle="1" w:styleId="23">
    <w:name w:val="批注框文本 Char"/>
    <w:basedOn w:val="12"/>
    <w:link w:val="4"/>
    <w:autoRedefine/>
    <w:semiHidden/>
    <w:qFormat/>
    <w:uiPriority w:val="99"/>
    <w:rPr>
      <w:sz w:val="18"/>
      <w:szCs w:val="18"/>
    </w:rPr>
  </w:style>
  <w:style w:type="paragraph" w:customStyle="1" w:styleId="24">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007楷体加粗"/>
    <w:basedOn w:val="1"/>
    <w:autoRedefine/>
    <w:qFormat/>
    <w:uiPriority w:val="0"/>
    <w:pPr>
      <w:overflowPunct w:val="0"/>
      <w:autoSpaceDE w:val="0"/>
      <w:autoSpaceDN w:val="0"/>
      <w:spacing w:before="50" w:beforeLines="50" w:after="50" w:afterLines="50" w:line="360" w:lineRule="auto"/>
      <w:ind w:firstLine="200" w:firstLineChars="200"/>
    </w:pPr>
    <w:rPr>
      <w:rFonts w:ascii="楷体" w:hAnsi="楷体" w:eastAsia="楷体" w:cs="Times New Roman"/>
      <w:b/>
      <w:sz w:val="24"/>
      <w:szCs w:val="24"/>
    </w:rPr>
  </w:style>
  <w:style w:type="paragraph" w:styleId="26">
    <w:name w:val="List Paragraph"/>
    <w:basedOn w:val="1"/>
    <w:autoRedefine/>
    <w:qFormat/>
    <w:uiPriority w:val="34"/>
    <w:pPr>
      <w:ind w:firstLine="420" w:firstLineChars="200"/>
    </w:pPr>
  </w:style>
  <w:style w:type="paragraph" w:customStyle="1" w:styleId="27">
    <w:name w:val="Default"/>
    <w:autoRedefine/>
    <w:qFormat/>
    <w:uiPriority w:val="0"/>
    <w:pPr>
      <w:widowControl w:val="0"/>
      <w:autoSpaceDE w:val="0"/>
      <w:autoSpaceDN w:val="0"/>
      <w:adjustRightInd w:val="0"/>
    </w:pPr>
    <w:rPr>
      <w:rFonts w:ascii="楷体_GB2312" w:eastAsia="楷体_GB2312" w:cs="楷体_GB2312" w:hAnsiTheme="minorHAnsi"/>
      <w:color w:val="000000"/>
      <w:sz w:val="24"/>
      <w:szCs w:val="24"/>
      <w:lang w:val="en-US" w:eastAsia="zh-CN" w:bidi="ar-SA"/>
    </w:rPr>
  </w:style>
  <w:style w:type="paragraph" w:customStyle="1" w:styleId="28">
    <w:name w:val="005正文"/>
    <w:basedOn w:val="1"/>
    <w:link w:val="29"/>
    <w:autoRedefine/>
    <w:qFormat/>
    <w:uiPriority w:val="0"/>
    <w:pPr>
      <w:spacing w:before="50" w:beforeLines="50" w:line="360" w:lineRule="auto"/>
      <w:ind w:firstLine="200" w:firstLineChars="200"/>
    </w:pPr>
    <w:rPr>
      <w:rFonts w:ascii="Times New Roman" w:hAnsi="Times New Roman" w:eastAsia="宋体" w:cs="Times New Roman"/>
      <w:sz w:val="24"/>
    </w:rPr>
  </w:style>
  <w:style w:type="character" w:customStyle="1" w:styleId="29">
    <w:name w:val="005正文 Char"/>
    <w:link w:val="28"/>
    <w:autoRedefine/>
    <w:qFormat/>
    <w:uiPriority w:val="0"/>
    <w:rPr>
      <w:rFonts w:ascii="Times New Roman" w:hAnsi="Times New Roman" w:eastAsia="宋体" w:cs="Times New Roman"/>
      <w:sz w:val="24"/>
    </w:rPr>
  </w:style>
  <w:style w:type="character" w:customStyle="1" w:styleId="30">
    <w:name w:val="first-child"/>
    <w:basedOn w:val="12"/>
    <w:qFormat/>
    <w:uiPriority w:val="0"/>
  </w:style>
  <w:style w:type="character" w:customStyle="1" w:styleId="31">
    <w:name w:val="first-child1"/>
    <w:basedOn w:val="12"/>
    <w:qFormat/>
    <w:uiPriority w:val="0"/>
  </w:style>
  <w:style w:type="character" w:customStyle="1" w:styleId="32">
    <w:name w:val="desc_ld32s"/>
    <w:basedOn w:val="12"/>
    <w:qFormat/>
    <w:uiPriority w:val="0"/>
    <w:rPr>
      <w:color w:val="333333"/>
    </w:rPr>
  </w:style>
  <w:style w:type="character" w:customStyle="1" w:styleId="33">
    <w:name w:val="type_kly9r"/>
    <w:basedOn w:val="12"/>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1567</Words>
  <Characters>1634</Characters>
  <Lines>12</Lines>
  <Paragraphs>3</Paragraphs>
  <TotalTime>51</TotalTime>
  <ScaleCrop>false</ScaleCrop>
  <LinksUpToDate>false</LinksUpToDate>
  <CharactersWithSpaces>1676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2023-04-06T11:54:00Z</dcterms:created>
  <dc:creator>王锦涛</dc:creator>
  <cp:lastModifiedBy>feish</cp:lastModifiedBy>
  <cp:lastPrinted>2024-02-22T04:26:00Z</cp:lastPrinted>
  <dcterms:modified xsi:type="dcterms:W3CDTF">2024-11-23T07:41:40Z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6234F9E6CADB4F6188D6B296F2D75CEB_13</vt:lpwstr>
  </property>
</Properties>
</file>