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62A0E">
      <w:pPr>
        <w:ind w:firstLine="120" w:firstLineChars="50"/>
        <w:rPr>
          <w:rFonts w:ascii="宋体" w:hAnsi="宋体"/>
          <w:b/>
          <w:bCs/>
          <w:iCs/>
          <w:color w:val="000000"/>
        </w:rPr>
      </w:pPr>
      <w:r>
        <w:rPr>
          <w:bCs/>
          <w:iCs/>
          <w:color w:val="000000"/>
        </w:rPr>
        <w:t>证券代码：</w:t>
      </w:r>
      <w:r>
        <w:rPr>
          <w:rFonts w:hint="eastAsia"/>
          <w:bCs/>
          <w:iCs/>
          <w:color w:val="000000"/>
        </w:rPr>
        <w:t>6</w:t>
      </w:r>
      <w:r>
        <w:rPr>
          <w:bCs/>
          <w:iCs/>
          <w:color w:val="000000"/>
        </w:rPr>
        <w:t>88709                                            证券简称：</w:t>
      </w:r>
      <w:r>
        <w:rPr>
          <w:rFonts w:hint="eastAsia"/>
          <w:bCs/>
          <w:iCs/>
          <w:color w:val="000000"/>
        </w:rPr>
        <w:t>成都华微</w:t>
      </w:r>
    </w:p>
    <w:p w14:paraId="0E7A321A">
      <w:pPr>
        <w:spacing w:before="163" w:beforeLines="50"/>
        <w:ind w:firstLine="0" w:firstLineChars="0"/>
        <w:jc w:val="center"/>
        <w:rPr>
          <w:rFonts w:ascii="黑体" w:hAnsi="黑体" w:eastAsia="黑体"/>
          <w:bCs/>
          <w:iCs/>
          <w:color w:val="000000"/>
          <w:sz w:val="32"/>
          <w:szCs w:val="32"/>
        </w:rPr>
      </w:pPr>
      <w:r>
        <w:rPr>
          <w:rFonts w:hint="eastAsia" w:ascii="黑体" w:hAnsi="黑体" w:eastAsia="黑体"/>
          <w:bCs/>
          <w:iCs/>
          <w:color w:val="000000"/>
          <w:sz w:val="32"/>
          <w:szCs w:val="32"/>
        </w:rPr>
        <w:t>成都华微电子科技股份有限公司</w:t>
      </w:r>
    </w:p>
    <w:p w14:paraId="68BEF385">
      <w:pPr>
        <w:spacing w:after="163" w:afterLines="50"/>
        <w:ind w:firstLine="0" w:firstLineChars="0"/>
        <w:jc w:val="center"/>
        <w:rPr>
          <w:rFonts w:ascii="黑体" w:hAnsi="黑体" w:eastAsia="黑体"/>
          <w:bCs/>
          <w:iCs/>
          <w:color w:val="000000"/>
          <w:sz w:val="32"/>
          <w:szCs w:val="32"/>
        </w:rPr>
      </w:pPr>
      <w:r>
        <w:rPr>
          <w:rFonts w:hint="eastAsia" w:ascii="黑体" w:hAnsi="黑体" w:eastAsia="黑体"/>
          <w:bCs/>
          <w:iCs/>
          <w:color w:val="000000"/>
          <w:sz w:val="32"/>
          <w:szCs w:val="32"/>
        </w:rPr>
        <w:t>投资者关系活动记录表</w:t>
      </w:r>
    </w:p>
    <w:p w14:paraId="65DAE8A4">
      <w:pPr>
        <w:spacing w:line="400" w:lineRule="exact"/>
        <w:ind w:firstLine="480"/>
        <w:rPr>
          <w:rFonts w:ascii="宋体" w:hAnsi="宋体"/>
          <w:bCs/>
          <w:iCs/>
          <w:color w:val="000000"/>
        </w:rPr>
      </w:pPr>
      <w:r>
        <w:rPr>
          <w:rFonts w:hint="eastAsia" w:ascii="宋体" w:hAnsi="宋体"/>
          <w:bCs/>
          <w:iCs/>
          <w:color w:val="000000"/>
        </w:rPr>
        <w:t xml:space="preserve">                                                         编号：2</w:t>
      </w:r>
      <w:r>
        <w:rPr>
          <w:rFonts w:ascii="宋体" w:hAnsi="宋体"/>
          <w:bCs/>
          <w:iCs/>
          <w:color w:val="000000"/>
        </w:rPr>
        <w:t>024-00</w:t>
      </w:r>
      <w:r>
        <w:rPr>
          <w:rFonts w:hint="eastAsia" w:ascii="宋体" w:hAnsi="宋体"/>
          <w:bCs/>
          <w:iCs/>
          <w:color w:val="000000"/>
        </w:rPr>
        <w:t>5</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585"/>
      </w:tblGrid>
      <w:tr w14:paraId="50AA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4AB3F574">
            <w:pPr>
              <w:ind w:firstLine="0" w:firstLineChars="0"/>
              <w:rPr>
                <w:rFonts w:ascii="宋体" w:hAnsi="宋体"/>
                <w:bCs/>
                <w:iCs/>
                <w:color w:val="000000"/>
              </w:rPr>
            </w:pPr>
            <w:r>
              <w:rPr>
                <w:rFonts w:hint="eastAsia" w:ascii="宋体" w:hAnsi="宋体"/>
                <w:bCs/>
                <w:iCs/>
                <w:color w:val="000000"/>
              </w:rPr>
              <w:t>投资者关系活动类别</w:t>
            </w:r>
          </w:p>
          <w:p w14:paraId="36E73A99">
            <w:pPr>
              <w:ind w:firstLine="0" w:firstLineChars="0"/>
              <w:rPr>
                <w:rFonts w:ascii="宋体" w:hAnsi="宋体"/>
                <w:bCs/>
                <w:iCs/>
                <w:color w:val="000000"/>
              </w:rPr>
            </w:pPr>
          </w:p>
        </w:tc>
        <w:tc>
          <w:tcPr>
            <w:tcW w:w="7585" w:type="dxa"/>
            <w:tcBorders>
              <w:top w:val="single" w:color="auto" w:sz="4" w:space="0"/>
              <w:left w:val="single" w:color="auto" w:sz="4" w:space="0"/>
              <w:bottom w:val="single" w:color="auto" w:sz="4" w:space="0"/>
              <w:right w:val="single" w:color="auto" w:sz="4" w:space="0"/>
            </w:tcBorders>
            <w:shd w:val="clear" w:color="auto" w:fill="auto"/>
          </w:tcPr>
          <w:p w14:paraId="043A969B">
            <w:pPr>
              <w:spacing w:line="480" w:lineRule="atLeast"/>
              <w:ind w:firstLine="240" w:firstLineChars="100"/>
              <w:rPr>
                <w:rFonts w:ascii="宋体" w:hAnsi="宋体"/>
                <w:bCs/>
                <w:iCs/>
                <w:color w:val="000000"/>
              </w:rPr>
            </w:pPr>
            <w:r>
              <w:rPr>
                <w:rFonts w:hint="eastAsia" w:ascii="宋体" w:hAnsi="宋体"/>
                <w:bCs/>
                <w:iCs/>
                <w:color w:val="000000"/>
              </w:rPr>
              <w:t>■</w:t>
            </w:r>
            <w:r>
              <w:rPr>
                <w:rFonts w:hint="eastAsia" w:ascii="宋体" w:hAnsi="宋体"/>
              </w:rPr>
              <w:t xml:space="preserve">特定对象调研    </w:t>
            </w:r>
            <w:r>
              <w:rPr>
                <w:rFonts w:ascii="宋体" w:hAnsi="宋体"/>
              </w:rPr>
              <w:t xml:space="preserve">      </w:t>
            </w:r>
            <w:r>
              <w:rPr>
                <w:rFonts w:hint="eastAsia" w:ascii="宋体" w:hAnsi="宋体"/>
              </w:rPr>
              <w:t xml:space="preserve">    </w:t>
            </w:r>
            <w:r>
              <w:rPr>
                <w:rFonts w:hint="eastAsia" w:ascii="宋体" w:hAnsi="宋体"/>
                <w:bCs/>
                <w:iCs/>
                <w:color w:val="000000"/>
              </w:rPr>
              <w:t>□</w:t>
            </w:r>
            <w:r>
              <w:rPr>
                <w:rFonts w:hint="eastAsia" w:ascii="宋体" w:hAnsi="宋体"/>
              </w:rPr>
              <w:t>分析师会议</w:t>
            </w:r>
          </w:p>
          <w:p w14:paraId="3CABDA8F">
            <w:pPr>
              <w:spacing w:line="480" w:lineRule="atLeast"/>
              <w:ind w:firstLine="240" w:firstLineChars="100"/>
              <w:rPr>
                <w:rFonts w:ascii="宋体" w:hAnsi="宋体"/>
                <w:bCs/>
                <w:iCs/>
                <w:color w:val="000000"/>
              </w:rPr>
            </w:pPr>
            <w:r>
              <w:rPr>
                <w:rFonts w:hint="eastAsia" w:ascii="宋体" w:hAnsi="宋体"/>
                <w:bCs/>
                <w:iCs/>
                <w:color w:val="000000"/>
              </w:rPr>
              <w:t>□</w:t>
            </w:r>
            <w:r>
              <w:rPr>
                <w:rFonts w:hint="eastAsia" w:ascii="宋体" w:hAnsi="宋体"/>
              </w:rPr>
              <w:t xml:space="preserve">媒体采访        </w:t>
            </w:r>
            <w:r>
              <w:rPr>
                <w:rFonts w:ascii="宋体" w:hAnsi="宋体"/>
              </w:rPr>
              <w:t xml:space="preserve">      </w:t>
            </w:r>
            <w:r>
              <w:rPr>
                <w:rFonts w:hint="eastAsia" w:ascii="宋体" w:hAnsi="宋体"/>
              </w:rPr>
              <w:t xml:space="preserve">    </w:t>
            </w:r>
            <w:r>
              <w:rPr>
                <w:rFonts w:hint="eastAsia" w:ascii="宋体" w:hAnsi="宋体"/>
                <w:bCs/>
                <w:iCs/>
                <w:color w:val="000000"/>
              </w:rPr>
              <w:t>□</w:t>
            </w:r>
            <w:r>
              <w:rPr>
                <w:rFonts w:hint="eastAsia" w:ascii="宋体" w:hAnsi="宋体"/>
              </w:rPr>
              <w:t>业绩说明会</w:t>
            </w:r>
          </w:p>
          <w:p w14:paraId="4AFF95B6">
            <w:pPr>
              <w:spacing w:line="480" w:lineRule="atLeast"/>
              <w:ind w:firstLine="240" w:firstLineChars="100"/>
              <w:rPr>
                <w:rFonts w:ascii="宋体" w:hAnsi="宋体"/>
                <w:bCs/>
                <w:iCs/>
                <w:color w:val="000000"/>
              </w:rPr>
            </w:pPr>
            <w:r>
              <w:rPr>
                <w:rFonts w:hint="eastAsia" w:ascii="宋体" w:hAnsi="宋体"/>
                <w:bCs/>
                <w:iCs/>
                <w:color w:val="000000"/>
              </w:rPr>
              <w:t>□</w:t>
            </w:r>
            <w:r>
              <w:rPr>
                <w:rFonts w:hint="eastAsia" w:ascii="宋体" w:hAnsi="宋体"/>
              </w:rPr>
              <w:t xml:space="preserve">新闻发布会        </w:t>
            </w:r>
            <w:r>
              <w:rPr>
                <w:rFonts w:ascii="宋体" w:hAnsi="宋体"/>
              </w:rPr>
              <w:t xml:space="preserve">      </w:t>
            </w:r>
            <w:r>
              <w:rPr>
                <w:rFonts w:hint="eastAsia" w:ascii="宋体" w:hAnsi="宋体"/>
              </w:rPr>
              <w:t xml:space="preserve">  </w:t>
            </w:r>
            <w:r>
              <w:rPr>
                <w:rFonts w:hint="eastAsia" w:ascii="宋体" w:hAnsi="宋体"/>
                <w:bCs/>
                <w:iCs/>
                <w:color w:val="000000"/>
              </w:rPr>
              <w:t>□</w:t>
            </w:r>
            <w:r>
              <w:rPr>
                <w:rFonts w:hint="eastAsia" w:ascii="宋体" w:hAnsi="宋体"/>
              </w:rPr>
              <w:t>路演活动</w:t>
            </w:r>
          </w:p>
          <w:p w14:paraId="00880D6A">
            <w:pPr>
              <w:tabs>
                <w:tab w:val="left" w:pos="3045"/>
                <w:tab w:val="center" w:pos="3199"/>
              </w:tabs>
              <w:spacing w:line="480" w:lineRule="atLeast"/>
              <w:ind w:firstLine="240" w:firstLineChars="100"/>
              <w:rPr>
                <w:rFonts w:ascii="宋体" w:hAnsi="宋体"/>
                <w:bCs/>
                <w:iCs/>
                <w:color w:val="000000"/>
              </w:rPr>
            </w:pPr>
            <w:r>
              <w:rPr>
                <w:rFonts w:hint="eastAsia" w:ascii="宋体" w:hAnsi="宋体"/>
                <w:bCs/>
                <w:iCs/>
                <w:color w:val="000000"/>
              </w:rPr>
              <w:t>■</w:t>
            </w:r>
            <w:r>
              <w:rPr>
                <w:rFonts w:hint="eastAsia" w:ascii="宋体" w:hAnsi="宋体"/>
              </w:rPr>
              <w:t>现场参观</w:t>
            </w:r>
            <w:r>
              <w:rPr>
                <w:rFonts w:hint="eastAsia" w:ascii="宋体" w:hAnsi="宋体"/>
                <w:bCs/>
                <w:iCs/>
                <w:color w:val="000000"/>
              </w:rPr>
              <w:tab/>
            </w:r>
          </w:p>
          <w:p w14:paraId="7066650E">
            <w:pPr>
              <w:tabs>
                <w:tab w:val="center" w:pos="3199"/>
              </w:tabs>
              <w:spacing w:line="480" w:lineRule="atLeast"/>
              <w:ind w:firstLine="240" w:firstLineChars="100"/>
              <w:rPr>
                <w:rFonts w:ascii="宋体" w:hAnsi="宋体"/>
                <w:bCs/>
                <w:iCs/>
                <w:color w:val="000000"/>
              </w:rPr>
            </w:pPr>
            <w:r>
              <w:rPr>
                <w:rFonts w:hint="eastAsia" w:ascii="宋体" w:hAnsi="宋体"/>
                <w:bCs/>
                <w:iCs/>
                <w:color w:val="000000"/>
              </w:rPr>
              <w:t>□</w:t>
            </w:r>
            <w:r>
              <w:rPr>
                <w:rFonts w:hint="eastAsia" w:ascii="宋体" w:hAnsi="宋体"/>
              </w:rPr>
              <w:t>其他 （</w:t>
            </w:r>
            <w:r>
              <w:rPr>
                <w:rFonts w:hint="eastAsia" w:ascii="宋体" w:hAnsi="宋体"/>
                <w:u w:val="single"/>
              </w:rPr>
              <w:t>请文字说明其他活动内容）</w:t>
            </w:r>
          </w:p>
        </w:tc>
      </w:tr>
      <w:tr w14:paraId="59F5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77FA579D">
            <w:pPr>
              <w:ind w:firstLine="0" w:firstLineChars="0"/>
              <w:rPr>
                <w:rFonts w:ascii="宋体" w:hAnsi="宋体"/>
                <w:bCs/>
                <w:iCs/>
                <w:color w:val="000000"/>
              </w:rPr>
            </w:pPr>
            <w:r>
              <w:rPr>
                <w:rFonts w:hint="eastAsia" w:ascii="宋体" w:hAnsi="宋体"/>
                <w:bCs/>
                <w:iCs/>
                <w:color w:val="000000"/>
              </w:rPr>
              <w:t>参与单位名称及人员姓名</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7C2CB5BD">
            <w:pPr>
              <w:spacing w:line="480" w:lineRule="atLeast"/>
              <w:ind w:firstLine="0" w:firstLineChars="0"/>
              <w:rPr>
                <w:rFonts w:ascii="宋体" w:hAnsi="宋体"/>
                <w:bCs/>
                <w:iCs/>
                <w:color w:val="000000"/>
              </w:rPr>
            </w:pPr>
            <w:r>
              <w:rPr>
                <w:rFonts w:hint="eastAsia" w:ascii="宋体" w:hAnsi="宋体"/>
                <w:bCs/>
                <w:iCs/>
                <w:color w:val="000000"/>
              </w:rPr>
              <w:t>国盛证券、西部证券、中航证券、博时基金、诺安基金、青骊投资、青岛旅投、中航租赁、金科投资</w:t>
            </w:r>
          </w:p>
        </w:tc>
      </w:tr>
      <w:tr w14:paraId="59C4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4147EA8D">
            <w:pPr>
              <w:ind w:firstLine="0" w:firstLineChars="0"/>
              <w:rPr>
                <w:rFonts w:ascii="宋体" w:hAnsi="宋体"/>
                <w:bCs/>
                <w:iCs/>
                <w:color w:val="000000"/>
              </w:rPr>
            </w:pPr>
            <w:r>
              <w:rPr>
                <w:rFonts w:hint="eastAsia" w:ascii="宋体" w:hAnsi="宋体"/>
                <w:bCs/>
                <w:iCs/>
                <w:color w:val="000000"/>
              </w:rPr>
              <w:t>时间</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51BAD0F2">
            <w:pPr>
              <w:spacing w:line="240" w:lineRule="auto"/>
              <w:ind w:firstLine="0" w:firstLineChars="0"/>
              <w:rPr>
                <w:rFonts w:ascii="宋体" w:hAnsi="宋体"/>
                <w:bCs/>
                <w:iCs/>
                <w:color w:val="000000"/>
              </w:rPr>
            </w:pPr>
            <w:r>
              <w:rPr>
                <w:rFonts w:hint="eastAsia" w:ascii="宋体" w:hAnsi="宋体"/>
                <w:bCs/>
                <w:iCs/>
                <w:color w:val="000000"/>
              </w:rPr>
              <w:t>2</w:t>
            </w:r>
            <w:r>
              <w:rPr>
                <w:rFonts w:ascii="宋体" w:hAnsi="宋体"/>
                <w:bCs/>
                <w:iCs/>
                <w:color w:val="000000"/>
              </w:rPr>
              <w:t>024年11</w:t>
            </w:r>
            <w:r>
              <w:rPr>
                <w:rFonts w:hint="eastAsia" w:ascii="宋体" w:hAnsi="宋体"/>
                <w:bCs/>
                <w:iCs/>
                <w:color w:val="000000"/>
              </w:rPr>
              <w:t>月</w:t>
            </w:r>
            <w:r>
              <w:rPr>
                <w:rFonts w:ascii="宋体" w:hAnsi="宋体"/>
                <w:bCs/>
                <w:iCs/>
                <w:color w:val="000000"/>
              </w:rPr>
              <w:t>20</w:t>
            </w:r>
            <w:r>
              <w:rPr>
                <w:rFonts w:hint="eastAsia" w:ascii="宋体" w:hAnsi="宋体"/>
                <w:bCs/>
                <w:iCs/>
                <w:color w:val="000000"/>
              </w:rPr>
              <w:t>日至2</w:t>
            </w:r>
            <w:r>
              <w:rPr>
                <w:rFonts w:ascii="宋体" w:hAnsi="宋体"/>
                <w:bCs/>
                <w:iCs/>
                <w:color w:val="000000"/>
              </w:rPr>
              <w:t>024年11</w:t>
            </w:r>
            <w:r>
              <w:rPr>
                <w:rFonts w:hint="eastAsia" w:ascii="宋体" w:hAnsi="宋体"/>
                <w:bCs/>
                <w:iCs/>
                <w:color w:val="000000"/>
              </w:rPr>
              <w:t>月</w:t>
            </w:r>
            <w:r>
              <w:rPr>
                <w:rFonts w:ascii="宋体" w:hAnsi="宋体"/>
                <w:bCs/>
                <w:iCs/>
                <w:color w:val="000000"/>
              </w:rPr>
              <w:t>2</w:t>
            </w:r>
            <w:r>
              <w:rPr>
                <w:rFonts w:hint="eastAsia" w:ascii="宋体" w:hAnsi="宋体"/>
                <w:bCs/>
                <w:iCs/>
                <w:color w:val="000000"/>
              </w:rPr>
              <w:t>1日</w:t>
            </w:r>
          </w:p>
        </w:tc>
      </w:tr>
      <w:tr w14:paraId="7A79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45377483">
            <w:pPr>
              <w:ind w:firstLine="0" w:firstLineChars="0"/>
              <w:rPr>
                <w:rFonts w:ascii="宋体" w:hAnsi="宋体"/>
                <w:bCs/>
                <w:iCs/>
                <w:color w:val="000000"/>
              </w:rPr>
            </w:pPr>
            <w:r>
              <w:rPr>
                <w:rFonts w:hint="eastAsia" w:ascii="宋体" w:hAnsi="宋体"/>
                <w:bCs/>
                <w:iCs/>
                <w:color w:val="000000"/>
              </w:rPr>
              <w:t>地点</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36A0C597">
            <w:pPr>
              <w:spacing w:line="240" w:lineRule="auto"/>
              <w:ind w:firstLine="0" w:firstLineChars="0"/>
              <w:rPr>
                <w:rFonts w:ascii="宋体" w:hAnsi="宋体"/>
                <w:bCs/>
                <w:iCs/>
                <w:color w:val="000000"/>
              </w:rPr>
            </w:pPr>
            <w:r>
              <w:rPr>
                <w:rFonts w:hint="eastAsia" w:ascii="宋体" w:hAnsi="宋体"/>
                <w:bCs/>
                <w:iCs/>
                <w:color w:val="000000"/>
              </w:rPr>
              <w:t>成都华微电子科技股份有限公司会议室</w:t>
            </w:r>
          </w:p>
        </w:tc>
      </w:tr>
      <w:tr w14:paraId="1DB0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6E61FB86">
            <w:pPr>
              <w:ind w:firstLine="0" w:firstLineChars="0"/>
              <w:rPr>
                <w:rFonts w:ascii="宋体" w:hAnsi="宋体"/>
                <w:bCs/>
                <w:iCs/>
                <w:color w:val="000000"/>
              </w:rPr>
            </w:pPr>
            <w:r>
              <w:rPr>
                <w:rFonts w:hint="eastAsia" w:ascii="宋体" w:hAnsi="宋体"/>
                <w:bCs/>
                <w:iCs/>
                <w:color w:val="000000"/>
              </w:rPr>
              <w:t>上市公司接待人员姓名</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6A46E514">
            <w:pPr>
              <w:spacing w:line="480" w:lineRule="atLeast"/>
              <w:ind w:firstLine="0" w:firstLineChars="0"/>
              <w:rPr>
                <w:rFonts w:ascii="宋体" w:hAnsi="宋体"/>
                <w:bCs/>
                <w:iCs/>
                <w:color w:val="000000"/>
              </w:rPr>
            </w:pPr>
            <w:r>
              <w:rPr>
                <w:rFonts w:hint="eastAsia" w:ascii="宋体" w:hAnsi="宋体"/>
                <w:bCs/>
                <w:iCs/>
                <w:color w:val="000000"/>
              </w:rPr>
              <w:t>董事会秘书李春妍女士、综合管理部主任李江陵先生、证券事务代表周文明先生、证券事务代表蔡进先生</w:t>
            </w:r>
          </w:p>
        </w:tc>
      </w:tr>
      <w:tr w14:paraId="1C85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13EE1FA8">
            <w:pPr>
              <w:ind w:firstLine="0" w:firstLineChars="0"/>
              <w:rPr>
                <w:rFonts w:ascii="宋体" w:hAnsi="宋体"/>
                <w:bCs/>
                <w:iCs/>
                <w:color w:val="000000"/>
              </w:rPr>
            </w:pPr>
            <w:r>
              <w:rPr>
                <w:rFonts w:hint="eastAsia" w:ascii="宋体" w:hAnsi="宋体"/>
                <w:bCs/>
                <w:iCs/>
                <w:color w:val="000000"/>
              </w:rPr>
              <w:t>投资者关系活动主要内容介绍</w:t>
            </w:r>
          </w:p>
          <w:p w14:paraId="32840CEC">
            <w:pPr>
              <w:ind w:firstLine="0" w:firstLineChars="0"/>
              <w:rPr>
                <w:rFonts w:ascii="宋体" w:hAnsi="宋体"/>
                <w:bCs/>
                <w:iCs/>
                <w:color w:val="000000"/>
              </w:rPr>
            </w:pPr>
          </w:p>
        </w:tc>
        <w:tc>
          <w:tcPr>
            <w:tcW w:w="7585" w:type="dxa"/>
            <w:tcBorders>
              <w:top w:val="single" w:color="auto" w:sz="4" w:space="0"/>
              <w:left w:val="single" w:color="auto" w:sz="4" w:space="0"/>
              <w:bottom w:val="single" w:color="auto" w:sz="4" w:space="0"/>
              <w:right w:val="single" w:color="auto" w:sz="4" w:space="0"/>
            </w:tcBorders>
            <w:shd w:val="clear" w:color="auto" w:fill="auto"/>
          </w:tcPr>
          <w:p w14:paraId="1ED67115">
            <w:pPr>
              <w:spacing w:line="480" w:lineRule="atLeast"/>
              <w:ind w:firstLine="480"/>
              <w:rPr>
                <w:rFonts w:ascii="宋体" w:hAnsi="宋体"/>
                <w:bCs/>
                <w:iCs/>
                <w:color w:val="000000"/>
              </w:rPr>
            </w:pPr>
            <w:r>
              <w:rPr>
                <w:rFonts w:ascii="宋体" w:hAnsi="宋体"/>
                <w:bCs/>
                <w:iCs/>
                <w:color w:val="000000"/>
              </w:rPr>
              <w:t>交流活动中，来访人员</w:t>
            </w:r>
            <w:r>
              <w:rPr>
                <w:rFonts w:hint="eastAsia" w:ascii="宋体" w:hAnsi="宋体"/>
                <w:bCs/>
                <w:iCs/>
                <w:color w:val="000000"/>
              </w:rPr>
              <w:t>现场参观了公司通过中国合格评定国家认可委员会CNAS、国防科技工业实验室认可委员会DiLAC认证的国家级检测中心，详细了解了公司产品的生产流程和技术特点。</w:t>
            </w:r>
          </w:p>
          <w:p w14:paraId="620F450F">
            <w:pPr>
              <w:spacing w:line="480" w:lineRule="atLeast"/>
              <w:ind w:firstLine="480"/>
              <w:rPr>
                <w:rFonts w:ascii="宋体" w:hAnsi="宋体"/>
                <w:bCs/>
                <w:iCs/>
                <w:color w:val="000000"/>
              </w:rPr>
            </w:pPr>
          </w:p>
          <w:p w14:paraId="7CD2BE97">
            <w:pPr>
              <w:spacing w:line="480" w:lineRule="atLeast"/>
              <w:ind w:firstLine="482"/>
              <w:rPr>
                <w:rFonts w:ascii="宋体" w:hAnsi="宋体"/>
                <w:b/>
                <w:bCs/>
                <w:iCs/>
                <w:color w:val="000000"/>
              </w:rPr>
            </w:pPr>
            <w:r>
              <w:rPr>
                <w:rFonts w:ascii="宋体" w:hAnsi="宋体"/>
                <w:b/>
                <w:bCs/>
                <w:iCs/>
                <w:color w:val="000000"/>
              </w:rPr>
              <w:t>一、公司基本情况介绍</w:t>
            </w:r>
          </w:p>
          <w:p w14:paraId="741485AF">
            <w:pPr>
              <w:spacing w:line="480" w:lineRule="atLeast"/>
              <w:ind w:firstLine="480"/>
              <w:rPr>
                <w:rFonts w:ascii="宋体" w:hAnsi="宋体"/>
                <w:bCs/>
                <w:iCs/>
                <w:color w:val="000000"/>
              </w:rPr>
            </w:pPr>
            <w:r>
              <w:rPr>
                <w:rFonts w:hint="eastAsia" w:ascii="宋体" w:hAnsi="宋体"/>
                <w:bCs/>
                <w:iCs/>
                <w:color w:val="000000"/>
              </w:rPr>
              <w:t>公司是国家“909”工程集成电路设计公司，专注于集成电路研发、设计、测试与销售，以提供信号处理与控制系统的整体解决方案为产业发展方向。自“十一五”以来，公司连续承接多项FPGA、ADC、SoC方面的国家科技重大专项和国家重点研发计划，是目前国内少数几家同时承接数字和模拟集成电路国家重大专项的企业。</w:t>
            </w:r>
          </w:p>
          <w:p w14:paraId="427B42C3">
            <w:pPr>
              <w:spacing w:line="480" w:lineRule="atLeast"/>
              <w:ind w:firstLine="480"/>
              <w:rPr>
                <w:rFonts w:ascii="宋体" w:hAnsi="宋体"/>
                <w:bCs/>
                <w:iCs/>
                <w:color w:val="000000"/>
              </w:rPr>
            </w:pPr>
            <w:r>
              <w:rPr>
                <w:rFonts w:hint="eastAsia" w:ascii="宋体" w:hAnsi="宋体"/>
                <w:bCs/>
                <w:iCs/>
                <w:color w:val="000000"/>
              </w:rPr>
              <w:t>目前公司已形成了覆盖可编程逻辑器件（CPLD/FPGA）、数据转换（ADC/DAC）、存储芯片、总线接口、电源管理、微控制器等多系列集成电路产品，这些产品可广泛应用于电子、通信、控制、测量等多个领域。公司建立了特种集成电路检测线，拥有中国合格评定国家认可委员会CNAS、国防科技工业实验室认可委员会DiLAC认证的国家级检测中心，具有较为完备的集成电路成品测试能力。经过多年的市场验证，公司的产品已得到国内特种集成电路行业下游主流厂商的认可，核心产品 CPLD/FPGA、高速高精度ADC以及高精度ADC处于国内领先地位。</w:t>
            </w:r>
          </w:p>
          <w:p w14:paraId="067D961E">
            <w:pPr>
              <w:spacing w:line="480" w:lineRule="atLeast"/>
              <w:ind w:firstLine="482"/>
              <w:rPr>
                <w:rFonts w:ascii="宋体" w:hAnsi="宋体"/>
                <w:b/>
                <w:bCs/>
                <w:iCs/>
                <w:color w:val="000000"/>
              </w:rPr>
            </w:pPr>
          </w:p>
          <w:p w14:paraId="42DFC0DB">
            <w:pPr>
              <w:spacing w:line="480" w:lineRule="atLeast"/>
              <w:ind w:firstLine="482"/>
              <w:rPr>
                <w:rFonts w:ascii="宋体" w:hAnsi="宋体"/>
                <w:b/>
                <w:bCs/>
                <w:iCs/>
                <w:color w:val="000000"/>
              </w:rPr>
            </w:pPr>
            <w:r>
              <w:rPr>
                <w:rFonts w:ascii="宋体" w:hAnsi="宋体"/>
                <w:b/>
                <w:bCs/>
                <w:iCs/>
                <w:color w:val="000000"/>
              </w:rPr>
              <w:t>二、问答情况</w:t>
            </w:r>
          </w:p>
          <w:p w14:paraId="3EC76557">
            <w:pPr>
              <w:spacing w:before="163" w:beforeLines="50" w:line="480" w:lineRule="atLeast"/>
              <w:ind w:firstLine="480"/>
              <w:rPr>
                <w:rFonts w:ascii="宋体" w:hAnsi="宋体"/>
                <w:bCs/>
                <w:iCs/>
                <w:color w:val="000000"/>
              </w:rPr>
            </w:pPr>
            <w:r>
              <w:rPr>
                <w:rFonts w:hint="eastAsia" w:ascii="宋体" w:hAnsi="宋体"/>
                <w:bCs/>
                <w:iCs/>
                <w:color w:val="000000"/>
              </w:rPr>
              <w:t>1</w:t>
            </w:r>
            <w:r>
              <w:rPr>
                <w:rFonts w:ascii="宋体" w:hAnsi="宋体"/>
                <w:bCs/>
                <w:iCs/>
                <w:color w:val="000000"/>
              </w:rPr>
              <w:t>.近期公司产品价格情况如何？</w:t>
            </w:r>
          </w:p>
          <w:p w14:paraId="4D4567CA">
            <w:pPr>
              <w:spacing w:line="480" w:lineRule="atLeast"/>
              <w:ind w:firstLine="480"/>
              <w:rPr>
                <w:rFonts w:ascii="宋体" w:hAnsi="宋体"/>
                <w:bCs/>
                <w:iCs/>
                <w:color w:val="000000"/>
              </w:rPr>
            </w:pPr>
            <w:r>
              <w:rPr>
                <w:rFonts w:hint="eastAsia" w:ascii="宋体" w:hAnsi="宋体"/>
                <w:bCs/>
                <w:iCs/>
                <w:color w:val="000000"/>
              </w:rPr>
              <w:t>答：目前行业整体面临价格下行压力。公司拥有自己的检测平台，</w:t>
            </w:r>
            <w:r>
              <w:rPr>
                <w:rFonts w:ascii="宋体" w:hAnsi="宋体"/>
                <w:bCs/>
                <w:iCs/>
                <w:color w:val="000000"/>
              </w:rPr>
              <w:t>较同行业公司，具有一定的成本控制优势；同时公司作为市场后入者，可以通过</w:t>
            </w:r>
            <w:r>
              <w:rPr>
                <w:rFonts w:hint="eastAsia" w:ascii="宋体" w:hAnsi="宋体"/>
                <w:bCs/>
                <w:iCs/>
                <w:color w:val="000000"/>
              </w:rPr>
              <w:t>适当</w:t>
            </w:r>
            <w:r>
              <w:rPr>
                <w:rFonts w:ascii="宋体" w:hAnsi="宋体"/>
                <w:bCs/>
                <w:iCs/>
                <w:color w:val="000000"/>
              </w:rPr>
              <w:t>控制利润率以获取更大的市场份额</w:t>
            </w:r>
            <w:r>
              <w:rPr>
                <w:rFonts w:hint="eastAsia" w:ascii="宋体" w:hAnsi="宋体"/>
                <w:bCs/>
                <w:iCs/>
                <w:color w:val="000000"/>
              </w:rPr>
              <w:t>；</w:t>
            </w:r>
            <w:r>
              <w:rPr>
                <w:rFonts w:ascii="宋体" w:hAnsi="宋体"/>
                <w:bCs/>
                <w:iCs/>
                <w:color w:val="000000"/>
              </w:rPr>
              <w:t>确保了公司在维护客户关系的同时，</w:t>
            </w:r>
            <w:r>
              <w:rPr>
                <w:rFonts w:hint="eastAsia" w:ascii="宋体" w:hAnsi="宋体"/>
                <w:bCs/>
                <w:iCs/>
                <w:color w:val="000000"/>
              </w:rPr>
              <w:t>具有</w:t>
            </w:r>
            <w:r>
              <w:rPr>
                <w:rFonts w:ascii="宋体" w:hAnsi="宋体"/>
                <w:bCs/>
                <w:iCs/>
                <w:color w:val="000000"/>
              </w:rPr>
              <w:t>强有力的市场竞争力。</w:t>
            </w:r>
            <w:r>
              <w:rPr>
                <w:rFonts w:hint="eastAsia" w:ascii="宋体" w:hAnsi="宋体"/>
                <w:bCs/>
                <w:iCs/>
                <w:color w:val="000000"/>
              </w:rPr>
              <w:t>特种集成电路</w:t>
            </w:r>
            <w:r>
              <w:rPr>
                <w:rFonts w:ascii="宋体" w:hAnsi="宋体"/>
                <w:bCs/>
                <w:iCs/>
                <w:color w:val="000000"/>
              </w:rPr>
              <w:t>市场也有自己的客观发展规律，相信产品价格也会根据其不同</w:t>
            </w:r>
            <w:r>
              <w:rPr>
                <w:rFonts w:hint="eastAsia" w:ascii="宋体" w:hAnsi="宋体"/>
                <w:bCs/>
                <w:iCs/>
                <w:color w:val="000000"/>
              </w:rPr>
              <w:t>特性</w:t>
            </w:r>
            <w:r>
              <w:rPr>
                <w:rFonts w:ascii="宋体" w:hAnsi="宋体"/>
                <w:bCs/>
                <w:iCs/>
                <w:color w:val="000000"/>
              </w:rPr>
              <w:t>和供需</w:t>
            </w:r>
            <w:r>
              <w:rPr>
                <w:rFonts w:hint="eastAsia" w:ascii="宋体" w:hAnsi="宋体"/>
                <w:bCs/>
                <w:iCs/>
                <w:color w:val="000000"/>
              </w:rPr>
              <w:t>关系</w:t>
            </w:r>
            <w:r>
              <w:rPr>
                <w:rFonts w:ascii="宋体" w:hAnsi="宋体"/>
                <w:bCs/>
                <w:iCs/>
                <w:color w:val="000000"/>
              </w:rPr>
              <w:t>，逐渐实现动态平衡。</w:t>
            </w:r>
          </w:p>
          <w:p w14:paraId="0D3352D6">
            <w:pPr>
              <w:spacing w:before="163" w:beforeLines="50" w:line="480" w:lineRule="atLeast"/>
              <w:ind w:firstLine="480"/>
              <w:rPr>
                <w:rFonts w:ascii="宋体" w:hAnsi="宋体"/>
                <w:bCs/>
                <w:iCs/>
                <w:color w:val="000000"/>
              </w:rPr>
            </w:pPr>
            <w:r>
              <w:rPr>
                <w:rFonts w:hint="eastAsia" w:ascii="宋体" w:hAnsi="宋体"/>
                <w:bCs/>
                <w:iCs/>
                <w:color w:val="000000"/>
              </w:rPr>
              <w:t>2</w:t>
            </w:r>
            <w:r>
              <w:rPr>
                <w:rFonts w:ascii="宋体" w:hAnsi="宋体"/>
                <w:bCs/>
                <w:iCs/>
                <w:color w:val="000000"/>
              </w:rPr>
              <w:t>.</w:t>
            </w:r>
            <w:r>
              <w:rPr>
                <w:rFonts w:hint="eastAsia" w:ascii="宋体" w:hAnsi="宋体"/>
                <w:bCs/>
                <w:iCs/>
                <w:color w:val="000000"/>
              </w:rPr>
              <w:t>在存在价格下行压力的情况下，</w:t>
            </w:r>
            <w:r>
              <w:rPr>
                <w:rFonts w:ascii="宋体" w:hAnsi="宋体"/>
                <w:bCs/>
                <w:iCs/>
                <w:color w:val="000000"/>
              </w:rPr>
              <w:t>公司</w:t>
            </w:r>
            <w:r>
              <w:rPr>
                <w:rFonts w:hint="eastAsia" w:ascii="宋体" w:hAnsi="宋体"/>
                <w:bCs/>
                <w:iCs/>
                <w:color w:val="000000"/>
              </w:rPr>
              <w:t>2024年前三季度较2023年毛利率保持稳定</w:t>
            </w:r>
            <w:r>
              <w:rPr>
                <w:rFonts w:ascii="宋体" w:hAnsi="宋体"/>
                <w:bCs/>
                <w:iCs/>
                <w:color w:val="000000"/>
              </w:rPr>
              <w:t>的原因是什么？</w:t>
            </w:r>
            <w:bookmarkStart w:id="0" w:name="_GoBack"/>
            <w:bookmarkEnd w:id="0"/>
          </w:p>
          <w:p w14:paraId="21DF5B9C">
            <w:pPr>
              <w:spacing w:line="480" w:lineRule="atLeast"/>
              <w:ind w:firstLine="480"/>
              <w:rPr>
                <w:rFonts w:ascii="宋体" w:hAnsi="宋体"/>
                <w:bCs/>
                <w:iCs/>
                <w:color w:val="000000"/>
              </w:rPr>
            </w:pPr>
            <w:r>
              <w:rPr>
                <w:rFonts w:ascii="宋体" w:hAnsi="宋体"/>
                <w:bCs/>
                <w:iCs/>
                <w:color w:val="000000"/>
              </w:rPr>
              <w:t>答：</w:t>
            </w:r>
            <w:r>
              <w:rPr>
                <w:rFonts w:hint="eastAsia" w:ascii="宋体" w:hAnsi="宋体"/>
                <w:bCs/>
                <w:iCs/>
                <w:color w:val="000000"/>
              </w:rPr>
              <w:t>公司深耕特种集成电路研发、设计，不断加强研发投入。自“十一五”以来，公司连续承接多项FPGA、ADC、SoC方面的国家科技重大专项和国家重点研发计划，是目前国内少数几家同时承接数字和模拟集成电路国家重大专项的企业。</w:t>
            </w:r>
            <w:r>
              <w:rPr>
                <w:rFonts w:ascii="宋体" w:hAnsi="宋体"/>
                <w:bCs/>
                <w:iCs/>
                <w:color w:val="000000"/>
                <w:sz w:val="24"/>
                <w:szCs w:val="24"/>
                <w:shd w:val="clear" w:color="auto" w:fill="auto"/>
              </w:rPr>
              <w:t>公司所经营的集成电路产品主要应用于特种领域</w:t>
            </w:r>
            <w:r>
              <w:rPr>
                <w:rFonts w:hint="eastAsia" w:ascii="宋体" w:hAnsi="宋体"/>
                <w:bCs/>
                <w:iCs/>
                <w:color w:val="000000"/>
                <w:sz w:val="24"/>
                <w:szCs w:val="24"/>
                <w:shd w:val="clear" w:color="auto" w:fill="auto"/>
              </w:rPr>
              <w:t>，</w:t>
            </w:r>
            <w:r>
              <w:rPr>
                <w:rFonts w:ascii="宋体" w:hAnsi="宋体"/>
                <w:bCs/>
                <w:iCs/>
                <w:color w:val="000000"/>
                <w:sz w:val="24"/>
                <w:szCs w:val="24"/>
                <w:shd w:val="clear" w:color="auto" w:fill="auto"/>
              </w:rPr>
              <w:t>相对于普通工业级集成电路产品，特种领域对集成电路产品的性能要求更高，在稳定性、可靠性等方面需确保接近零缺陷、能够适应不同应用环境等特点，产品技术难度大，前期研发投入与积累较多。</w:t>
            </w:r>
            <w:r>
              <w:rPr>
                <w:rFonts w:hint="eastAsia" w:ascii="宋体" w:hAnsi="宋体"/>
                <w:bCs/>
                <w:iCs/>
                <w:color w:val="000000"/>
              </w:rPr>
              <w:t>公司近年来不断推出新产品且核心产品处于国内领先地位，且拥有中国合格评定国家认可委员会CNAS、国防科技工业实验室认可委员会DiLAC认证的国家级检测中心，自身具有较为完备的集成电路成品测试能力，</w:t>
            </w:r>
            <w:r>
              <w:rPr>
                <w:rFonts w:ascii="宋体" w:hAnsi="宋体"/>
                <w:bCs/>
                <w:iCs/>
                <w:color w:val="000000"/>
                <w:sz w:val="24"/>
                <w:szCs w:val="24"/>
                <w:shd w:val="clear" w:color="auto" w:fill="auto"/>
              </w:rPr>
              <w:t>因此综合毛利率较高</w:t>
            </w:r>
            <w:r>
              <w:rPr>
                <w:rFonts w:hint="eastAsia" w:ascii="宋体" w:hAnsi="宋体"/>
                <w:bCs/>
                <w:iCs/>
                <w:color w:val="000000"/>
              </w:rPr>
              <w:t>。</w:t>
            </w:r>
          </w:p>
          <w:p w14:paraId="752D1C66">
            <w:pPr>
              <w:spacing w:before="163" w:beforeLines="50" w:line="480" w:lineRule="atLeast"/>
              <w:ind w:firstLine="480"/>
              <w:rPr>
                <w:rFonts w:ascii="宋体" w:hAnsi="宋体"/>
                <w:bCs/>
                <w:iCs/>
                <w:color w:val="000000"/>
              </w:rPr>
            </w:pPr>
            <w:r>
              <w:rPr>
                <w:rFonts w:hint="eastAsia" w:ascii="宋体" w:hAnsi="宋体"/>
                <w:bCs/>
                <w:iCs/>
                <w:color w:val="000000"/>
              </w:rPr>
              <w:t>3</w:t>
            </w:r>
            <w:r>
              <w:rPr>
                <w:rFonts w:ascii="宋体" w:hAnsi="宋体"/>
                <w:bCs/>
                <w:iCs/>
                <w:color w:val="000000"/>
              </w:rPr>
              <w:t>.公司</w:t>
            </w:r>
            <w:r>
              <w:rPr>
                <w:rFonts w:hint="eastAsia" w:ascii="宋体" w:hAnsi="宋体"/>
                <w:bCs/>
                <w:iCs/>
                <w:color w:val="000000"/>
              </w:rPr>
              <w:t>参加第二届脑机接口大会暨脑机接口产业联盟第四次全会的具体情况，此外能否介绍一下公司脑机接口相关业务的情况</w:t>
            </w:r>
            <w:r>
              <w:rPr>
                <w:rFonts w:ascii="宋体" w:hAnsi="宋体"/>
                <w:bCs/>
                <w:iCs/>
                <w:color w:val="000000"/>
              </w:rPr>
              <w:t>？</w:t>
            </w:r>
          </w:p>
          <w:p w14:paraId="345CCFD5">
            <w:pPr>
              <w:spacing w:before="0" w:beforeLines="-2147483648" w:line="480" w:lineRule="atLeast"/>
              <w:ind w:firstLine="480"/>
              <w:rPr>
                <w:rFonts w:ascii="宋体" w:hAnsi="宋体"/>
                <w:bCs/>
                <w:iCs/>
                <w:color w:val="000000"/>
              </w:rPr>
            </w:pPr>
            <w:r>
              <w:rPr>
                <w:rFonts w:ascii="宋体" w:hAnsi="宋体"/>
                <w:bCs/>
                <w:iCs/>
                <w:color w:val="000000"/>
              </w:rPr>
              <w:t>答：</w:t>
            </w:r>
            <w:r>
              <w:rPr>
                <w:rFonts w:hint="eastAsia" w:ascii="宋体" w:hAnsi="宋体"/>
                <w:bCs/>
                <w:iCs/>
                <w:color w:val="000000"/>
              </w:rPr>
              <w:t>公司参加第二届脑机接口大会暨脑机接口产业联盟第四次全会，会上公司就集成电路设计领域最新成果与相关同行深度交流，共同探讨脑机接口技术的未来发展方向以及潜在合作机会，重点介绍了公司在脑机接口全信号链相关芯片的布局、设计和研发能力，相关芯片包括信号采集的24位sigma-delta结构高精度ADC，信号处理的低功耗MCU，双精度浮点MCU，高实时处理可编程CPLD/FPGA。公司的研发储备及现有产品具备切入脑机接口产业的基础，未来将</w:t>
            </w:r>
            <w:r>
              <w:rPr>
                <w:rFonts w:hint="eastAsia" w:ascii="宋体" w:hAnsi="宋体" w:eastAsia="宋体"/>
                <w:bCs/>
                <w:iCs/>
                <w:color w:val="000000"/>
                <w:sz w:val="24"/>
                <w:szCs w:val="24"/>
              </w:rPr>
              <w:t>继续深耕集成电路设计领域，积极探索脑机接口等前沿技术的应用与发展，为科技创新和产业发展做出更大贡献。</w:t>
            </w:r>
          </w:p>
          <w:p w14:paraId="6907ABD3">
            <w:pPr>
              <w:spacing w:before="163" w:beforeLines="50" w:line="480" w:lineRule="atLeast"/>
              <w:ind w:firstLine="480"/>
              <w:rPr>
                <w:rFonts w:ascii="宋体" w:hAnsi="宋体"/>
                <w:bCs/>
                <w:iCs/>
                <w:color w:val="000000"/>
              </w:rPr>
            </w:pPr>
            <w:r>
              <w:rPr>
                <w:rFonts w:hint="eastAsia" w:ascii="宋体" w:hAnsi="宋体"/>
                <w:bCs/>
                <w:iCs/>
                <w:color w:val="000000"/>
              </w:rPr>
              <w:t>4</w:t>
            </w:r>
            <w:r>
              <w:rPr>
                <w:rFonts w:ascii="宋体" w:hAnsi="宋体"/>
                <w:bCs/>
                <w:iCs/>
                <w:color w:val="000000"/>
              </w:rPr>
              <w:t>.</w:t>
            </w:r>
            <w:r>
              <w:rPr>
                <w:rFonts w:hint="eastAsia" w:ascii="宋体" w:hAnsi="宋体"/>
                <w:bCs/>
                <w:iCs/>
                <w:color w:val="000000"/>
              </w:rPr>
              <w:t>公司产品在无人机领域的运用如何</w:t>
            </w:r>
            <w:r>
              <w:rPr>
                <w:rFonts w:ascii="宋体" w:hAnsi="宋体"/>
                <w:bCs/>
                <w:iCs/>
                <w:color w:val="000000"/>
              </w:rPr>
              <w:t>？</w:t>
            </w:r>
          </w:p>
          <w:p w14:paraId="32A98969">
            <w:pPr>
              <w:spacing w:before="0" w:beforeLines="-2147483648" w:line="480" w:lineRule="atLeast"/>
              <w:ind w:firstLine="480"/>
              <w:rPr>
                <w:rFonts w:ascii="宋体" w:hAnsi="宋体"/>
                <w:bCs/>
                <w:iCs/>
                <w:color w:val="000000"/>
              </w:rPr>
            </w:pPr>
            <w:r>
              <w:rPr>
                <w:rFonts w:ascii="宋体" w:hAnsi="宋体"/>
                <w:bCs/>
                <w:iCs/>
                <w:color w:val="000000"/>
              </w:rPr>
              <w:t>答：</w:t>
            </w:r>
            <w:r>
              <w:rPr>
                <w:rFonts w:hint="eastAsia" w:ascii="宋体" w:hAnsi="宋体"/>
                <w:bCs/>
                <w:iCs/>
                <w:color w:val="000000"/>
              </w:rPr>
              <w:t>公司产品为通用型芯片，覆盖可编程逻辑器件（CPLD/FPGA）、数据转换（ADC/DAC）、存储芯片、总线接口、电源管理、微控制器等多系列集成电路产品，相关产品均可运用于无人机领域。</w:t>
            </w:r>
          </w:p>
          <w:p w14:paraId="51BD66F5">
            <w:pPr>
              <w:spacing w:before="163" w:beforeLines="50" w:line="480" w:lineRule="atLeast"/>
              <w:ind w:firstLine="480"/>
              <w:rPr>
                <w:rFonts w:ascii="宋体" w:hAnsi="宋体"/>
                <w:bCs/>
                <w:iCs/>
                <w:color w:val="000000"/>
              </w:rPr>
            </w:pPr>
            <w:r>
              <w:rPr>
                <w:rFonts w:hint="eastAsia" w:ascii="宋体" w:hAnsi="宋体"/>
                <w:bCs/>
                <w:iCs/>
                <w:color w:val="000000"/>
              </w:rPr>
              <w:t>5</w:t>
            </w:r>
            <w:r>
              <w:rPr>
                <w:rFonts w:ascii="宋体" w:hAnsi="宋体"/>
                <w:bCs/>
                <w:iCs/>
                <w:color w:val="000000"/>
              </w:rPr>
              <w:t>.公司</w:t>
            </w:r>
            <w:r>
              <w:rPr>
                <w:rFonts w:hint="eastAsia" w:ascii="宋体" w:hAnsi="宋体"/>
                <w:bCs/>
                <w:iCs/>
                <w:color w:val="000000"/>
              </w:rPr>
              <w:t>加入由中国通信建设集团有限公司发起的零碳通信实验室的具体承担哪部分的课题内容</w:t>
            </w:r>
            <w:r>
              <w:rPr>
                <w:rFonts w:ascii="宋体" w:hAnsi="宋体"/>
                <w:bCs/>
                <w:iCs/>
                <w:color w:val="000000"/>
              </w:rPr>
              <w:t>？</w:t>
            </w:r>
          </w:p>
          <w:p w14:paraId="506024F0">
            <w:pPr>
              <w:spacing w:before="0" w:beforeLines="-2147483648" w:line="480" w:lineRule="atLeast"/>
              <w:ind w:firstLine="480"/>
              <w:rPr>
                <w:rFonts w:ascii="宋体" w:hAnsi="宋体"/>
                <w:bCs/>
                <w:iCs/>
                <w:color w:val="000000"/>
              </w:rPr>
            </w:pPr>
            <w:r>
              <w:rPr>
                <w:rFonts w:ascii="宋体" w:hAnsi="宋体"/>
                <w:bCs/>
                <w:iCs/>
                <w:color w:val="000000"/>
              </w:rPr>
              <w:t>答：</w:t>
            </w:r>
            <w:r>
              <w:rPr>
                <w:rFonts w:hint="eastAsia" w:ascii="宋体" w:hAnsi="宋体" w:cs="Times New Roman"/>
                <w:bCs/>
                <w:iCs/>
                <w:color w:val="000000"/>
                <w:sz w:val="24"/>
                <w:szCs w:val="24"/>
              </w:rPr>
              <w:t>零碳信息通信网络联合实验室（以下简称联合实验室）由中国通信建设集团有限公司发起</w:t>
            </w:r>
            <w:r>
              <w:rPr>
                <w:rFonts w:ascii="宋体" w:hAnsi="宋体" w:cs="Times New Roman"/>
                <w:bCs/>
                <w:iCs/>
                <w:color w:val="000000"/>
                <w:kern w:val="2"/>
                <w:sz w:val="24"/>
                <w:szCs w:val="24"/>
                <w:lang w:bidi="ar-SA"/>
              </w:rPr>
              <w:t>并联合清华大学、重庆大学、中国电信</w:t>
            </w:r>
            <w:r>
              <w:rPr>
                <w:rFonts w:hint="eastAsia" w:ascii="宋体" w:hAnsi="宋体" w:cs="Times New Roman"/>
                <w:bCs/>
                <w:iCs/>
                <w:color w:val="000000"/>
                <w:sz w:val="24"/>
                <w:szCs w:val="24"/>
              </w:rPr>
              <w:t>、中国移动</w:t>
            </w:r>
            <w:r>
              <w:rPr>
                <w:rFonts w:ascii="宋体" w:hAnsi="宋体" w:cs="Times New Roman"/>
                <w:bCs/>
                <w:iCs/>
                <w:color w:val="000000"/>
                <w:sz w:val="24"/>
                <w:szCs w:val="24"/>
              </w:rPr>
              <w:t>、国家电网、国能集团、阿里云等多家成员单位共同成立</w:t>
            </w:r>
            <w:r>
              <w:rPr>
                <w:rFonts w:ascii="宋体" w:hAnsi="宋体"/>
                <w:bCs/>
                <w:iCs/>
                <w:color w:val="000000"/>
              </w:rPr>
              <w:t>。在公司与</w:t>
            </w:r>
            <w:r>
              <w:rPr>
                <w:rFonts w:hint="eastAsia" w:ascii="宋体" w:hAnsi="宋体"/>
                <w:bCs/>
                <w:iCs/>
                <w:color w:val="000000"/>
              </w:rPr>
              <w:t>联合实验室共同发起的</w:t>
            </w:r>
            <w:r>
              <w:rPr>
                <w:rFonts w:hint="eastAsia" w:ascii="宋体" w:hAnsi="宋体" w:cs="Times New Roman"/>
                <w:bCs/>
                <w:iCs/>
                <w:color w:val="000000"/>
                <w:sz w:val="24"/>
                <w:szCs w:val="24"/>
              </w:rPr>
              <w:t>“超低功耗芯片技术标准编制工作启动会”</w:t>
            </w:r>
            <w:r>
              <w:rPr>
                <w:rFonts w:hint="eastAsia" w:ascii="宋体" w:hAnsi="宋体"/>
                <w:bCs/>
                <w:iCs/>
                <w:color w:val="000000"/>
              </w:rPr>
              <w:t>上，</w:t>
            </w:r>
            <w:r>
              <w:rPr>
                <w:rFonts w:hint="eastAsia" w:ascii="宋体" w:hAnsi="宋体" w:cs="Times New Roman"/>
                <w:bCs/>
                <w:iCs/>
                <w:color w:val="000000"/>
                <w:sz w:val="24"/>
                <w:szCs w:val="24"/>
              </w:rPr>
              <w:t>确定了编制分工和计划方案，</w:t>
            </w:r>
            <w:r>
              <w:rPr>
                <w:rFonts w:hint="eastAsia" w:ascii="宋体" w:hAnsi="宋体"/>
                <w:bCs/>
                <w:iCs/>
                <w:color w:val="000000"/>
              </w:rPr>
              <w:t>公司将结合</w:t>
            </w:r>
            <w:r>
              <w:rPr>
                <w:rFonts w:hint="eastAsia" w:ascii="宋体" w:hAnsi="宋体" w:cs="Times New Roman"/>
                <w:bCs/>
                <w:iCs/>
                <w:color w:val="000000"/>
                <w:sz w:val="24"/>
                <w:szCs w:val="24"/>
              </w:rPr>
              <w:t>自身集成电路研发设计和产业化优势，</w:t>
            </w:r>
            <w:r>
              <w:rPr>
                <w:rFonts w:hint="eastAsia" w:ascii="宋体" w:hAnsi="宋体"/>
                <w:bCs/>
                <w:iCs/>
                <w:color w:val="000000"/>
              </w:rPr>
              <w:t>参与信息通信网络超低功耗芯片研发、设计、检测与检验、维护等相关标准的编制</w:t>
            </w:r>
            <w:r>
              <w:t>。</w:t>
            </w:r>
          </w:p>
          <w:p w14:paraId="43262FFA">
            <w:pPr>
              <w:spacing w:before="163" w:beforeLines="50" w:line="480" w:lineRule="atLeast"/>
              <w:ind w:firstLine="480"/>
              <w:rPr>
                <w:rFonts w:ascii="宋体" w:hAnsi="宋体"/>
                <w:bCs/>
                <w:iCs/>
                <w:color w:val="000000"/>
              </w:rPr>
            </w:pPr>
            <w:r>
              <w:rPr>
                <w:rFonts w:ascii="宋体" w:hAnsi="宋体"/>
                <w:bCs/>
                <w:iCs/>
                <w:color w:val="000000"/>
              </w:rPr>
              <w:t>6.公司微控制器</w:t>
            </w:r>
            <w:r>
              <w:rPr>
                <w:rFonts w:hint="eastAsia" w:ascii="宋体" w:hAnsi="宋体"/>
                <w:bCs/>
                <w:iCs/>
                <w:color w:val="000000"/>
              </w:rPr>
              <w:t>M</w:t>
            </w:r>
            <w:r>
              <w:rPr>
                <w:rFonts w:ascii="宋体" w:hAnsi="宋体"/>
                <w:bCs/>
                <w:iCs/>
                <w:color w:val="000000"/>
              </w:rPr>
              <w:t>CU产品的应用领域有哪些？</w:t>
            </w:r>
          </w:p>
          <w:p w14:paraId="7C0172E7">
            <w:pPr>
              <w:spacing w:before="0" w:beforeLines="-2147483648" w:line="480" w:lineRule="atLeast"/>
              <w:ind w:firstLine="480"/>
              <w:rPr>
                <w:rFonts w:ascii="宋体" w:hAnsi="宋体"/>
                <w:bCs/>
                <w:iCs/>
                <w:color w:val="000000"/>
              </w:rPr>
            </w:pPr>
            <w:r>
              <w:rPr>
                <w:rFonts w:ascii="宋体" w:hAnsi="宋体"/>
                <w:bCs/>
                <w:iCs/>
                <w:color w:val="000000"/>
              </w:rPr>
              <w:t>答：</w:t>
            </w:r>
            <w:r>
              <w:rPr>
                <w:rFonts w:ascii="宋体" w:hAnsi="宋体"/>
                <w:bCs/>
                <w:iCs/>
                <w:color w:val="000000"/>
                <w:sz w:val="24"/>
                <w:szCs w:val="24"/>
                <w:shd w:val="clear" w:color="auto" w:fill="auto"/>
              </w:rPr>
              <w:t>公司目前已有单核高性能MCU微控制器，同时布局高可靠性和高性能多核MCU，实现split lock和lock step相关技术</w:t>
            </w:r>
            <w:r>
              <w:rPr>
                <w:rFonts w:hint="eastAsia" w:ascii="宋体" w:hAnsi="宋体"/>
                <w:bCs/>
                <w:iCs/>
                <w:color w:val="000000"/>
              </w:rPr>
              <w:t>，可应用于</w:t>
            </w:r>
            <w:r>
              <w:rPr>
                <w:rFonts w:ascii="宋体" w:hAnsi="宋体"/>
                <w:bCs/>
                <w:iCs/>
                <w:color w:val="000000"/>
              </w:rPr>
              <w:t>电机控制、车载等嵌入式控制领域。公司微控制器芯片已形成低功耗</w:t>
            </w:r>
            <w:r>
              <w:rPr>
                <w:rFonts w:hint="eastAsia" w:ascii="宋体" w:hAnsi="宋体"/>
                <w:bCs/>
                <w:iCs/>
                <w:color w:val="000000"/>
              </w:rPr>
              <w:t>、</w:t>
            </w:r>
            <w:r>
              <w:rPr>
                <w:rFonts w:ascii="宋体" w:hAnsi="宋体"/>
                <w:bCs/>
                <w:iCs/>
                <w:color w:val="000000"/>
              </w:rPr>
              <w:t>通用</w:t>
            </w:r>
            <w:r>
              <w:rPr>
                <w:rFonts w:hint="eastAsia" w:ascii="宋体" w:hAnsi="宋体"/>
                <w:bCs/>
                <w:iCs/>
                <w:color w:val="000000"/>
              </w:rPr>
              <w:t>、</w:t>
            </w:r>
            <w:r>
              <w:rPr>
                <w:rFonts w:ascii="宋体" w:hAnsi="宋体"/>
                <w:bCs/>
                <w:iCs/>
                <w:color w:val="000000"/>
              </w:rPr>
              <w:t>高性能的低中高全系列产品体系，达到供货阶段</w:t>
            </w:r>
            <w:r>
              <w:rPr>
                <w:rFonts w:hint="eastAsia" w:ascii="宋体" w:hAnsi="宋体"/>
                <w:bCs/>
                <w:iCs/>
                <w:color w:val="000000"/>
              </w:rPr>
              <w:t>；</w:t>
            </w:r>
            <w:r>
              <w:rPr>
                <w:rFonts w:ascii="宋体" w:hAnsi="宋体"/>
                <w:bCs/>
                <w:iCs/>
                <w:color w:val="000000"/>
              </w:rPr>
              <w:t>正在研制超低功耗系列和高性能计算系列微控制器。</w:t>
            </w:r>
          </w:p>
          <w:p w14:paraId="718AA9CB">
            <w:pPr>
              <w:spacing w:before="163" w:beforeLines="50" w:line="480" w:lineRule="atLeast"/>
              <w:ind w:firstLine="480"/>
              <w:rPr>
                <w:rFonts w:ascii="宋体" w:hAnsi="宋体"/>
                <w:bCs/>
                <w:iCs/>
                <w:color w:val="000000"/>
              </w:rPr>
            </w:pPr>
            <w:r>
              <w:rPr>
                <w:rFonts w:hint="eastAsia" w:ascii="宋体" w:hAnsi="宋体"/>
                <w:bCs/>
                <w:iCs/>
                <w:color w:val="000000"/>
              </w:rPr>
              <w:t>7</w:t>
            </w:r>
            <w:r>
              <w:rPr>
                <w:rFonts w:ascii="宋体" w:hAnsi="宋体"/>
                <w:bCs/>
                <w:iCs/>
                <w:color w:val="000000"/>
              </w:rPr>
              <w:t>.请介绍公司销售团队的大致情况？</w:t>
            </w:r>
          </w:p>
          <w:p w14:paraId="17ABC8C0">
            <w:pPr>
              <w:spacing w:before="0" w:beforeLines="-2147483648" w:line="480" w:lineRule="exact"/>
              <w:ind w:firstLine="480"/>
              <w:rPr>
                <w:rFonts w:hint="eastAsia" w:ascii="宋体" w:hAnsi="宋体"/>
                <w:bCs/>
                <w:iCs/>
                <w:color w:val="000000"/>
              </w:rPr>
            </w:pPr>
            <w:r>
              <w:rPr>
                <w:rFonts w:ascii="宋体" w:hAnsi="宋体"/>
                <w:bCs/>
                <w:iCs/>
                <w:color w:val="000000"/>
              </w:rPr>
              <w:t>答：</w:t>
            </w:r>
            <w:r>
              <w:rPr>
                <w:rFonts w:hint="eastAsia" w:ascii="宋体" w:hAnsi="宋体"/>
                <w:bCs/>
                <w:iCs/>
                <w:color w:val="000000"/>
              </w:rPr>
              <w:t>公司主要采用直销模式，设置了市场总部，下设若干销售片区，全面覆盖国内下游主流特种集成电路产品应用客户，主要客户包括中国电科集团、航空工业集团、航天科技集团、航天科工集团等。现有销售及支持体系人员近百人，可以实现客户需求的快速响应。</w:t>
            </w:r>
          </w:p>
          <w:p w14:paraId="1DDB9708">
            <w:pPr>
              <w:spacing w:line="480" w:lineRule="atLeast"/>
              <w:ind w:firstLine="480"/>
              <w:rPr>
                <w:rFonts w:ascii="宋体" w:hAnsi="宋体"/>
                <w:bCs/>
                <w:iCs/>
                <w:color w:val="000000"/>
              </w:rPr>
            </w:pPr>
          </w:p>
        </w:tc>
      </w:tr>
      <w:tr w14:paraId="2340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7ED1080C">
            <w:pPr>
              <w:ind w:firstLine="0" w:firstLineChars="0"/>
              <w:rPr>
                <w:rFonts w:ascii="宋体" w:hAnsi="宋体"/>
                <w:bCs/>
                <w:iCs/>
                <w:color w:val="000000"/>
              </w:rPr>
            </w:pPr>
            <w:r>
              <w:rPr>
                <w:rFonts w:hint="eastAsia" w:ascii="宋体" w:hAnsi="宋体"/>
                <w:bCs/>
                <w:iCs/>
                <w:color w:val="000000"/>
              </w:rPr>
              <w:t>关于本次活动是否涉及应当披露重大信息的说明</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54E38DE1">
            <w:pPr>
              <w:spacing w:line="480" w:lineRule="atLeast"/>
              <w:ind w:firstLine="0" w:firstLineChars="0"/>
              <w:rPr>
                <w:rFonts w:ascii="宋体" w:hAnsi="宋体"/>
                <w:bCs/>
                <w:iCs/>
                <w:color w:val="000000"/>
              </w:rPr>
            </w:pPr>
            <w:r>
              <w:rPr>
                <w:rFonts w:hint="eastAsia" w:ascii="宋体" w:hAnsi="宋体"/>
                <w:bCs/>
                <w:iCs/>
                <w:color w:val="000000"/>
              </w:rPr>
              <w:t>否</w:t>
            </w:r>
          </w:p>
        </w:tc>
      </w:tr>
      <w:tr w14:paraId="47A8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62095EC2">
            <w:pPr>
              <w:ind w:firstLine="0" w:firstLineChars="0"/>
              <w:rPr>
                <w:rFonts w:ascii="宋体" w:hAnsi="宋体"/>
                <w:bCs/>
                <w:iCs/>
                <w:color w:val="000000"/>
              </w:rPr>
            </w:pPr>
            <w:r>
              <w:rPr>
                <w:rFonts w:hint="eastAsia" w:ascii="宋体" w:hAnsi="宋体"/>
                <w:bCs/>
                <w:iCs/>
                <w:color w:val="000000"/>
              </w:rPr>
              <w:t>附件清单（如有）</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786C1335">
            <w:pPr>
              <w:spacing w:line="240" w:lineRule="auto"/>
              <w:ind w:firstLine="0" w:firstLineChars="0"/>
              <w:rPr>
                <w:rFonts w:ascii="宋体" w:hAnsi="宋体"/>
                <w:bCs/>
                <w:iCs/>
                <w:color w:val="000000"/>
              </w:rPr>
            </w:pPr>
            <w:r>
              <w:rPr>
                <w:rFonts w:ascii="宋体" w:hAnsi="宋体"/>
                <w:bCs/>
                <w:iCs/>
                <w:color w:val="000000"/>
              </w:rPr>
              <w:t>无</w:t>
            </w:r>
          </w:p>
        </w:tc>
      </w:tr>
      <w:tr w14:paraId="45EE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2718CFF2">
            <w:pPr>
              <w:ind w:firstLine="0" w:firstLineChars="0"/>
              <w:rPr>
                <w:rFonts w:ascii="宋体" w:hAnsi="宋体"/>
                <w:bCs/>
                <w:iCs/>
                <w:color w:val="000000"/>
              </w:rPr>
            </w:pPr>
            <w:r>
              <w:rPr>
                <w:rFonts w:hint="eastAsia" w:ascii="宋体" w:hAnsi="宋体"/>
                <w:bCs/>
                <w:iCs/>
                <w:color w:val="000000"/>
              </w:rPr>
              <w:t>日期</w:t>
            </w:r>
          </w:p>
        </w:tc>
        <w:tc>
          <w:tcPr>
            <w:tcW w:w="7585" w:type="dxa"/>
            <w:tcBorders>
              <w:top w:val="single" w:color="auto" w:sz="4" w:space="0"/>
              <w:left w:val="single" w:color="auto" w:sz="4" w:space="0"/>
              <w:bottom w:val="single" w:color="auto" w:sz="4" w:space="0"/>
              <w:right w:val="single" w:color="auto" w:sz="4" w:space="0"/>
            </w:tcBorders>
            <w:shd w:val="clear" w:color="auto" w:fill="auto"/>
            <w:vAlign w:val="center"/>
          </w:tcPr>
          <w:p w14:paraId="762F0AC3">
            <w:pPr>
              <w:spacing w:line="240" w:lineRule="auto"/>
              <w:ind w:firstLine="0" w:firstLineChars="0"/>
              <w:rPr>
                <w:rFonts w:ascii="宋体" w:hAnsi="宋体"/>
                <w:bCs/>
                <w:iCs/>
                <w:color w:val="000000"/>
              </w:rPr>
            </w:pPr>
            <w:r>
              <w:rPr>
                <w:rFonts w:hint="eastAsia" w:ascii="宋体" w:hAnsi="宋体"/>
                <w:bCs/>
                <w:iCs/>
                <w:color w:val="000000"/>
              </w:rPr>
              <w:t>2</w:t>
            </w:r>
            <w:r>
              <w:rPr>
                <w:rFonts w:ascii="宋体" w:hAnsi="宋体"/>
                <w:bCs/>
                <w:iCs/>
                <w:color w:val="000000"/>
              </w:rPr>
              <w:t>024年</w:t>
            </w:r>
            <w:r>
              <w:rPr>
                <w:rFonts w:hint="eastAsia" w:ascii="宋体" w:hAnsi="宋体"/>
                <w:bCs/>
                <w:iCs/>
                <w:color w:val="000000"/>
              </w:rPr>
              <w:t>11月21日</w:t>
            </w:r>
          </w:p>
        </w:tc>
      </w:tr>
    </w:tbl>
    <w:p w14:paraId="19931DD7">
      <w:pPr>
        <w:ind w:firstLine="0" w:firstLineChars="0"/>
      </w:pPr>
    </w:p>
    <w:p w14:paraId="7F7B06FF">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737" w:footer="680"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F4EB">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D29F5">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A71B">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A708">
    <w:pPr>
      <w:pStyle w:val="4"/>
      <w:pBdr>
        <w:top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99E0">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ECB69">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mN2U4NDM5MmVmMmVkOWVhZDQ2YzZmMzVlMjc2MTgifQ=="/>
  </w:docVars>
  <w:rsids>
    <w:rsidRoot w:val="000E6085"/>
    <w:rsid w:val="00027E66"/>
    <w:rsid w:val="000507A8"/>
    <w:rsid w:val="00050A44"/>
    <w:rsid w:val="000556CB"/>
    <w:rsid w:val="00056581"/>
    <w:rsid w:val="00066406"/>
    <w:rsid w:val="0008781B"/>
    <w:rsid w:val="000976B9"/>
    <w:rsid w:val="000A1104"/>
    <w:rsid w:val="000A6467"/>
    <w:rsid w:val="000E6085"/>
    <w:rsid w:val="0010788C"/>
    <w:rsid w:val="001170C8"/>
    <w:rsid w:val="0016535C"/>
    <w:rsid w:val="00186677"/>
    <w:rsid w:val="001A5AC1"/>
    <w:rsid w:val="001D2941"/>
    <w:rsid w:val="00206257"/>
    <w:rsid w:val="002244E6"/>
    <w:rsid w:val="00224D65"/>
    <w:rsid w:val="00232598"/>
    <w:rsid w:val="0025203B"/>
    <w:rsid w:val="00255302"/>
    <w:rsid w:val="002722F7"/>
    <w:rsid w:val="00277B95"/>
    <w:rsid w:val="002A6705"/>
    <w:rsid w:val="002D266E"/>
    <w:rsid w:val="002D7213"/>
    <w:rsid w:val="002E087B"/>
    <w:rsid w:val="002E47EA"/>
    <w:rsid w:val="002E710B"/>
    <w:rsid w:val="002F5399"/>
    <w:rsid w:val="0030054C"/>
    <w:rsid w:val="00316285"/>
    <w:rsid w:val="003606C3"/>
    <w:rsid w:val="003909FB"/>
    <w:rsid w:val="003945FA"/>
    <w:rsid w:val="003A1AA7"/>
    <w:rsid w:val="003A3201"/>
    <w:rsid w:val="003C22FB"/>
    <w:rsid w:val="003C6BD5"/>
    <w:rsid w:val="003D026B"/>
    <w:rsid w:val="003D5FB5"/>
    <w:rsid w:val="003F1A8E"/>
    <w:rsid w:val="003F3134"/>
    <w:rsid w:val="00407727"/>
    <w:rsid w:val="0041751A"/>
    <w:rsid w:val="00424494"/>
    <w:rsid w:val="004413B0"/>
    <w:rsid w:val="0049001D"/>
    <w:rsid w:val="004A5C8E"/>
    <w:rsid w:val="004C6371"/>
    <w:rsid w:val="004D270C"/>
    <w:rsid w:val="004D2DAE"/>
    <w:rsid w:val="004D6C13"/>
    <w:rsid w:val="004E40A0"/>
    <w:rsid w:val="004F0D06"/>
    <w:rsid w:val="004F7F75"/>
    <w:rsid w:val="005357B5"/>
    <w:rsid w:val="00535E7E"/>
    <w:rsid w:val="00536C38"/>
    <w:rsid w:val="0054062E"/>
    <w:rsid w:val="00573C72"/>
    <w:rsid w:val="005753C8"/>
    <w:rsid w:val="0059386C"/>
    <w:rsid w:val="005C1BC8"/>
    <w:rsid w:val="005C1DCA"/>
    <w:rsid w:val="005E007C"/>
    <w:rsid w:val="005F1E54"/>
    <w:rsid w:val="006028AA"/>
    <w:rsid w:val="00660A56"/>
    <w:rsid w:val="00681C28"/>
    <w:rsid w:val="00683C0B"/>
    <w:rsid w:val="006966FC"/>
    <w:rsid w:val="006A4E0C"/>
    <w:rsid w:val="006A7DB3"/>
    <w:rsid w:val="006C2E8F"/>
    <w:rsid w:val="006D7578"/>
    <w:rsid w:val="006F7F44"/>
    <w:rsid w:val="007135D8"/>
    <w:rsid w:val="0071455E"/>
    <w:rsid w:val="00717B64"/>
    <w:rsid w:val="00750ABC"/>
    <w:rsid w:val="00770593"/>
    <w:rsid w:val="0077423E"/>
    <w:rsid w:val="007C23C5"/>
    <w:rsid w:val="007C2637"/>
    <w:rsid w:val="007C3E86"/>
    <w:rsid w:val="007C75D8"/>
    <w:rsid w:val="007E705A"/>
    <w:rsid w:val="007E7B83"/>
    <w:rsid w:val="007F65D0"/>
    <w:rsid w:val="008032EE"/>
    <w:rsid w:val="00847468"/>
    <w:rsid w:val="00852B80"/>
    <w:rsid w:val="00862461"/>
    <w:rsid w:val="00863674"/>
    <w:rsid w:val="0086538B"/>
    <w:rsid w:val="008A20D5"/>
    <w:rsid w:val="008A7131"/>
    <w:rsid w:val="008B25FD"/>
    <w:rsid w:val="008C4815"/>
    <w:rsid w:val="008D1031"/>
    <w:rsid w:val="008D5AC3"/>
    <w:rsid w:val="008E633E"/>
    <w:rsid w:val="008F2251"/>
    <w:rsid w:val="008F4DE8"/>
    <w:rsid w:val="008F5C32"/>
    <w:rsid w:val="008F7B41"/>
    <w:rsid w:val="009056AA"/>
    <w:rsid w:val="00913A87"/>
    <w:rsid w:val="009304B9"/>
    <w:rsid w:val="009358C0"/>
    <w:rsid w:val="00976D60"/>
    <w:rsid w:val="00984082"/>
    <w:rsid w:val="00994164"/>
    <w:rsid w:val="009A72DC"/>
    <w:rsid w:val="009D0CC6"/>
    <w:rsid w:val="009D31F3"/>
    <w:rsid w:val="009D365B"/>
    <w:rsid w:val="009D69F1"/>
    <w:rsid w:val="009F4EAE"/>
    <w:rsid w:val="00A2210A"/>
    <w:rsid w:val="00A2466B"/>
    <w:rsid w:val="00A34261"/>
    <w:rsid w:val="00A55D5F"/>
    <w:rsid w:val="00A779F4"/>
    <w:rsid w:val="00A9636F"/>
    <w:rsid w:val="00AA05C8"/>
    <w:rsid w:val="00AC1095"/>
    <w:rsid w:val="00AC38B8"/>
    <w:rsid w:val="00AD3C84"/>
    <w:rsid w:val="00AE03C0"/>
    <w:rsid w:val="00AE6151"/>
    <w:rsid w:val="00B16993"/>
    <w:rsid w:val="00B2632C"/>
    <w:rsid w:val="00B318A8"/>
    <w:rsid w:val="00B33DD1"/>
    <w:rsid w:val="00B345DD"/>
    <w:rsid w:val="00B84B75"/>
    <w:rsid w:val="00BB4DD2"/>
    <w:rsid w:val="00BB7366"/>
    <w:rsid w:val="00BC0FA5"/>
    <w:rsid w:val="00BC270F"/>
    <w:rsid w:val="00BE7BDA"/>
    <w:rsid w:val="00BF74B3"/>
    <w:rsid w:val="00C16F23"/>
    <w:rsid w:val="00C17E50"/>
    <w:rsid w:val="00C229ED"/>
    <w:rsid w:val="00C30F6F"/>
    <w:rsid w:val="00C3377D"/>
    <w:rsid w:val="00C45578"/>
    <w:rsid w:val="00C57F38"/>
    <w:rsid w:val="00C71BB5"/>
    <w:rsid w:val="00C819D3"/>
    <w:rsid w:val="00CA12F4"/>
    <w:rsid w:val="00CA1B46"/>
    <w:rsid w:val="00CB1975"/>
    <w:rsid w:val="00D172CA"/>
    <w:rsid w:val="00D51EE9"/>
    <w:rsid w:val="00D87DCB"/>
    <w:rsid w:val="00D95A0F"/>
    <w:rsid w:val="00DA0DD4"/>
    <w:rsid w:val="00DA5F87"/>
    <w:rsid w:val="00DB69E9"/>
    <w:rsid w:val="00DC7F3A"/>
    <w:rsid w:val="00DD39FC"/>
    <w:rsid w:val="00DF4A67"/>
    <w:rsid w:val="00E03F83"/>
    <w:rsid w:val="00E052E5"/>
    <w:rsid w:val="00E12EB3"/>
    <w:rsid w:val="00E16589"/>
    <w:rsid w:val="00E269D4"/>
    <w:rsid w:val="00E30DAC"/>
    <w:rsid w:val="00E54BAB"/>
    <w:rsid w:val="00E61A5C"/>
    <w:rsid w:val="00E76AB9"/>
    <w:rsid w:val="00E90A2E"/>
    <w:rsid w:val="00EA13D6"/>
    <w:rsid w:val="00EA595F"/>
    <w:rsid w:val="00EB2E10"/>
    <w:rsid w:val="00EE0060"/>
    <w:rsid w:val="00EE7CCE"/>
    <w:rsid w:val="00EF6B6A"/>
    <w:rsid w:val="00F22602"/>
    <w:rsid w:val="00F32FAD"/>
    <w:rsid w:val="00F44A7E"/>
    <w:rsid w:val="00F47DEC"/>
    <w:rsid w:val="00F5401C"/>
    <w:rsid w:val="00F576EE"/>
    <w:rsid w:val="00F60A5C"/>
    <w:rsid w:val="00FB1FFB"/>
    <w:rsid w:val="00FF13A5"/>
    <w:rsid w:val="1AAF3B19"/>
    <w:rsid w:val="4E6F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line="240" w:lineRule="auto"/>
    </w:pPr>
    <w:rPr>
      <w:sz w:val="18"/>
      <w:szCs w:val="18"/>
    </w:r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qFormat/>
    <w:uiPriority w:val="0"/>
    <w:rPr>
      <w:rFonts w:ascii="Times New Roman" w:hAnsi="Times New Roman" w:eastAsia="宋体" w:cs="Times New Roman"/>
      <w:sz w:val="18"/>
      <w:szCs w:val="24"/>
    </w:rPr>
  </w:style>
  <w:style w:type="character" w:customStyle="1" w:styleId="8">
    <w:name w:val="页眉 Char"/>
    <w:basedOn w:val="6"/>
    <w:link w:val="4"/>
    <w:uiPriority w:val="0"/>
    <w:rPr>
      <w:rFonts w:ascii="Times New Roman" w:hAnsi="Times New Roman" w:eastAsia="宋体" w:cs="Times New Roman"/>
      <w:sz w:val="18"/>
      <w:szCs w:val="24"/>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2275</Words>
  <Characters>2436</Characters>
  <Lines>18</Lines>
  <Paragraphs>5</Paragraphs>
  <TotalTime>0</TotalTime>
  <ScaleCrop>false</ScaleCrop>
  <LinksUpToDate>false</LinksUpToDate>
  <CharactersWithSpaces>2590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2024-11-24T15:11:00Z</dcterms:created>
  <dc:creator>user</dc:creator>
  <cp:lastModifiedBy>蔡进</cp:lastModifiedBy>
  <dcterms:modified xsi:type="dcterms:W3CDTF">2024-11-25T03:55:04Z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E1DB02BADF4E4979A6AED3770C31610B_13</vt:lpwstr>
  </property>
</Properties>
</file>