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27284" w14:textId="6FFE9263" w:rsidR="00300FEB" w:rsidRPr="006F7A87" w:rsidRDefault="00300FEB" w:rsidP="00950355">
      <w:pPr>
        <w:pStyle w:val="a7"/>
        <w:spacing w:before="41"/>
        <w:ind w:left="0"/>
        <w:jc w:val="both"/>
        <w:rPr>
          <w:rFonts w:asciiTheme="minorEastAsia" w:eastAsiaTheme="minorEastAsia" w:hAnsiTheme="minorEastAsia" w:hint="eastAsia"/>
          <w:sz w:val="24"/>
          <w:szCs w:val="24"/>
        </w:rPr>
      </w:pPr>
      <w:bookmarkStart w:id="0" w:name="_Hlk114058811"/>
      <w:r w:rsidRPr="008E2A47">
        <w:rPr>
          <w:rFonts w:hint="eastAsia"/>
          <w:sz w:val="24"/>
          <w:szCs w:val="24"/>
        </w:rPr>
        <w:t>证券代码：</w:t>
      </w:r>
      <w:r w:rsidRPr="008E2A47">
        <w:rPr>
          <w:sz w:val="24"/>
          <w:szCs w:val="24"/>
        </w:rPr>
        <w:t xml:space="preserve">600821  </w:t>
      </w:r>
      <w:r w:rsidRPr="008E2A47">
        <w:rPr>
          <w:sz w:val="24"/>
        </w:rPr>
        <w:t xml:space="preserve"> </w:t>
      </w:r>
      <w:r w:rsidRPr="008E2A47">
        <w:rPr>
          <w:sz w:val="24"/>
          <w:szCs w:val="24"/>
        </w:rPr>
        <w:t xml:space="preserve"> </w:t>
      </w:r>
      <w:r w:rsidRPr="008E2A47">
        <w:rPr>
          <w:sz w:val="24"/>
        </w:rPr>
        <w:t xml:space="preserve">    </w:t>
      </w:r>
      <w:r w:rsidR="003E0083">
        <w:rPr>
          <w:sz w:val="24"/>
        </w:rPr>
        <w:t xml:space="preserve">                           </w:t>
      </w:r>
      <w:r w:rsidRPr="008E2A47">
        <w:rPr>
          <w:rFonts w:hint="eastAsia"/>
          <w:sz w:val="24"/>
          <w:szCs w:val="24"/>
        </w:rPr>
        <w:t>证券简称：金开新能</w:t>
      </w:r>
      <w:r w:rsidRPr="008E2A47">
        <w:rPr>
          <w:sz w:val="24"/>
        </w:rPr>
        <w:t xml:space="preserve"> </w:t>
      </w:r>
    </w:p>
    <w:bookmarkEnd w:id="0"/>
    <w:p w14:paraId="15BFFBAF" w14:textId="77777777" w:rsidR="00300FEB" w:rsidRPr="00F22946" w:rsidRDefault="00300FEB" w:rsidP="00300FEB">
      <w:pPr>
        <w:spacing w:before="94" w:line="555" w:lineRule="exact"/>
        <w:jc w:val="center"/>
        <w:rPr>
          <w:rFonts w:hint="eastAsia"/>
          <w:b/>
          <w:color w:val="FF0000"/>
          <w:sz w:val="32"/>
          <w:szCs w:val="32"/>
        </w:rPr>
      </w:pPr>
      <w:r w:rsidRPr="00F22946">
        <w:rPr>
          <w:b/>
          <w:color w:val="FF0000"/>
          <w:sz w:val="32"/>
          <w:szCs w:val="32"/>
        </w:rPr>
        <w:t>金开新能源股份有限公司</w:t>
      </w:r>
    </w:p>
    <w:p w14:paraId="58A4BFC4" w14:textId="5139A7DF" w:rsidR="00300FEB" w:rsidRPr="00F22946" w:rsidRDefault="003E0083" w:rsidP="00F179C9">
      <w:pPr>
        <w:pStyle w:val="a7"/>
        <w:ind w:left="0"/>
        <w:jc w:val="center"/>
        <w:rPr>
          <w:rFonts w:hint="eastAsia"/>
          <w:b/>
          <w:sz w:val="24"/>
          <w:szCs w:val="24"/>
        </w:rPr>
      </w:pPr>
      <w:r w:rsidRPr="003E0083">
        <w:rPr>
          <w:b/>
          <w:color w:val="FF0000"/>
          <w:sz w:val="32"/>
          <w:szCs w:val="32"/>
        </w:rPr>
        <w:t>202</w:t>
      </w:r>
      <w:r w:rsidR="00D4659C">
        <w:rPr>
          <w:b/>
          <w:color w:val="FF0000"/>
          <w:sz w:val="32"/>
          <w:szCs w:val="32"/>
        </w:rPr>
        <w:t>4</w:t>
      </w:r>
      <w:r w:rsidRPr="003E0083">
        <w:rPr>
          <w:b/>
          <w:color w:val="FF0000"/>
          <w:sz w:val="32"/>
          <w:szCs w:val="32"/>
        </w:rPr>
        <w:t>年</w:t>
      </w:r>
      <w:r w:rsidR="001B6458">
        <w:rPr>
          <w:rFonts w:hint="eastAsia"/>
          <w:b/>
          <w:color w:val="FF0000"/>
          <w:sz w:val="32"/>
          <w:szCs w:val="32"/>
        </w:rPr>
        <w:t>11</w:t>
      </w:r>
      <w:r w:rsidRPr="003E0083">
        <w:rPr>
          <w:b/>
          <w:color w:val="FF0000"/>
          <w:sz w:val="32"/>
          <w:szCs w:val="32"/>
        </w:rPr>
        <w:t>月投资者关系活动记录表</w:t>
      </w:r>
    </w:p>
    <w:tbl>
      <w:tblPr>
        <w:tblStyle w:val="af2"/>
        <w:tblW w:w="0" w:type="auto"/>
        <w:tblLook w:val="04A0" w:firstRow="1" w:lastRow="0" w:firstColumn="1" w:lastColumn="0" w:noHBand="0" w:noVBand="1"/>
      </w:tblPr>
      <w:tblGrid>
        <w:gridCol w:w="2518"/>
        <w:gridCol w:w="6004"/>
      </w:tblGrid>
      <w:tr w:rsidR="003E0083" w14:paraId="31E047AD" w14:textId="77777777" w:rsidTr="00945B6F">
        <w:tc>
          <w:tcPr>
            <w:tcW w:w="2518" w:type="dxa"/>
          </w:tcPr>
          <w:p w14:paraId="43AEDBA6" w14:textId="02B2AF08" w:rsidR="003E0083" w:rsidRPr="004C1999" w:rsidRDefault="003E0083" w:rsidP="002A225E">
            <w:pPr>
              <w:pStyle w:val="a7"/>
              <w:spacing w:before="14"/>
              <w:ind w:left="0"/>
              <w:contextualSpacing/>
              <w:jc w:val="both"/>
              <w:rPr>
                <w:rFonts w:cs="黑体-WinCharSetFFFF-H" w:hint="eastAsia"/>
                <w:b/>
                <w:bCs/>
                <w:sz w:val="24"/>
                <w:szCs w:val="24"/>
              </w:rPr>
            </w:pPr>
            <w:r w:rsidRPr="004C1999">
              <w:rPr>
                <w:rFonts w:cs="黑体-WinCharSetFFFF-H" w:hint="eastAsia"/>
                <w:b/>
                <w:bCs/>
                <w:sz w:val="24"/>
                <w:szCs w:val="24"/>
              </w:rPr>
              <w:t>投资者关系活动类别</w:t>
            </w:r>
          </w:p>
        </w:tc>
        <w:tc>
          <w:tcPr>
            <w:tcW w:w="6004" w:type="dxa"/>
          </w:tcPr>
          <w:p w14:paraId="48AB265D" w14:textId="5F29A5D7" w:rsidR="003E0083" w:rsidRDefault="00D76031" w:rsidP="002A225E">
            <w:pPr>
              <w:pStyle w:val="a7"/>
              <w:spacing w:before="14"/>
              <w:ind w:left="0"/>
              <w:contextualSpacing/>
              <w:jc w:val="both"/>
              <w:rPr>
                <w:rFonts w:cs="黑体-WinCharSetFFFF-H" w:hint="eastAsia"/>
                <w:sz w:val="24"/>
                <w:szCs w:val="24"/>
              </w:rPr>
            </w:pPr>
            <w:r w:rsidRPr="004C1999">
              <w:rPr>
                <w:rFonts w:cs="黑体-WinCharSetFFFF-H" w:hint="eastAsia"/>
                <w:sz w:val="24"/>
                <w:szCs w:val="24"/>
              </w:rPr>
              <w:t>■</w:t>
            </w:r>
            <w:r w:rsidR="003E0083" w:rsidRPr="003E0083">
              <w:rPr>
                <w:rFonts w:cs="黑体-WinCharSetFFFF-H"/>
                <w:sz w:val="24"/>
                <w:szCs w:val="24"/>
              </w:rPr>
              <w:t xml:space="preserve">特定对象调研 </w:t>
            </w:r>
            <w:r w:rsidR="003E0083">
              <w:rPr>
                <w:rFonts w:cs="黑体-WinCharSetFFFF-H"/>
                <w:sz w:val="24"/>
                <w:szCs w:val="24"/>
              </w:rPr>
              <w:t xml:space="preserve">  </w:t>
            </w:r>
            <w:r w:rsidR="00EE0C09" w:rsidRPr="004C1999">
              <w:rPr>
                <w:rFonts w:cs="黑体-WinCharSetFFFF-H" w:hint="eastAsia"/>
                <w:sz w:val="24"/>
                <w:szCs w:val="24"/>
              </w:rPr>
              <w:t>■</w:t>
            </w:r>
            <w:r w:rsidR="003E0083" w:rsidRPr="003E0083">
              <w:rPr>
                <w:rFonts w:cs="黑体-WinCharSetFFFF-H"/>
                <w:sz w:val="24"/>
                <w:szCs w:val="24"/>
              </w:rPr>
              <w:t>分析师会议</w:t>
            </w:r>
          </w:p>
          <w:p w14:paraId="123753C7" w14:textId="512B6CF4" w:rsidR="003E0083" w:rsidRDefault="003E0083" w:rsidP="002A225E">
            <w:pPr>
              <w:pStyle w:val="a7"/>
              <w:spacing w:before="14"/>
              <w:ind w:left="0"/>
              <w:contextualSpacing/>
              <w:jc w:val="both"/>
              <w:rPr>
                <w:rFonts w:cs="黑体-WinCharSetFFFF-H" w:hint="eastAsia"/>
                <w:sz w:val="24"/>
                <w:szCs w:val="24"/>
              </w:rPr>
            </w:pPr>
            <w:r w:rsidRPr="003E0083">
              <w:rPr>
                <w:rFonts w:cs="黑体-WinCharSetFFFF-H"/>
                <w:sz w:val="24"/>
                <w:szCs w:val="24"/>
              </w:rPr>
              <w:t xml:space="preserve">□媒体采访 </w:t>
            </w:r>
            <w:r>
              <w:rPr>
                <w:rFonts w:cs="黑体-WinCharSetFFFF-H"/>
                <w:sz w:val="24"/>
                <w:szCs w:val="24"/>
              </w:rPr>
              <w:t xml:space="preserve">      </w:t>
            </w:r>
            <w:r w:rsidRPr="003E0083">
              <w:rPr>
                <w:rFonts w:cs="黑体-WinCharSetFFFF-H"/>
                <w:sz w:val="24"/>
                <w:szCs w:val="24"/>
              </w:rPr>
              <w:t>□业绩说明会</w:t>
            </w:r>
          </w:p>
          <w:p w14:paraId="3CA5EAC5" w14:textId="77777777" w:rsidR="003E0083" w:rsidRDefault="003E0083" w:rsidP="002A225E">
            <w:pPr>
              <w:pStyle w:val="a7"/>
              <w:spacing w:before="14"/>
              <w:ind w:left="0"/>
              <w:contextualSpacing/>
              <w:jc w:val="both"/>
              <w:rPr>
                <w:rFonts w:cs="黑体-WinCharSetFFFF-H" w:hint="eastAsia"/>
                <w:sz w:val="24"/>
                <w:szCs w:val="24"/>
              </w:rPr>
            </w:pPr>
            <w:r w:rsidRPr="003E0083">
              <w:rPr>
                <w:rFonts w:cs="黑体-WinCharSetFFFF-H"/>
                <w:sz w:val="24"/>
                <w:szCs w:val="24"/>
              </w:rPr>
              <w:t xml:space="preserve">□新闻发布会 </w:t>
            </w:r>
            <w:r>
              <w:rPr>
                <w:rFonts w:cs="黑体-WinCharSetFFFF-H"/>
                <w:sz w:val="24"/>
                <w:szCs w:val="24"/>
              </w:rPr>
              <w:t xml:space="preserve">    </w:t>
            </w:r>
            <w:r w:rsidRPr="003E0083">
              <w:rPr>
                <w:rFonts w:cs="黑体-WinCharSetFFFF-H"/>
                <w:sz w:val="24"/>
                <w:szCs w:val="24"/>
              </w:rPr>
              <w:t>□路演活动</w:t>
            </w:r>
          </w:p>
          <w:p w14:paraId="262D45EC" w14:textId="3C96EFB7" w:rsidR="003E0083" w:rsidRPr="003E0083" w:rsidRDefault="003E0083" w:rsidP="002A225E">
            <w:pPr>
              <w:pStyle w:val="a7"/>
              <w:spacing w:before="14"/>
              <w:ind w:left="0"/>
              <w:contextualSpacing/>
              <w:jc w:val="both"/>
              <w:rPr>
                <w:rFonts w:cs="黑体-WinCharSetFFFF-H" w:hint="eastAsia"/>
                <w:sz w:val="24"/>
                <w:szCs w:val="24"/>
              </w:rPr>
            </w:pPr>
            <w:r w:rsidRPr="003E0083">
              <w:rPr>
                <w:rFonts w:cs="黑体-WinCharSetFFFF-H"/>
                <w:sz w:val="24"/>
                <w:szCs w:val="24"/>
              </w:rPr>
              <w:t>□现场参观</w:t>
            </w:r>
            <w:r>
              <w:rPr>
                <w:rFonts w:cs="黑体-WinCharSetFFFF-H" w:hint="eastAsia"/>
                <w:sz w:val="24"/>
                <w:szCs w:val="24"/>
              </w:rPr>
              <w:t xml:space="preserve"> </w:t>
            </w:r>
            <w:r>
              <w:rPr>
                <w:rFonts w:cs="黑体-WinCharSetFFFF-H"/>
                <w:sz w:val="24"/>
                <w:szCs w:val="24"/>
              </w:rPr>
              <w:t xml:space="preserve">      </w:t>
            </w:r>
            <w:r w:rsidR="00EE0C09" w:rsidRPr="004C1999">
              <w:rPr>
                <w:rFonts w:cs="黑体-WinCharSetFFFF-H" w:hint="eastAsia"/>
                <w:sz w:val="24"/>
                <w:szCs w:val="24"/>
              </w:rPr>
              <w:t>■</w:t>
            </w:r>
            <w:r w:rsidRPr="003E0083">
              <w:rPr>
                <w:rFonts w:cs="黑体-WinCharSetFFFF-H"/>
                <w:sz w:val="24"/>
                <w:szCs w:val="24"/>
              </w:rPr>
              <w:t>其他</w:t>
            </w:r>
            <w:r w:rsidR="004C1999">
              <w:rPr>
                <w:rFonts w:cs="黑体-WinCharSetFFFF-H" w:hint="eastAsia"/>
                <w:sz w:val="24"/>
                <w:szCs w:val="24"/>
              </w:rPr>
              <w:t>（券商策略会）</w:t>
            </w:r>
          </w:p>
        </w:tc>
      </w:tr>
      <w:tr w:rsidR="00945B6F" w14:paraId="4D1941FD" w14:textId="77777777" w:rsidTr="00945B6F">
        <w:tc>
          <w:tcPr>
            <w:tcW w:w="2518" w:type="dxa"/>
          </w:tcPr>
          <w:p w14:paraId="46FDFBF2" w14:textId="74DD5C24" w:rsidR="00945B6F" w:rsidRPr="004C1999" w:rsidRDefault="00945B6F" w:rsidP="002A225E">
            <w:pPr>
              <w:pStyle w:val="a7"/>
              <w:spacing w:before="14"/>
              <w:ind w:left="0"/>
              <w:contextualSpacing/>
              <w:jc w:val="both"/>
              <w:rPr>
                <w:rFonts w:cs="黑体-WinCharSetFFFF-H" w:hint="eastAsia"/>
                <w:b/>
                <w:bCs/>
                <w:sz w:val="24"/>
                <w:szCs w:val="24"/>
              </w:rPr>
            </w:pPr>
            <w:r w:rsidRPr="00945B6F">
              <w:rPr>
                <w:rFonts w:cs="黑体-WinCharSetFFFF-H" w:hint="eastAsia"/>
                <w:b/>
                <w:bCs/>
                <w:sz w:val="24"/>
                <w:szCs w:val="24"/>
              </w:rPr>
              <w:t>参与单位名称</w:t>
            </w:r>
          </w:p>
        </w:tc>
        <w:tc>
          <w:tcPr>
            <w:tcW w:w="6004" w:type="dxa"/>
          </w:tcPr>
          <w:p w14:paraId="18B75A8B" w14:textId="75A22E0D" w:rsidR="00945B6F" w:rsidRPr="004C1999" w:rsidRDefault="00CC14C6" w:rsidP="002C6124">
            <w:pPr>
              <w:pStyle w:val="a7"/>
              <w:spacing w:before="14"/>
              <w:ind w:left="0"/>
              <w:contextualSpacing/>
              <w:jc w:val="both"/>
              <w:rPr>
                <w:rFonts w:cs="黑体-WinCharSetFFFF-H" w:hint="eastAsia"/>
                <w:sz w:val="24"/>
                <w:szCs w:val="24"/>
              </w:rPr>
            </w:pPr>
            <w:r w:rsidRPr="009D4567">
              <w:rPr>
                <w:rFonts w:cs="黑体-WinCharSetFFFF-H" w:hint="eastAsia"/>
                <w:sz w:val="24"/>
                <w:szCs w:val="24"/>
              </w:rPr>
              <w:t>鸿道投资</w:t>
            </w:r>
            <w:r>
              <w:rPr>
                <w:rFonts w:cs="黑体-WinCharSetFFFF-H" w:hint="eastAsia"/>
                <w:sz w:val="24"/>
                <w:szCs w:val="24"/>
              </w:rPr>
              <w:t>、</w:t>
            </w:r>
            <w:bookmarkStart w:id="1" w:name="OLE_LINK15"/>
            <w:r w:rsidRPr="009D4567">
              <w:rPr>
                <w:rFonts w:cs="黑体-WinCharSetFFFF-H" w:hint="eastAsia"/>
                <w:sz w:val="24"/>
                <w:szCs w:val="24"/>
              </w:rPr>
              <w:t>合众资产</w:t>
            </w:r>
            <w:bookmarkEnd w:id="1"/>
            <w:r>
              <w:rPr>
                <w:rFonts w:cs="黑体-WinCharSetFFFF-H" w:hint="eastAsia"/>
                <w:sz w:val="24"/>
                <w:szCs w:val="24"/>
              </w:rPr>
              <w:t>、</w:t>
            </w:r>
            <w:proofErr w:type="gramStart"/>
            <w:r w:rsidR="004B06F8" w:rsidRPr="009D4567">
              <w:rPr>
                <w:rFonts w:cs="黑体-WinCharSetFFFF-H" w:hint="eastAsia"/>
                <w:sz w:val="24"/>
                <w:szCs w:val="24"/>
              </w:rPr>
              <w:t>工银瑞信</w:t>
            </w:r>
            <w:proofErr w:type="gramEnd"/>
            <w:r w:rsidR="004B06F8">
              <w:rPr>
                <w:rFonts w:cs="黑体-WinCharSetFFFF-H" w:hint="eastAsia"/>
                <w:sz w:val="24"/>
                <w:szCs w:val="24"/>
              </w:rPr>
              <w:t>、</w:t>
            </w:r>
            <w:r w:rsidR="004B06F8" w:rsidRPr="009D4567">
              <w:rPr>
                <w:rFonts w:cs="黑体-WinCharSetFFFF-H" w:hint="eastAsia"/>
                <w:sz w:val="24"/>
                <w:szCs w:val="24"/>
              </w:rPr>
              <w:t>建信基金</w:t>
            </w:r>
            <w:r w:rsidR="004B06F8">
              <w:rPr>
                <w:rFonts w:cs="黑体-WinCharSetFFFF-H" w:hint="eastAsia"/>
                <w:sz w:val="24"/>
                <w:szCs w:val="24"/>
              </w:rPr>
              <w:t>、</w:t>
            </w:r>
            <w:r w:rsidR="001B6458" w:rsidRPr="001B6458">
              <w:rPr>
                <w:rFonts w:cs="黑体-WinCharSetFFFF-H" w:hint="eastAsia"/>
                <w:sz w:val="24"/>
                <w:szCs w:val="24"/>
              </w:rPr>
              <w:t>上银基金</w:t>
            </w:r>
            <w:bookmarkStart w:id="2" w:name="OLE_LINK4"/>
            <w:bookmarkStart w:id="3" w:name="OLE_LINK5"/>
            <w:r w:rsidR="009D4567">
              <w:rPr>
                <w:rFonts w:cs="黑体-WinCharSetFFFF-H" w:hint="eastAsia"/>
                <w:sz w:val="24"/>
                <w:szCs w:val="24"/>
              </w:rPr>
              <w:t>、</w:t>
            </w:r>
            <w:bookmarkStart w:id="4" w:name="OLE_LINK16"/>
            <w:bookmarkStart w:id="5" w:name="OLE_LINK14"/>
            <w:r w:rsidR="009D4567" w:rsidRPr="009D4567">
              <w:rPr>
                <w:rFonts w:cs="黑体-WinCharSetFFFF-H" w:hint="eastAsia"/>
                <w:sz w:val="24"/>
                <w:szCs w:val="24"/>
              </w:rPr>
              <w:t>国</w:t>
            </w:r>
            <w:bookmarkEnd w:id="4"/>
            <w:r w:rsidR="009D4567" w:rsidRPr="009D4567">
              <w:rPr>
                <w:rFonts w:cs="黑体-WinCharSetFFFF-H" w:hint="eastAsia"/>
                <w:sz w:val="24"/>
                <w:szCs w:val="24"/>
              </w:rPr>
              <w:t>寿养老</w:t>
            </w:r>
            <w:bookmarkEnd w:id="5"/>
            <w:r w:rsidR="009D4567">
              <w:rPr>
                <w:rFonts w:cs="黑体-WinCharSetFFFF-H" w:hint="eastAsia"/>
                <w:sz w:val="24"/>
                <w:szCs w:val="24"/>
              </w:rPr>
              <w:t>、</w:t>
            </w:r>
            <w:r w:rsidRPr="009D4567">
              <w:rPr>
                <w:rFonts w:cs="黑体-WinCharSetFFFF-H" w:hint="eastAsia"/>
                <w:sz w:val="24"/>
                <w:szCs w:val="24"/>
              </w:rPr>
              <w:t>长江证券</w:t>
            </w:r>
            <w:r>
              <w:rPr>
                <w:rFonts w:cs="黑体-WinCharSetFFFF-H" w:hint="eastAsia"/>
                <w:sz w:val="24"/>
                <w:szCs w:val="24"/>
              </w:rPr>
              <w:t>、</w:t>
            </w:r>
            <w:r w:rsidRPr="009D4567">
              <w:rPr>
                <w:rFonts w:cs="黑体-WinCharSetFFFF-H" w:hint="eastAsia"/>
                <w:sz w:val="24"/>
                <w:szCs w:val="24"/>
              </w:rPr>
              <w:t>首创证券</w:t>
            </w:r>
            <w:r>
              <w:rPr>
                <w:rFonts w:cs="黑体-WinCharSetFFFF-H" w:hint="eastAsia"/>
                <w:sz w:val="24"/>
                <w:szCs w:val="24"/>
              </w:rPr>
              <w:t>、</w:t>
            </w:r>
            <w:r w:rsidR="009D4567" w:rsidRPr="009D4567">
              <w:rPr>
                <w:rFonts w:cs="黑体-WinCharSetFFFF-H" w:hint="eastAsia"/>
                <w:sz w:val="24"/>
                <w:szCs w:val="24"/>
              </w:rPr>
              <w:t>华源证券</w:t>
            </w:r>
            <w:r w:rsidR="005856A0">
              <w:rPr>
                <w:rFonts w:cs="黑体-WinCharSetFFFF-H" w:hint="eastAsia"/>
                <w:sz w:val="24"/>
                <w:szCs w:val="24"/>
              </w:rPr>
              <w:t>等</w:t>
            </w:r>
            <w:bookmarkEnd w:id="2"/>
            <w:bookmarkEnd w:id="3"/>
          </w:p>
        </w:tc>
      </w:tr>
      <w:tr w:rsidR="00945B6F" w14:paraId="23FC778F" w14:textId="77777777" w:rsidTr="00945B6F">
        <w:tc>
          <w:tcPr>
            <w:tcW w:w="2518" w:type="dxa"/>
          </w:tcPr>
          <w:p w14:paraId="5F6EE1CE" w14:textId="27837AEC" w:rsidR="00945B6F" w:rsidRPr="00945B6F" w:rsidRDefault="00945B6F" w:rsidP="002A225E">
            <w:pPr>
              <w:pStyle w:val="a7"/>
              <w:spacing w:before="14"/>
              <w:ind w:left="0"/>
              <w:contextualSpacing/>
              <w:jc w:val="both"/>
              <w:rPr>
                <w:rFonts w:cs="黑体-WinCharSetFFFF-H" w:hint="eastAsia"/>
                <w:b/>
                <w:bCs/>
                <w:sz w:val="24"/>
                <w:szCs w:val="24"/>
              </w:rPr>
            </w:pPr>
            <w:r>
              <w:rPr>
                <w:rFonts w:cs="黑体-WinCharSetFFFF-H" w:hint="eastAsia"/>
                <w:b/>
                <w:bCs/>
                <w:sz w:val="24"/>
                <w:szCs w:val="24"/>
              </w:rPr>
              <w:t>时间</w:t>
            </w:r>
          </w:p>
        </w:tc>
        <w:tc>
          <w:tcPr>
            <w:tcW w:w="6004" w:type="dxa"/>
          </w:tcPr>
          <w:p w14:paraId="3BD98CD4" w14:textId="2B379207" w:rsidR="00945B6F" w:rsidRPr="00945B6F" w:rsidRDefault="00945B6F" w:rsidP="002A225E">
            <w:pPr>
              <w:pStyle w:val="a7"/>
              <w:spacing w:before="14"/>
              <w:ind w:left="0"/>
              <w:contextualSpacing/>
              <w:jc w:val="both"/>
              <w:rPr>
                <w:rFonts w:cs="黑体-WinCharSetFFFF-H" w:hint="eastAsia"/>
                <w:sz w:val="24"/>
                <w:szCs w:val="24"/>
              </w:rPr>
            </w:pPr>
            <w:r>
              <w:rPr>
                <w:rFonts w:cs="黑体-WinCharSetFFFF-H" w:hint="eastAsia"/>
                <w:sz w:val="24"/>
                <w:szCs w:val="24"/>
              </w:rPr>
              <w:t>2</w:t>
            </w:r>
            <w:r>
              <w:rPr>
                <w:rFonts w:cs="黑体-WinCharSetFFFF-H"/>
                <w:sz w:val="24"/>
                <w:szCs w:val="24"/>
              </w:rPr>
              <w:t>02</w:t>
            </w:r>
            <w:r w:rsidR="00D4659C">
              <w:rPr>
                <w:rFonts w:cs="黑体-WinCharSetFFFF-H"/>
                <w:sz w:val="24"/>
                <w:szCs w:val="24"/>
              </w:rPr>
              <w:t>4</w:t>
            </w:r>
            <w:r>
              <w:rPr>
                <w:rFonts w:cs="黑体-WinCharSetFFFF-H" w:hint="eastAsia"/>
                <w:sz w:val="24"/>
                <w:szCs w:val="24"/>
              </w:rPr>
              <w:t>年</w:t>
            </w:r>
            <w:r w:rsidR="001B6458">
              <w:rPr>
                <w:rFonts w:cs="黑体-WinCharSetFFFF-H" w:hint="eastAsia"/>
                <w:sz w:val="24"/>
                <w:szCs w:val="24"/>
              </w:rPr>
              <w:t>11</w:t>
            </w:r>
            <w:r>
              <w:rPr>
                <w:rFonts w:cs="黑体-WinCharSetFFFF-H" w:hint="eastAsia"/>
                <w:sz w:val="24"/>
                <w:szCs w:val="24"/>
              </w:rPr>
              <w:t>月</w:t>
            </w:r>
          </w:p>
        </w:tc>
      </w:tr>
      <w:tr w:rsidR="00945B6F" w14:paraId="3B0D4927" w14:textId="77777777" w:rsidTr="00945B6F">
        <w:tc>
          <w:tcPr>
            <w:tcW w:w="2518" w:type="dxa"/>
          </w:tcPr>
          <w:p w14:paraId="45A65C21" w14:textId="07BC331D" w:rsidR="00945B6F" w:rsidRDefault="00945B6F" w:rsidP="002A225E">
            <w:pPr>
              <w:pStyle w:val="a7"/>
              <w:spacing w:before="14"/>
              <w:ind w:left="0"/>
              <w:contextualSpacing/>
              <w:jc w:val="both"/>
              <w:rPr>
                <w:rFonts w:cs="黑体-WinCharSetFFFF-H" w:hint="eastAsia"/>
                <w:b/>
                <w:bCs/>
                <w:sz w:val="24"/>
                <w:szCs w:val="24"/>
              </w:rPr>
            </w:pPr>
            <w:r>
              <w:rPr>
                <w:rFonts w:cs="黑体-WinCharSetFFFF-H" w:hint="eastAsia"/>
                <w:b/>
                <w:bCs/>
                <w:sz w:val="24"/>
                <w:szCs w:val="24"/>
              </w:rPr>
              <w:t>地点</w:t>
            </w:r>
          </w:p>
        </w:tc>
        <w:tc>
          <w:tcPr>
            <w:tcW w:w="6004" w:type="dxa"/>
          </w:tcPr>
          <w:p w14:paraId="1A293CC6" w14:textId="46082B56" w:rsidR="00945B6F" w:rsidRDefault="00945B6F" w:rsidP="002A225E">
            <w:pPr>
              <w:pStyle w:val="a7"/>
              <w:spacing w:before="14"/>
              <w:ind w:left="0"/>
              <w:contextualSpacing/>
              <w:jc w:val="both"/>
              <w:rPr>
                <w:rFonts w:cs="黑体-WinCharSetFFFF-H" w:hint="eastAsia"/>
                <w:sz w:val="24"/>
                <w:szCs w:val="24"/>
              </w:rPr>
            </w:pPr>
            <w:r>
              <w:rPr>
                <w:rFonts w:cs="黑体-WinCharSetFFFF-H" w:hint="eastAsia"/>
                <w:sz w:val="24"/>
                <w:szCs w:val="24"/>
              </w:rPr>
              <w:t>北京</w:t>
            </w:r>
          </w:p>
        </w:tc>
      </w:tr>
      <w:tr w:rsidR="003E0083" w14:paraId="71545F2D" w14:textId="77777777" w:rsidTr="00E24574">
        <w:trPr>
          <w:trHeight w:val="371"/>
        </w:trPr>
        <w:tc>
          <w:tcPr>
            <w:tcW w:w="2518" w:type="dxa"/>
          </w:tcPr>
          <w:p w14:paraId="0E1AA2C9" w14:textId="0B815E8E" w:rsidR="003E0083" w:rsidRPr="00E24574" w:rsidRDefault="003E0083" w:rsidP="002A225E">
            <w:pPr>
              <w:pStyle w:val="a7"/>
              <w:spacing w:before="14"/>
              <w:ind w:left="0"/>
              <w:contextualSpacing/>
              <w:jc w:val="both"/>
              <w:rPr>
                <w:rFonts w:cs="黑体-WinCharSetFFFF-H" w:hint="eastAsia"/>
                <w:b/>
                <w:bCs/>
                <w:sz w:val="24"/>
                <w:szCs w:val="24"/>
              </w:rPr>
            </w:pPr>
            <w:r w:rsidRPr="00E24574">
              <w:rPr>
                <w:rFonts w:cs="黑体-WinCharSetFFFF-H" w:hint="eastAsia"/>
                <w:b/>
                <w:bCs/>
                <w:sz w:val="24"/>
                <w:szCs w:val="24"/>
              </w:rPr>
              <w:t>公司接待人员</w:t>
            </w:r>
          </w:p>
        </w:tc>
        <w:tc>
          <w:tcPr>
            <w:tcW w:w="6004" w:type="dxa"/>
          </w:tcPr>
          <w:p w14:paraId="2EE3B99C" w14:textId="1D7D95D5" w:rsidR="003E0083" w:rsidRPr="003E0083" w:rsidRDefault="00910B6C" w:rsidP="002A225E">
            <w:pPr>
              <w:pStyle w:val="a7"/>
              <w:spacing w:before="14"/>
              <w:ind w:left="0"/>
              <w:contextualSpacing/>
              <w:jc w:val="both"/>
              <w:rPr>
                <w:rFonts w:cs="黑体-WinCharSetFFFF-H" w:hint="eastAsia"/>
                <w:sz w:val="24"/>
                <w:szCs w:val="24"/>
              </w:rPr>
            </w:pPr>
            <w:r>
              <w:rPr>
                <w:rFonts w:cs="黑体-WinCharSetFFFF-H" w:hint="eastAsia"/>
                <w:sz w:val="24"/>
                <w:szCs w:val="24"/>
              </w:rPr>
              <w:t>投资者关系工作人员</w:t>
            </w:r>
          </w:p>
        </w:tc>
      </w:tr>
      <w:tr w:rsidR="003E0083" w14:paraId="33707EF7" w14:textId="77777777" w:rsidTr="003E0083">
        <w:trPr>
          <w:trHeight w:val="361"/>
        </w:trPr>
        <w:tc>
          <w:tcPr>
            <w:tcW w:w="8522" w:type="dxa"/>
            <w:gridSpan w:val="2"/>
          </w:tcPr>
          <w:p w14:paraId="33EA028C" w14:textId="7D1533DE" w:rsidR="003E0083" w:rsidRPr="004C1999" w:rsidRDefault="003E0083" w:rsidP="004C1999">
            <w:pPr>
              <w:pStyle w:val="a7"/>
              <w:spacing w:before="14"/>
              <w:ind w:left="0"/>
              <w:contextualSpacing/>
              <w:jc w:val="center"/>
              <w:rPr>
                <w:rFonts w:cs="黑体-WinCharSetFFFF-H" w:hint="eastAsia"/>
                <w:b/>
                <w:bCs/>
                <w:sz w:val="24"/>
                <w:szCs w:val="24"/>
              </w:rPr>
            </w:pPr>
            <w:r w:rsidRPr="004C1999">
              <w:rPr>
                <w:rFonts w:cs="黑体-WinCharSetFFFF-H" w:hint="eastAsia"/>
                <w:b/>
                <w:bCs/>
                <w:sz w:val="24"/>
                <w:szCs w:val="24"/>
              </w:rPr>
              <w:t>投资者关系活动主要内容</w:t>
            </w:r>
          </w:p>
        </w:tc>
      </w:tr>
      <w:tr w:rsidR="003E0083" w14:paraId="0570E3AE" w14:textId="77777777" w:rsidTr="003E0083">
        <w:trPr>
          <w:trHeight w:val="361"/>
        </w:trPr>
        <w:tc>
          <w:tcPr>
            <w:tcW w:w="8522" w:type="dxa"/>
            <w:gridSpan w:val="2"/>
          </w:tcPr>
          <w:p w14:paraId="1F29597A" w14:textId="0D791149" w:rsidR="002D7FF1" w:rsidRDefault="0032149B" w:rsidP="002D7FF1">
            <w:pPr>
              <w:pStyle w:val="a7"/>
              <w:spacing w:before="14"/>
              <w:ind w:left="0"/>
              <w:contextualSpacing/>
              <w:jc w:val="both"/>
              <w:rPr>
                <w:rFonts w:cs="黑体-WinCharSetFFFF-H" w:hint="eastAsia"/>
                <w:b/>
                <w:bCs/>
                <w:sz w:val="24"/>
                <w:szCs w:val="24"/>
              </w:rPr>
            </w:pPr>
            <w:r w:rsidRPr="00B87B92">
              <w:rPr>
                <w:rFonts w:cs="黑体-WinCharSetFFFF-H" w:hint="eastAsia"/>
                <w:b/>
                <w:bCs/>
                <w:sz w:val="24"/>
                <w:szCs w:val="24"/>
              </w:rPr>
              <w:t>问题</w:t>
            </w:r>
            <w:proofErr w:type="gramStart"/>
            <w:r>
              <w:rPr>
                <w:rFonts w:cs="黑体-WinCharSetFFFF-H" w:hint="eastAsia"/>
                <w:b/>
                <w:bCs/>
                <w:sz w:val="24"/>
                <w:szCs w:val="24"/>
              </w:rPr>
              <w:t>一</w:t>
            </w:r>
            <w:proofErr w:type="gramEnd"/>
            <w:r w:rsidRPr="00B87B92">
              <w:rPr>
                <w:rFonts w:cs="黑体-WinCharSetFFFF-H" w:hint="eastAsia"/>
                <w:b/>
                <w:bCs/>
                <w:sz w:val="24"/>
                <w:szCs w:val="24"/>
              </w:rPr>
              <w:t>：</w:t>
            </w:r>
            <w:r w:rsidR="009D4567" w:rsidRPr="009D4567">
              <w:rPr>
                <w:rFonts w:cs="黑体-WinCharSetFFFF-H" w:hint="eastAsia"/>
                <w:b/>
                <w:bCs/>
                <w:sz w:val="24"/>
                <w:szCs w:val="24"/>
              </w:rPr>
              <w:t>公司在面对电量下降、电价下滑等风险时，有哪些应对策略?</w:t>
            </w:r>
          </w:p>
          <w:p w14:paraId="33F45DCA" w14:textId="34236D44" w:rsidR="00910B6C" w:rsidRDefault="0032149B" w:rsidP="00910B6C">
            <w:pPr>
              <w:pStyle w:val="a7"/>
              <w:spacing w:before="14"/>
              <w:ind w:left="0" w:firstLineChars="200" w:firstLine="482"/>
              <w:contextualSpacing/>
              <w:jc w:val="both"/>
              <w:rPr>
                <w:rFonts w:cs="黑体-WinCharSetFFFF-H" w:hint="eastAsia"/>
                <w:b/>
                <w:bCs/>
                <w:sz w:val="24"/>
                <w:szCs w:val="24"/>
              </w:rPr>
            </w:pPr>
            <w:r w:rsidRPr="00945B6F">
              <w:rPr>
                <w:rFonts w:cs="黑体-WinCharSetFFFF-H" w:hint="eastAsia"/>
                <w:b/>
                <w:bCs/>
                <w:sz w:val="24"/>
                <w:szCs w:val="24"/>
              </w:rPr>
              <w:t>答：</w:t>
            </w:r>
            <w:r w:rsidR="00910B6C" w:rsidRPr="00910B6C">
              <w:rPr>
                <w:rFonts w:cs="黑体-WinCharSetFFFF-H" w:hint="eastAsia"/>
                <w:sz w:val="24"/>
                <w:szCs w:val="24"/>
              </w:rPr>
              <w:t>在全国电力市场化进程加快的大背景下，未来更多地区</w:t>
            </w:r>
            <w:r w:rsidR="009C4188">
              <w:rPr>
                <w:rFonts w:cs="黑体-WinCharSetFFFF-H" w:hint="eastAsia"/>
                <w:sz w:val="24"/>
                <w:szCs w:val="24"/>
              </w:rPr>
              <w:t>施行电力</w:t>
            </w:r>
            <w:r w:rsidR="00910B6C" w:rsidRPr="00910B6C">
              <w:rPr>
                <w:rFonts w:cs="黑体-WinCharSetFFFF-H" w:hint="eastAsia"/>
                <w:sz w:val="24"/>
                <w:szCs w:val="24"/>
              </w:rPr>
              <w:t>现货</w:t>
            </w:r>
            <w:r w:rsidR="009C4188">
              <w:rPr>
                <w:rFonts w:cs="黑体-WinCharSetFFFF-H" w:hint="eastAsia"/>
                <w:sz w:val="24"/>
                <w:szCs w:val="24"/>
              </w:rPr>
              <w:t>交易</w:t>
            </w:r>
            <w:r w:rsidR="00910B6C" w:rsidRPr="00910B6C">
              <w:rPr>
                <w:rFonts w:cs="黑体-WinCharSetFFFF-H" w:hint="eastAsia"/>
                <w:sz w:val="24"/>
                <w:szCs w:val="24"/>
              </w:rPr>
              <w:t>是大势所趋</w:t>
            </w:r>
            <w:r w:rsidR="009C4188">
              <w:rPr>
                <w:rFonts w:cs="黑体-WinCharSetFFFF-H" w:hint="eastAsia"/>
                <w:sz w:val="24"/>
                <w:szCs w:val="24"/>
              </w:rPr>
              <w:t>。</w:t>
            </w:r>
            <w:r w:rsidR="00910B6C" w:rsidRPr="00910B6C">
              <w:rPr>
                <w:rFonts w:cs="黑体-WinCharSetFFFF-H" w:hint="eastAsia"/>
                <w:sz w:val="24"/>
                <w:szCs w:val="24"/>
              </w:rPr>
              <w:t>应对方面，一是公司在过去的两年里已建立起涵盖“预测、策略、交易、营销、风控”五位一体的交易体系和团队，拥有丰富的现货交易经验，未来能更好应对“能涨能降”的市场价格机制</w:t>
            </w:r>
            <w:r w:rsidR="009C4188">
              <w:rPr>
                <w:rFonts w:cs="黑体-WinCharSetFFFF-H" w:hint="eastAsia"/>
                <w:sz w:val="24"/>
                <w:szCs w:val="24"/>
              </w:rPr>
              <w:t>；</w:t>
            </w:r>
            <w:r w:rsidR="00910B6C" w:rsidRPr="00910B6C">
              <w:rPr>
                <w:rFonts w:cs="黑体-WinCharSetFFFF-H" w:hint="eastAsia"/>
                <w:sz w:val="24"/>
                <w:szCs w:val="24"/>
              </w:rPr>
              <w:t>二是从公司持有的存量资产来看，新疆区域占公司总发电量超1/3，且几乎全部为西电东送大</w:t>
            </w:r>
            <w:proofErr w:type="gramStart"/>
            <w:r w:rsidR="00910B6C" w:rsidRPr="00910B6C">
              <w:rPr>
                <w:rFonts w:cs="黑体-WinCharSetFFFF-H" w:hint="eastAsia"/>
                <w:sz w:val="24"/>
                <w:szCs w:val="24"/>
              </w:rPr>
              <w:t>通道准皖直流</w:t>
            </w:r>
            <w:proofErr w:type="gramEnd"/>
            <w:r w:rsidR="00910B6C" w:rsidRPr="00910B6C">
              <w:rPr>
                <w:rFonts w:cs="黑体-WinCharSetFFFF-H" w:hint="eastAsia"/>
                <w:sz w:val="24"/>
                <w:szCs w:val="24"/>
              </w:rPr>
              <w:t>项目，</w:t>
            </w:r>
            <w:proofErr w:type="gramStart"/>
            <w:r w:rsidR="00910B6C" w:rsidRPr="00910B6C">
              <w:rPr>
                <w:rFonts w:cs="黑体-WinCharSetFFFF-H" w:hint="eastAsia"/>
                <w:sz w:val="24"/>
                <w:szCs w:val="24"/>
              </w:rPr>
              <w:t>受端为</w:t>
            </w:r>
            <w:proofErr w:type="gramEnd"/>
            <w:r w:rsidR="00910B6C" w:rsidRPr="00910B6C">
              <w:rPr>
                <w:rFonts w:cs="黑体-WinCharSetFFFF-H" w:hint="eastAsia"/>
                <w:sz w:val="24"/>
                <w:szCs w:val="24"/>
              </w:rPr>
              <w:t>华东电网，电价极具竞争力，属于优质资产。从增量项目来看，公司在投资决策时结合项目所在区域的电源结构、网架结构、电力供需发展趋势等，在电价测算边界方面已充分考虑未来开展现货交易后可能的电价影响</w:t>
            </w:r>
            <w:r w:rsidR="009C4188">
              <w:rPr>
                <w:rFonts w:cs="黑体-WinCharSetFFFF-H" w:hint="eastAsia"/>
                <w:sz w:val="24"/>
                <w:szCs w:val="24"/>
              </w:rPr>
              <w:t>；</w:t>
            </w:r>
            <w:r w:rsidR="00910B6C" w:rsidRPr="00910B6C">
              <w:rPr>
                <w:rFonts w:cs="黑体-WinCharSetFFFF-H" w:hint="eastAsia"/>
                <w:sz w:val="24"/>
                <w:szCs w:val="24"/>
              </w:rPr>
              <w:t>三是公司积极开拓绿电、绿证交易市场，冲抵电能量电价下降影响，2024年前三季度，公司跨省及区域</w:t>
            </w:r>
            <w:proofErr w:type="gramStart"/>
            <w:r w:rsidR="00910B6C" w:rsidRPr="00910B6C">
              <w:rPr>
                <w:rFonts w:cs="黑体-WinCharSetFFFF-H" w:hint="eastAsia"/>
                <w:sz w:val="24"/>
                <w:szCs w:val="24"/>
              </w:rPr>
              <w:t>内绿电交易</w:t>
            </w:r>
            <w:proofErr w:type="gramEnd"/>
            <w:r w:rsidR="00910B6C" w:rsidRPr="00910B6C">
              <w:rPr>
                <w:rFonts w:cs="黑体-WinCharSetFFFF-H" w:hint="eastAsia"/>
                <w:sz w:val="24"/>
                <w:szCs w:val="24"/>
              </w:rPr>
              <w:t>合计5.37亿千瓦时，相比2023年同期增长4.84亿千瓦时；绿证交易44.77万张，而去年同期为0张，</w:t>
            </w:r>
            <w:proofErr w:type="gramStart"/>
            <w:r w:rsidR="00910B6C" w:rsidRPr="00910B6C">
              <w:rPr>
                <w:rFonts w:cs="黑体-WinCharSetFFFF-H" w:hint="eastAsia"/>
                <w:sz w:val="24"/>
                <w:szCs w:val="24"/>
              </w:rPr>
              <w:t>绿电绿</w:t>
            </w:r>
            <w:proofErr w:type="gramEnd"/>
            <w:r w:rsidR="00910B6C" w:rsidRPr="00910B6C">
              <w:rPr>
                <w:rFonts w:cs="黑体-WinCharSetFFFF-H" w:hint="eastAsia"/>
                <w:sz w:val="24"/>
                <w:szCs w:val="24"/>
              </w:rPr>
              <w:t>证交易有效地提升了相应项目的收益水平。</w:t>
            </w:r>
          </w:p>
          <w:p w14:paraId="6A0AB703" w14:textId="627873FA" w:rsidR="0032149B" w:rsidRPr="00B87B92" w:rsidRDefault="0032149B" w:rsidP="0032149B">
            <w:pPr>
              <w:pStyle w:val="a7"/>
              <w:spacing w:before="14"/>
              <w:ind w:left="0"/>
              <w:contextualSpacing/>
              <w:jc w:val="both"/>
              <w:rPr>
                <w:rFonts w:cs="黑体-WinCharSetFFFF-H" w:hint="eastAsia"/>
                <w:b/>
                <w:bCs/>
                <w:sz w:val="24"/>
                <w:szCs w:val="24"/>
                <w:lang w:val="en-US"/>
              </w:rPr>
            </w:pPr>
            <w:r w:rsidRPr="00B87B92">
              <w:rPr>
                <w:rFonts w:cs="黑体-WinCharSetFFFF-H" w:hint="eastAsia"/>
                <w:b/>
                <w:bCs/>
                <w:sz w:val="24"/>
                <w:szCs w:val="24"/>
              </w:rPr>
              <w:t>问题</w:t>
            </w:r>
            <w:r>
              <w:rPr>
                <w:rFonts w:cs="黑体-WinCharSetFFFF-H" w:hint="eastAsia"/>
                <w:b/>
                <w:bCs/>
                <w:sz w:val="24"/>
                <w:szCs w:val="24"/>
              </w:rPr>
              <w:t>二</w:t>
            </w:r>
            <w:r w:rsidRPr="00B87B92">
              <w:rPr>
                <w:rFonts w:cs="黑体-WinCharSetFFFF-H" w:hint="eastAsia"/>
                <w:b/>
                <w:bCs/>
                <w:sz w:val="24"/>
                <w:szCs w:val="24"/>
              </w:rPr>
              <w:t>：</w:t>
            </w:r>
            <w:r w:rsidR="009D4567" w:rsidRPr="009D4567">
              <w:rPr>
                <w:rFonts w:cs="黑体-WinCharSetFFFF-H" w:hint="eastAsia"/>
                <w:b/>
                <w:bCs/>
                <w:sz w:val="24"/>
                <w:szCs w:val="24"/>
              </w:rPr>
              <w:t>2024年Q3环比2024年Q2，毛利率</w:t>
            </w:r>
            <w:r w:rsidR="00183264">
              <w:rPr>
                <w:rFonts w:cs="黑体-WinCharSetFFFF-H" w:hint="eastAsia"/>
                <w:b/>
                <w:bCs/>
                <w:sz w:val="24"/>
                <w:szCs w:val="24"/>
              </w:rPr>
              <w:t>变动</w:t>
            </w:r>
            <w:r w:rsidR="009D4567" w:rsidRPr="009D4567">
              <w:rPr>
                <w:rFonts w:cs="黑体-WinCharSetFFFF-H" w:hint="eastAsia"/>
                <w:b/>
                <w:bCs/>
                <w:sz w:val="24"/>
                <w:szCs w:val="24"/>
              </w:rPr>
              <w:t>的原因</w:t>
            </w:r>
            <w:r w:rsidR="009D4567">
              <w:rPr>
                <w:rFonts w:cs="黑体-WinCharSetFFFF-H" w:hint="eastAsia"/>
                <w:b/>
                <w:bCs/>
                <w:sz w:val="24"/>
                <w:szCs w:val="24"/>
              </w:rPr>
              <w:t>？</w:t>
            </w:r>
          </w:p>
          <w:p w14:paraId="26789F1D" w14:textId="06144678" w:rsidR="0032149B" w:rsidRPr="0032149B" w:rsidRDefault="0032149B" w:rsidP="0032149B">
            <w:pPr>
              <w:pStyle w:val="a7"/>
              <w:spacing w:before="14"/>
              <w:ind w:left="0" w:firstLineChars="200" w:firstLine="482"/>
              <w:contextualSpacing/>
              <w:jc w:val="both"/>
              <w:rPr>
                <w:rFonts w:cs="黑体-WinCharSetFFFF-H" w:hint="eastAsia"/>
                <w:sz w:val="24"/>
                <w:szCs w:val="24"/>
              </w:rPr>
            </w:pPr>
            <w:r w:rsidRPr="00945B6F">
              <w:rPr>
                <w:rFonts w:cs="黑体-WinCharSetFFFF-H" w:hint="eastAsia"/>
                <w:b/>
                <w:bCs/>
                <w:sz w:val="24"/>
                <w:szCs w:val="24"/>
              </w:rPr>
              <w:t>答：</w:t>
            </w:r>
            <w:r w:rsidR="00085A98" w:rsidRPr="00085A98">
              <w:rPr>
                <w:rFonts w:cs="黑体-WinCharSetFFFF-H" w:hint="eastAsia"/>
                <w:sz w:val="24"/>
                <w:szCs w:val="24"/>
              </w:rPr>
              <w:t>2024年前三季度公司毛利同比增加0.40亿元，毛利率同比</w:t>
            </w:r>
            <w:r w:rsidR="00183264">
              <w:rPr>
                <w:rFonts w:cs="黑体-WinCharSetFFFF-H" w:hint="eastAsia"/>
                <w:sz w:val="24"/>
                <w:szCs w:val="24"/>
              </w:rPr>
              <w:t>变化了</w:t>
            </w:r>
            <w:r w:rsidR="00085A98" w:rsidRPr="00085A98">
              <w:rPr>
                <w:rFonts w:cs="黑体-WinCharSetFFFF-H" w:hint="eastAsia"/>
                <w:sz w:val="24"/>
                <w:szCs w:val="24"/>
              </w:rPr>
              <w:t>3.71%，毛利率</w:t>
            </w:r>
            <w:r w:rsidR="00183264">
              <w:rPr>
                <w:rFonts w:cs="黑体-WinCharSetFFFF-H" w:hint="eastAsia"/>
                <w:sz w:val="24"/>
                <w:szCs w:val="24"/>
              </w:rPr>
              <w:t>的变动</w:t>
            </w:r>
            <w:r w:rsidR="00085A98" w:rsidRPr="00085A98">
              <w:rPr>
                <w:rFonts w:cs="黑体-WinCharSetFFFF-H" w:hint="eastAsia"/>
                <w:sz w:val="24"/>
                <w:szCs w:val="24"/>
              </w:rPr>
              <w:t>主要基于以下三个</w:t>
            </w:r>
            <w:r w:rsidR="00183264">
              <w:rPr>
                <w:rFonts w:cs="黑体-WinCharSetFFFF-H" w:hint="eastAsia"/>
                <w:sz w:val="24"/>
                <w:szCs w:val="24"/>
              </w:rPr>
              <w:t>因素的影响</w:t>
            </w:r>
            <w:r w:rsidR="00085A98" w:rsidRPr="00085A98">
              <w:rPr>
                <w:rFonts w:cs="黑体-WinCharSetFFFF-H" w:hint="eastAsia"/>
                <w:sz w:val="24"/>
                <w:szCs w:val="24"/>
              </w:rPr>
              <w:t>：一是不同地区风光资源</w:t>
            </w:r>
            <w:r w:rsidR="00183264">
              <w:rPr>
                <w:rFonts w:cs="黑体-WinCharSetFFFF-H" w:hint="eastAsia"/>
                <w:sz w:val="24"/>
                <w:szCs w:val="24"/>
              </w:rPr>
              <w:t>在不同季节</w:t>
            </w:r>
            <w:r w:rsidR="00085A98" w:rsidRPr="00085A98">
              <w:rPr>
                <w:rFonts w:cs="黑体-WinCharSetFFFF-H" w:hint="eastAsia"/>
                <w:sz w:val="24"/>
                <w:szCs w:val="24"/>
              </w:rPr>
              <w:t>存在差异性，</w:t>
            </w:r>
            <w:r w:rsidR="00183264">
              <w:rPr>
                <w:rFonts w:cs="黑体-WinCharSetFFFF-H" w:hint="eastAsia"/>
                <w:sz w:val="24"/>
                <w:szCs w:val="24"/>
              </w:rPr>
              <w:t>导致</w:t>
            </w:r>
            <w:r w:rsidR="00085A98" w:rsidRPr="00085A98">
              <w:rPr>
                <w:rFonts w:cs="黑体-WinCharSetFFFF-H" w:hint="eastAsia"/>
                <w:sz w:val="24"/>
                <w:szCs w:val="24"/>
              </w:rPr>
              <w:t>发电设备平均利用小时、电量结构在报告期内</w:t>
            </w:r>
            <w:r w:rsidR="00183264">
              <w:rPr>
                <w:rFonts w:cs="黑体-WinCharSetFFFF-H" w:hint="eastAsia"/>
                <w:sz w:val="24"/>
                <w:szCs w:val="24"/>
              </w:rPr>
              <w:t>有所</w:t>
            </w:r>
            <w:r w:rsidR="00085A98" w:rsidRPr="00085A98">
              <w:rPr>
                <w:rFonts w:cs="黑体-WinCharSetFFFF-H" w:hint="eastAsia"/>
                <w:sz w:val="24"/>
                <w:szCs w:val="24"/>
              </w:rPr>
              <w:t>波动，</w:t>
            </w:r>
            <w:r w:rsidR="00183264">
              <w:rPr>
                <w:rFonts w:cs="黑体-WinCharSetFFFF-H" w:hint="eastAsia"/>
                <w:sz w:val="24"/>
                <w:szCs w:val="24"/>
              </w:rPr>
              <w:t>进而影响了</w:t>
            </w:r>
            <w:r w:rsidR="00085A98" w:rsidRPr="00085A98">
              <w:rPr>
                <w:rFonts w:cs="黑体-WinCharSetFFFF-H" w:hint="eastAsia"/>
                <w:sz w:val="24"/>
                <w:szCs w:val="24"/>
              </w:rPr>
              <w:t>毛利率水平；二是平价上网项目电价水平较补贴项目</w:t>
            </w:r>
            <w:r w:rsidR="00183264">
              <w:rPr>
                <w:rFonts w:cs="黑体-WinCharSetFFFF-H" w:hint="eastAsia"/>
                <w:sz w:val="24"/>
                <w:szCs w:val="24"/>
              </w:rPr>
              <w:t>有所</w:t>
            </w:r>
            <w:r w:rsidR="00085A98" w:rsidRPr="00085A98">
              <w:rPr>
                <w:rFonts w:cs="黑体-WinCharSetFFFF-H" w:hint="eastAsia"/>
                <w:sz w:val="24"/>
                <w:szCs w:val="24"/>
              </w:rPr>
              <w:t>下降，随着平价项目比例逐步增加，毛利率水平</w:t>
            </w:r>
            <w:r w:rsidR="00183264">
              <w:rPr>
                <w:rFonts w:cs="黑体-WinCharSetFFFF-H" w:hint="eastAsia"/>
                <w:sz w:val="24"/>
                <w:szCs w:val="24"/>
              </w:rPr>
              <w:t>相应地发生了变化</w:t>
            </w:r>
            <w:r w:rsidR="00085A98" w:rsidRPr="00085A98">
              <w:rPr>
                <w:rFonts w:cs="黑体-WinCharSetFFFF-H" w:hint="eastAsia"/>
                <w:sz w:val="24"/>
                <w:szCs w:val="24"/>
              </w:rPr>
              <w:t>；三是随着电力市场化改革向纵深推进，公司积极参与新能源市场化交易，逐步加大交易力度、扩大交易规模，电力交易及分摊费用等因素也在一定程度上</w:t>
            </w:r>
            <w:r w:rsidR="00183264">
              <w:rPr>
                <w:rFonts w:cs="黑体-WinCharSetFFFF-H" w:hint="eastAsia"/>
                <w:sz w:val="24"/>
                <w:szCs w:val="24"/>
              </w:rPr>
              <w:t>对毛利率水平产生了影响</w:t>
            </w:r>
            <w:r w:rsidR="00085A98" w:rsidRPr="00085A98">
              <w:rPr>
                <w:rFonts w:cs="黑体-WinCharSetFFFF-H" w:hint="eastAsia"/>
                <w:sz w:val="24"/>
                <w:szCs w:val="24"/>
              </w:rPr>
              <w:t>。</w:t>
            </w:r>
          </w:p>
          <w:p w14:paraId="5E8B735E" w14:textId="36677F81" w:rsidR="004204BC" w:rsidRPr="00B87B92" w:rsidRDefault="004204BC" w:rsidP="004204BC">
            <w:pPr>
              <w:pStyle w:val="a7"/>
              <w:spacing w:before="14"/>
              <w:ind w:left="0"/>
              <w:contextualSpacing/>
              <w:jc w:val="both"/>
              <w:rPr>
                <w:rFonts w:cs="黑体-WinCharSetFFFF-H" w:hint="eastAsia"/>
                <w:b/>
                <w:bCs/>
                <w:sz w:val="24"/>
                <w:szCs w:val="24"/>
                <w:lang w:val="en-US"/>
              </w:rPr>
            </w:pPr>
            <w:r w:rsidRPr="00B87B92">
              <w:rPr>
                <w:rFonts w:cs="黑体-WinCharSetFFFF-H" w:hint="eastAsia"/>
                <w:b/>
                <w:bCs/>
                <w:sz w:val="24"/>
                <w:szCs w:val="24"/>
              </w:rPr>
              <w:t>问题</w:t>
            </w:r>
            <w:r w:rsidR="00770D56">
              <w:rPr>
                <w:rFonts w:cs="黑体-WinCharSetFFFF-H" w:hint="eastAsia"/>
                <w:b/>
                <w:bCs/>
                <w:sz w:val="24"/>
                <w:szCs w:val="24"/>
              </w:rPr>
              <w:t>三</w:t>
            </w:r>
            <w:r w:rsidRPr="00B87B92">
              <w:rPr>
                <w:rFonts w:cs="黑体-WinCharSetFFFF-H" w:hint="eastAsia"/>
                <w:b/>
                <w:bCs/>
                <w:sz w:val="24"/>
                <w:szCs w:val="24"/>
              </w:rPr>
              <w:t>：</w:t>
            </w:r>
            <w:r w:rsidR="00085A98">
              <w:rPr>
                <w:rFonts w:cs="黑体-WinCharSetFFFF-H" w:hint="eastAsia"/>
                <w:b/>
                <w:bCs/>
                <w:sz w:val="24"/>
                <w:szCs w:val="24"/>
              </w:rPr>
              <w:t>公司的</w:t>
            </w:r>
            <w:r w:rsidR="009D4567" w:rsidRPr="009D4567">
              <w:rPr>
                <w:rFonts w:cs="黑体-WinCharSetFFFF-H" w:hint="eastAsia"/>
                <w:b/>
                <w:bCs/>
                <w:sz w:val="24"/>
                <w:szCs w:val="24"/>
              </w:rPr>
              <w:t>补贴回收情况</w:t>
            </w:r>
            <w:r w:rsidR="00085A98">
              <w:rPr>
                <w:rFonts w:cs="黑体-WinCharSetFFFF-H" w:hint="eastAsia"/>
                <w:b/>
                <w:bCs/>
                <w:sz w:val="24"/>
                <w:szCs w:val="24"/>
              </w:rPr>
              <w:t>如何</w:t>
            </w:r>
            <w:r w:rsidR="009D4567">
              <w:rPr>
                <w:rFonts w:cs="黑体-WinCharSetFFFF-H" w:hint="eastAsia"/>
                <w:b/>
                <w:bCs/>
                <w:sz w:val="24"/>
                <w:szCs w:val="24"/>
              </w:rPr>
              <w:t>？</w:t>
            </w:r>
          </w:p>
          <w:p w14:paraId="7E422CC2" w14:textId="3368FDCA" w:rsidR="004204BC" w:rsidRPr="0003198A" w:rsidRDefault="004204BC" w:rsidP="004204BC">
            <w:pPr>
              <w:pStyle w:val="a7"/>
              <w:spacing w:before="14"/>
              <w:ind w:left="0" w:firstLineChars="200" w:firstLine="482"/>
              <w:contextualSpacing/>
              <w:jc w:val="both"/>
              <w:rPr>
                <w:rFonts w:cs="黑体-WinCharSetFFFF-H" w:hint="eastAsia"/>
                <w:sz w:val="24"/>
                <w:szCs w:val="24"/>
              </w:rPr>
            </w:pPr>
            <w:r w:rsidRPr="00945B6F">
              <w:rPr>
                <w:rFonts w:cs="黑体-WinCharSetFFFF-H" w:hint="eastAsia"/>
                <w:b/>
                <w:bCs/>
                <w:sz w:val="24"/>
                <w:szCs w:val="24"/>
              </w:rPr>
              <w:t>答：</w:t>
            </w:r>
            <w:r w:rsidR="00085A98" w:rsidRPr="00085A98">
              <w:rPr>
                <w:rFonts w:cs="黑体-WinCharSetFFFF-H" w:hint="eastAsia"/>
                <w:sz w:val="24"/>
                <w:szCs w:val="24"/>
              </w:rPr>
              <w:t>2024年</w:t>
            </w:r>
            <w:r w:rsidR="00085A98">
              <w:rPr>
                <w:rFonts w:cs="黑体-WinCharSetFFFF-H" w:hint="eastAsia"/>
                <w:sz w:val="24"/>
                <w:szCs w:val="24"/>
              </w:rPr>
              <w:t>前三季度，公司</w:t>
            </w:r>
            <w:r w:rsidR="00085A98" w:rsidRPr="00085A98">
              <w:rPr>
                <w:rFonts w:cs="黑体-WinCharSetFFFF-H" w:hint="eastAsia"/>
                <w:sz w:val="24"/>
                <w:szCs w:val="24"/>
              </w:rPr>
              <w:t>应收补贴增加额为13.38亿元</w:t>
            </w:r>
            <w:r w:rsidR="0011745D">
              <w:rPr>
                <w:rFonts w:cs="黑体-WinCharSetFFFF-H" w:hint="eastAsia"/>
                <w:sz w:val="24"/>
                <w:szCs w:val="24"/>
              </w:rPr>
              <w:t>，</w:t>
            </w:r>
            <w:r w:rsidR="00085A98" w:rsidRPr="00085A98">
              <w:rPr>
                <w:rFonts w:cs="黑体-WinCharSetFFFF-H" w:hint="eastAsia"/>
                <w:sz w:val="24"/>
                <w:szCs w:val="24"/>
              </w:rPr>
              <w:t>9月末余额64.50亿元，占2024年9月末应收账款比例为80.50%。应收新能源补贴占应收账款比例较高，</w:t>
            </w:r>
            <w:r w:rsidR="009C4188">
              <w:rPr>
                <w:rFonts w:cs="黑体-WinCharSetFFFF-H" w:hint="eastAsia"/>
                <w:sz w:val="24"/>
                <w:szCs w:val="24"/>
              </w:rPr>
              <w:t>属于</w:t>
            </w:r>
            <w:r w:rsidR="00085A98" w:rsidRPr="00085A98">
              <w:rPr>
                <w:rFonts w:cs="黑体-WinCharSetFFFF-H" w:hint="eastAsia"/>
                <w:sz w:val="24"/>
                <w:szCs w:val="24"/>
              </w:rPr>
              <w:t>新能源电力行业特点，公司将持续关注可再生能源发电项目补贴发放相关进展情况</w:t>
            </w:r>
            <w:r w:rsidR="00085A98">
              <w:rPr>
                <w:rFonts w:cs="黑体-WinCharSetFFFF-H" w:hint="eastAsia"/>
                <w:sz w:val="24"/>
                <w:szCs w:val="24"/>
              </w:rPr>
              <w:t>，</w:t>
            </w:r>
            <w:r w:rsidR="00085A98" w:rsidRPr="00085A98">
              <w:rPr>
                <w:rFonts w:cs="黑体-WinCharSetFFFF-H" w:hint="eastAsia"/>
                <w:sz w:val="24"/>
                <w:szCs w:val="24"/>
              </w:rPr>
              <w:t>如有涉及披露事项，公司将按照相关规定进行披露。</w:t>
            </w:r>
          </w:p>
          <w:p w14:paraId="50937D70" w14:textId="1B147633" w:rsidR="009D4567" w:rsidRDefault="00954FF3" w:rsidP="00770D56">
            <w:pPr>
              <w:pStyle w:val="a7"/>
              <w:spacing w:before="14"/>
              <w:ind w:left="0"/>
              <w:contextualSpacing/>
              <w:jc w:val="both"/>
              <w:rPr>
                <w:rFonts w:cs="黑体-WinCharSetFFFF-H" w:hint="eastAsia"/>
                <w:b/>
                <w:bCs/>
                <w:sz w:val="24"/>
                <w:szCs w:val="24"/>
              </w:rPr>
            </w:pPr>
            <w:r w:rsidRPr="00B87B92">
              <w:rPr>
                <w:rFonts w:cs="黑体-WinCharSetFFFF-H" w:hint="eastAsia"/>
                <w:b/>
                <w:bCs/>
                <w:sz w:val="24"/>
                <w:szCs w:val="24"/>
              </w:rPr>
              <w:t>问题</w:t>
            </w:r>
            <w:r w:rsidR="00770D56">
              <w:rPr>
                <w:rFonts w:cs="黑体-WinCharSetFFFF-H" w:hint="eastAsia"/>
                <w:b/>
                <w:bCs/>
                <w:sz w:val="24"/>
                <w:szCs w:val="24"/>
              </w:rPr>
              <w:t>四</w:t>
            </w:r>
            <w:r w:rsidRPr="00B87B92">
              <w:rPr>
                <w:rFonts w:cs="黑体-WinCharSetFFFF-H" w:hint="eastAsia"/>
                <w:b/>
                <w:bCs/>
                <w:sz w:val="24"/>
                <w:szCs w:val="24"/>
              </w:rPr>
              <w:t>：</w:t>
            </w:r>
            <w:r w:rsidR="00085A98">
              <w:rPr>
                <w:rFonts w:cs="黑体-WinCharSetFFFF-H" w:hint="eastAsia"/>
                <w:b/>
                <w:bCs/>
                <w:sz w:val="24"/>
                <w:szCs w:val="24"/>
              </w:rPr>
              <w:t>公司</w:t>
            </w:r>
            <w:r w:rsidR="009D4567" w:rsidRPr="009D4567">
              <w:rPr>
                <w:rFonts w:cs="黑体-WinCharSetFFFF-H" w:hint="eastAsia"/>
                <w:b/>
                <w:bCs/>
                <w:sz w:val="24"/>
                <w:szCs w:val="24"/>
              </w:rPr>
              <w:t>分红以及未来分红政策</w:t>
            </w:r>
            <w:r w:rsidR="009D4567">
              <w:rPr>
                <w:rFonts w:cs="黑体-WinCharSetFFFF-H" w:hint="eastAsia"/>
                <w:b/>
                <w:bCs/>
                <w:sz w:val="24"/>
                <w:szCs w:val="24"/>
              </w:rPr>
              <w:t>？</w:t>
            </w:r>
          </w:p>
          <w:p w14:paraId="3ECE2511" w14:textId="3BB19B94" w:rsidR="004D26A2" w:rsidRPr="00EA5A5D" w:rsidRDefault="00954FF3" w:rsidP="00EA5A5D">
            <w:pPr>
              <w:pStyle w:val="a7"/>
              <w:spacing w:before="14"/>
              <w:ind w:left="0" w:firstLineChars="200" w:firstLine="482"/>
              <w:contextualSpacing/>
              <w:jc w:val="both"/>
              <w:rPr>
                <w:rFonts w:cs="黑体-WinCharSetFFFF-H" w:hint="eastAsia"/>
                <w:b/>
                <w:bCs/>
                <w:sz w:val="24"/>
                <w:szCs w:val="24"/>
              </w:rPr>
            </w:pPr>
            <w:r w:rsidRPr="00945B6F">
              <w:rPr>
                <w:rFonts w:cs="黑体-WinCharSetFFFF-H" w:hint="eastAsia"/>
                <w:b/>
                <w:bCs/>
                <w:sz w:val="24"/>
                <w:szCs w:val="24"/>
              </w:rPr>
              <w:lastRenderedPageBreak/>
              <w:t>答：</w:t>
            </w:r>
            <w:r w:rsidR="00EA5A5D" w:rsidRPr="00EA5A5D">
              <w:rPr>
                <w:rFonts w:cs="黑体-WinCharSetFFFF-H" w:hint="eastAsia"/>
                <w:sz w:val="24"/>
                <w:szCs w:val="24"/>
              </w:rPr>
              <w:t>公司作为国有控股上市公司，已建立起常态化的现金分红机制,未来将按照《国务院关于进一步完善国有资本经营预算制度的意见》《上市公司监管指引第3号-上市公司现金分红》等法律法规和公司章程的规定，积极实施现金分红，以切实回报股东。</w:t>
            </w:r>
            <w:r w:rsidR="00085A98" w:rsidRPr="00EA5A5D">
              <w:rPr>
                <w:rFonts w:cs="黑体-WinCharSetFFFF-H" w:hint="eastAsia"/>
                <w:sz w:val="24"/>
                <w:szCs w:val="24"/>
                <w:lang w:val="en-US"/>
              </w:rPr>
              <w:t>2023年度，公司合计已派发红利金额合计为3.44亿元，占公司2023年度</w:t>
            </w:r>
            <w:proofErr w:type="gramStart"/>
            <w:r w:rsidR="00085A98" w:rsidRPr="00EA5A5D">
              <w:rPr>
                <w:rFonts w:cs="黑体-WinCharSetFFFF-H" w:hint="eastAsia"/>
                <w:sz w:val="24"/>
                <w:szCs w:val="24"/>
                <w:lang w:val="en-US"/>
              </w:rPr>
              <w:t>归母净利润</w:t>
            </w:r>
            <w:proofErr w:type="gramEnd"/>
            <w:r w:rsidR="00085A98" w:rsidRPr="00EA5A5D">
              <w:rPr>
                <w:rFonts w:cs="黑体-WinCharSetFFFF-H" w:hint="eastAsia"/>
                <w:sz w:val="24"/>
                <w:szCs w:val="24"/>
                <w:lang w:val="en-US"/>
              </w:rPr>
              <w:t>的42.67%，折合股息率约为3%。2024年半年度派发现金红利1.97亿元，占公司2024年上半年度归属上市公司股东净利润（未经审计）的40.38%。</w:t>
            </w:r>
          </w:p>
        </w:tc>
      </w:tr>
      <w:tr w:rsidR="004C1999" w14:paraId="03CE7560" w14:textId="77777777" w:rsidTr="00945B6F">
        <w:trPr>
          <w:trHeight w:val="361"/>
        </w:trPr>
        <w:tc>
          <w:tcPr>
            <w:tcW w:w="2518" w:type="dxa"/>
          </w:tcPr>
          <w:p w14:paraId="24B1BE8D" w14:textId="64B6BE1A" w:rsidR="004C1999" w:rsidRPr="003E0083" w:rsidRDefault="004C1999" w:rsidP="002A225E">
            <w:pPr>
              <w:pStyle w:val="a7"/>
              <w:spacing w:before="14"/>
              <w:ind w:left="0"/>
              <w:contextualSpacing/>
              <w:jc w:val="both"/>
              <w:rPr>
                <w:rFonts w:cs="黑体-WinCharSetFFFF-H" w:hint="eastAsia"/>
                <w:sz w:val="24"/>
                <w:szCs w:val="24"/>
              </w:rPr>
            </w:pPr>
            <w:r w:rsidRPr="004C1999">
              <w:rPr>
                <w:rFonts w:cs="黑体-WinCharSetFFFF-H" w:hint="eastAsia"/>
                <w:sz w:val="24"/>
                <w:szCs w:val="24"/>
              </w:rPr>
              <w:lastRenderedPageBreak/>
              <w:t>附件清单</w:t>
            </w:r>
          </w:p>
        </w:tc>
        <w:tc>
          <w:tcPr>
            <w:tcW w:w="6004" w:type="dxa"/>
          </w:tcPr>
          <w:p w14:paraId="61CCAB24" w14:textId="2495D778" w:rsidR="004C1999" w:rsidRPr="003E0083" w:rsidRDefault="004C1999" w:rsidP="002A225E">
            <w:pPr>
              <w:pStyle w:val="a7"/>
              <w:spacing w:before="14"/>
              <w:ind w:left="0"/>
              <w:contextualSpacing/>
              <w:jc w:val="both"/>
              <w:rPr>
                <w:rFonts w:cs="黑体-WinCharSetFFFF-H" w:hint="eastAsia"/>
                <w:sz w:val="24"/>
                <w:szCs w:val="24"/>
              </w:rPr>
            </w:pPr>
            <w:r>
              <w:rPr>
                <w:rFonts w:cs="黑体-WinCharSetFFFF-H" w:hint="eastAsia"/>
                <w:sz w:val="24"/>
                <w:szCs w:val="24"/>
              </w:rPr>
              <w:t>无</w:t>
            </w:r>
          </w:p>
        </w:tc>
      </w:tr>
    </w:tbl>
    <w:p w14:paraId="072DEE2A" w14:textId="1C7B78F5" w:rsidR="00300FEB" w:rsidRPr="000418D4" w:rsidRDefault="00E24574">
      <w:pPr>
        <w:rPr>
          <w:rFonts w:hint="eastAsia"/>
          <w:sz w:val="24"/>
          <w:szCs w:val="24"/>
        </w:rPr>
      </w:pPr>
      <w:r w:rsidRPr="00E24574">
        <w:rPr>
          <w:rFonts w:hint="eastAsia"/>
          <w:sz w:val="24"/>
          <w:szCs w:val="24"/>
        </w:rPr>
        <w:t>注：公司严格遵守信息披露相关规则与投资者进行交流，</w:t>
      </w:r>
      <w:r w:rsidRPr="00E24574">
        <w:rPr>
          <w:sz w:val="24"/>
          <w:szCs w:val="24"/>
        </w:rPr>
        <w:t>如涉及战略划等意向性目标</w:t>
      </w:r>
      <w:r>
        <w:rPr>
          <w:rFonts w:hint="eastAsia"/>
          <w:sz w:val="24"/>
          <w:szCs w:val="24"/>
        </w:rPr>
        <w:t>，</w:t>
      </w:r>
      <w:r w:rsidRPr="00E24574">
        <w:rPr>
          <w:sz w:val="24"/>
          <w:szCs w:val="24"/>
        </w:rPr>
        <w:t>如涉及战略划等意向性目标</w:t>
      </w:r>
      <w:r>
        <w:rPr>
          <w:rFonts w:hint="eastAsia"/>
          <w:sz w:val="24"/>
          <w:szCs w:val="24"/>
        </w:rPr>
        <w:t>，</w:t>
      </w:r>
      <w:proofErr w:type="gramStart"/>
      <w:r w:rsidRPr="00E24574">
        <w:rPr>
          <w:sz w:val="24"/>
          <w:szCs w:val="24"/>
        </w:rPr>
        <w:t>不</w:t>
      </w:r>
      <w:proofErr w:type="gramEnd"/>
      <w:r w:rsidRPr="00E24574">
        <w:rPr>
          <w:sz w:val="24"/>
          <w:szCs w:val="24"/>
        </w:rPr>
        <w:t>视为公司或管理</w:t>
      </w:r>
      <w:r w:rsidRPr="00E24574">
        <w:rPr>
          <w:rFonts w:hint="eastAsia"/>
          <w:sz w:val="24"/>
          <w:szCs w:val="24"/>
        </w:rPr>
        <w:t>层对业绩的保证承诺，敬请广大投资者注意风险</w:t>
      </w:r>
      <w:r>
        <w:rPr>
          <w:rFonts w:hint="eastAsia"/>
          <w:sz w:val="24"/>
          <w:szCs w:val="24"/>
        </w:rPr>
        <w:t>。</w:t>
      </w:r>
    </w:p>
    <w:sectPr w:rsidR="00300FEB" w:rsidRPr="00041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AEACC" w14:textId="77777777" w:rsidR="00D145BE" w:rsidRDefault="00D145BE" w:rsidP="00300FEB">
      <w:pPr>
        <w:rPr>
          <w:rFonts w:hint="eastAsia"/>
        </w:rPr>
      </w:pPr>
      <w:r>
        <w:separator/>
      </w:r>
    </w:p>
  </w:endnote>
  <w:endnote w:type="continuationSeparator" w:id="0">
    <w:p w14:paraId="24EE039F" w14:textId="77777777" w:rsidR="00D145BE" w:rsidRDefault="00D145BE" w:rsidP="00300F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WinCharSetFFFF-H">
    <w:altName w:val="等线"/>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5ADE" w14:textId="77777777" w:rsidR="00D145BE" w:rsidRDefault="00D145BE" w:rsidP="00300FEB">
      <w:pPr>
        <w:rPr>
          <w:rFonts w:hint="eastAsia"/>
        </w:rPr>
      </w:pPr>
      <w:r>
        <w:separator/>
      </w:r>
    </w:p>
  </w:footnote>
  <w:footnote w:type="continuationSeparator" w:id="0">
    <w:p w14:paraId="4EE2A706" w14:textId="77777777" w:rsidR="00D145BE" w:rsidRDefault="00D145BE" w:rsidP="00300FE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46B16"/>
    <w:multiLevelType w:val="hybridMultilevel"/>
    <w:tmpl w:val="0F104F0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16cid:durableId="5971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20E9"/>
    <w:rsid w:val="000056AD"/>
    <w:rsid w:val="00011E19"/>
    <w:rsid w:val="00015272"/>
    <w:rsid w:val="000311E1"/>
    <w:rsid w:val="0003198A"/>
    <w:rsid w:val="000335AA"/>
    <w:rsid w:val="000337E4"/>
    <w:rsid w:val="00033845"/>
    <w:rsid w:val="00036AA8"/>
    <w:rsid w:val="000418D4"/>
    <w:rsid w:val="0004616A"/>
    <w:rsid w:val="00046745"/>
    <w:rsid w:val="00055D49"/>
    <w:rsid w:val="00057350"/>
    <w:rsid w:val="00066AEC"/>
    <w:rsid w:val="0007287B"/>
    <w:rsid w:val="00074283"/>
    <w:rsid w:val="00074B33"/>
    <w:rsid w:val="00075E59"/>
    <w:rsid w:val="00081834"/>
    <w:rsid w:val="00085A98"/>
    <w:rsid w:val="00086960"/>
    <w:rsid w:val="00087C30"/>
    <w:rsid w:val="000A364E"/>
    <w:rsid w:val="000B12DB"/>
    <w:rsid w:val="000B61AA"/>
    <w:rsid w:val="000C1919"/>
    <w:rsid w:val="000C194B"/>
    <w:rsid w:val="000E1662"/>
    <w:rsid w:val="000E4D85"/>
    <w:rsid w:val="000E5A7D"/>
    <w:rsid w:val="000E689C"/>
    <w:rsid w:val="000E7868"/>
    <w:rsid w:val="000E7DFD"/>
    <w:rsid w:val="000F44B5"/>
    <w:rsid w:val="0010009F"/>
    <w:rsid w:val="00100B26"/>
    <w:rsid w:val="00100FE0"/>
    <w:rsid w:val="0010599D"/>
    <w:rsid w:val="00107B0F"/>
    <w:rsid w:val="0011745D"/>
    <w:rsid w:val="0012017B"/>
    <w:rsid w:val="001216B8"/>
    <w:rsid w:val="00121C20"/>
    <w:rsid w:val="001277AD"/>
    <w:rsid w:val="00127F5E"/>
    <w:rsid w:val="00130E7B"/>
    <w:rsid w:val="001312A5"/>
    <w:rsid w:val="0013298C"/>
    <w:rsid w:val="001345F1"/>
    <w:rsid w:val="00134AEC"/>
    <w:rsid w:val="00142D6A"/>
    <w:rsid w:val="001431A5"/>
    <w:rsid w:val="00143D36"/>
    <w:rsid w:val="001445AA"/>
    <w:rsid w:val="001457EB"/>
    <w:rsid w:val="00145848"/>
    <w:rsid w:val="00157026"/>
    <w:rsid w:val="001614F3"/>
    <w:rsid w:val="001670C4"/>
    <w:rsid w:val="00175774"/>
    <w:rsid w:val="00182DCE"/>
    <w:rsid w:val="00183264"/>
    <w:rsid w:val="00183986"/>
    <w:rsid w:val="00183C6C"/>
    <w:rsid w:val="00185A89"/>
    <w:rsid w:val="001874C1"/>
    <w:rsid w:val="00195D11"/>
    <w:rsid w:val="001960C6"/>
    <w:rsid w:val="001A3C91"/>
    <w:rsid w:val="001B2156"/>
    <w:rsid w:val="001B6458"/>
    <w:rsid w:val="001B691D"/>
    <w:rsid w:val="001B6FB7"/>
    <w:rsid w:val="001B7B25"/>
    <w:rsid w:val="001C1173"/>
    <w:rsid w:val="001E0A52"/>
    <w:rsid w:val="001E1860"/>
    <w:rsid w:val="001E22D9"/>
    <w:rsid w:val="001F1C77"/>
    <w:rsid w:val="001F2D65"/>
    <w:rsid w:val="00202E1C"/>
    <w:rsid w:val="00204D62"/>
    <w:rsid w:val="00205DAE"/>
    <w:rsid w:val="00210ADF"/>
    <w:rsid w:val="00211C52"/>
    <w:rsid w:val="00215115"/>
    <w:rsid w:val="00216E60"/>
    <w:rsid w:val="0022263A"/>
    <w:rsid w:val="00230F85"/>
    <w:rsid w:val="00231475"/>
    <w:rsid w:val="0023237E"/>
    <w:rsid w:val="00233808"/>
    <w:rsid w:val="00236D99"/>
    <w:rsid w:val="002459B4"/>
    <w:rsid w:val="00245E3F"/>
    <w:rsid w:val="002507BF"/>
    <w:rsid w:val="00251EA1"/>
    <w:rsid w:val="002548A8"/>
    <w:rsid w:val="002554B1"/>
    <w:rsid w:val="002560F2"/>
    <w:rsid w:val="00260E59"/>
    <w:rsid w:val="00272CB6"/>
    <w:rsid w:val="0027580A"/>
    <w:rsid w:val="002803A2"/>
    <w:rsid w:val="00295456"/>
    <w:rsid w:val="002A225E"/>
    <w:rsid w:val="002A3D70"/>
    <w:rsid w:val="002B5E1A"/>
    <w:rsid w:val="002C0A6F"/>
    <w:rsid w:val="002C1A0C"/>
    <w:rsid w:val="002C3268"/>
    <w:rsid w:val="002C355A"/>
    <w:rsid w:val="002C6124"/>
    <w:rsid w:val="002D1FC8"/>
    <w:rsid w:val="002D7FF1"/>
    <w:rsid w:val="002E4E97"/>
    <w:rsid w:val="002F584A"/>
    <w:rsid w:val="00300FEB"/>
    <w:rsid w:val="003012AD"/>
    <w:rsid w:val="0030291B"/>
    <w:rsid w:val="00310DFA"/>
    <w:rsid w:val="003169CA"/>
    <w:rsid w:val="0032149B"/>
    <w:rsid w:val="00321A95"/>
    <w:rsid w:val="00322B1F"/>
    <w:rsid w:val="00324F58"/>
    <w:rsid w:val="0033555F"/>
    <w:rsid w:val="0034104C"/>
    <w:rsid w:val="003427B5"/>
    <w:rsid w:val="00352FC5"/>
    <w:rsid w:val="00353D88"/>
    <w:rsid w:val="00364518"/>
    <w:rsid w:val="00367400"/>
    <w:rsid w:val="0037512B"/>
    <w:rsid w:val="00391F09"/>
    <w:rsid w:val="00396B53"/>
    <w:rsid w:val="00397855"/>
    <w:rsid w:val="00397AC9"/>
    <w:rsid w:val="00397D65"/>
    <w:rsid w:val="003A297F"/>
    <w:rsid w:val="003A4BAB"/>
    <w:rsid w:val="003B7D5F"/>
    <w:rsid w:val="003D2162"/>
    <w:rsid w:val="003D2C03"/>
    <w:rsid w:val="003D395C"/>
    <w:rsid w:val="003E0083"/>
    <w:rsid w:val="003E2016"/>
    <w:rsid w:val="003E35DD"/>
    <w:rsid w:val="003F1ADC"/>
    <w:rsid w:val="00402231"/>
    <w:rsid w:val="004022B1"/>
    <w:rsid w:val="00405504"/>
    <w:rsid w:val="00412203"/>
    <w:rsid w:val="0041370A"/>
    <w:rsid w:val="00416401"/>
    <w:rsid w:val="004204BC"/>
    <w:rsid w:val="00423E11"/>
    <w:rsid w:val="0042589B"/>
    <w:rsid w:val="004262C2"/>
    <w:rsid w:val="0043586E"/>
    <w:rsid w:val="00436362"/>
    <w:rsid w:val="0043747B"/>
    <w:rsid w:val="004424A8"/>
    <w:rsid w:val="00450F82"/>
    <w:rsid w:val="0045123D"/>
    <w:rsid w:val="004636E6"/>
    <w:rsid w:val="00463C3F"/>
    <w:rsid w:val="00463FDA"/>
    <w:rsid w:val="00475F06"/>
    <w:rsid w:val="00481EC2"/>
    <w:rsid w:val="00485393"/>
    <w:rsid w:val="00485B64"/>
    <w:rsid w:val="004A0F4D"/>
    <w:rsid w:val="004B06F8"/>
    <w:rsid w:val="004B7DE7"/>
    <w:rsid w:val="004C1999"/>
    <w:rsid w:val="004C3B03"/>
    <w:rsid w:val="004C3B44"/>
    <w:rsid w:val="004C49D3"/>
    <w:rsid w:val="004C5EB6"/>
    <w:rsid w:val="004D26A2"/>
    <w:rsid w:val="004D3E8C"/>
    <w:rsid w:val="004D598C"/>
    <w:rsid w:val="004D794F"/>
    <w:rsid w:val="004E0531"/>
    <w:rsid w:val="004F1E1B"/>
    <w:rsid w:val="005003C3"/>
    <w:rsid w:val="00500759"/>
    <w:rsid w:val="00502175"/>
    <w:rsid w:val="005056B2"/>
    <w:rsid w:val="005143C7"/>
    <w:rsid w:val="00520ADE"/>
    <w:rsid w:val="00523B8B"/>
    <w:rsid w:val="00536B3A"/>
    <w:rsid w:val="00541C34"/>
    <w:rsid w:val="00543CFD"/>
    <w:rsid w:val="005573F3"/>
    <w:rsid w:val="00573DF9"/>
    <w:rsid w:val="0057521C"/>
    <w:rsid w:val="00580D95"/>
    <w:rsid w:val="005856A0"/>
    <w:rsid w:val="0058682A"/>
    <w:rsid w:val="00586F7A"/>
    <w:rsid w:val="00590524"/>
    <w:rsid w:val="00593C0C"/>
    <w:rsid w:val="0059697A"/>
    <w:rsid w:val="005B6253"/>
    <w:rsid w:val="005C5741"/>
    <w:rsid w:val="005D1BF1"/>
    <w:rsid w:val="005D46DD"/>
    <w:rsid w:val="005D4F56"/>
    <w:rsid w:val="005E0C39"/>
    <w:rsid w:val="005E1BD6"/>
    <w:rsid w:val="005F21ED"/>
    <w:rsid w:val="005F5344"/>
    <w:rsid w:val="005F77B4"/>
    <w:rsid w:val="006028A3"/>
    <w:rsid w:val="00604DD4"/>
    <w:rsid w:val="00605C95"/>
    <w:rsid w:val="00606894"/>
    <w:rsid w:val="0061191B"/>
    <w:rsid w:val="00615F38"/>
    <w:rsid w:val="006222FB"/>
    <w:rsid w:val="00633D52"/>
    <w:rsid w:val="00650B3E"/>
    <w:rsid w:val="00653AE6"/>
    <w:rsid w:val="0065680D"/>
    <w:rsid w:val="00660CC4"/>
    <w:rsid w:val="00662EC2"/>
    <w:rsid w:val="00667A65"/>
    <w:rsid w:val="00676FCE"/>
    <w:rsid w:val="00677544"/>
    <w:rsid w:val="006800DF"/>
    <w:rsid w:val="00685267"/>
    <w:rsid w:val="006868E3"/>
    <w:rsid w:val="00687A28"/>
    <w:rsid w:val="006911BB"/>
    <w:rsid w:val="00691C7D"/>
    <w:rsid w:val="006A7606"/>
    <w:rsid w:val="006A7C35"/>
    <w:rsid w:val="006B044C"/>
    <w:rsid w:val="006B36AB"/>
    <w:rsid w:val="006E31E4"/>
    <w:rsid w:val="006E77EF"/>
    <w:rsid w:val="006F2241"/>
    <w:rsid w:val="00703430"/>
    <w:rsid w:val="00703641"/>
    <w:rsid w:val="007174B6"/>
    <w:rsid w:val="007233B3"/>
    <w:rsid w:val="00733453"/>
    <w:rsid w:val="00737903"/>
    <w:rsid w:val="00741100"/>
    <w:rsid w:val="00747037"/>
    <w:rsid w:val="00751819"/>
    <w:rsid w:val="00751DFB"/>
    <w:rsid w:val="00753046"/>
    <w:rsid w:val="00760CBE"/>
    <w:rsid w:val="00770D56"/>
    <w:rsid w:val="007717CC"/>
    <w:rsid w:val="0077338E"/>
    <w:rsid w:val="00782908"/>
    <w:rsid w:val="00782FE9"/>
    <w:rsid w:val="00785EDF"/>
    <w:rsid w:val="0079163D"/>
    <w:rsid w:val="00791BCB"/>
    <w:rsid w:val="00794E64"/>
    <w:rsid w:val="007B20E9"/>
    <w:rsid w:val="007C0452"/>
    <w:rsid w:val="007D6305"/>
    <w:rsid w:val="007E05E4"/>
    <w:rsid w:val="007E7621"/>
    <w:rsid w:val="007F3D03"/>
    <w:rsid w:val="007F6625"/>
    <w:rsid w:val="008020B6"/>
    <w:rsid w:val="00803E7F"/>
    <w:rsid w:val="008055E9"/>
    <w:rsid w:val="0081045D"/>
    <w:rsid w:val="008120BD"/>
    <w:rsid w:val="0081243B"/>
    <w:rsid w:val="0081252E"/>
    <w:rsid w:val="008126FE"/>
    <w:rsid w:val="008130D8"/>
    <w:rsid w:val="00817642"/>
    <w:rsid w:val="00820139"/>
    <w:rsid w:val="00822D15"/>
    <w:rsid w:val="00833539"/>
    <w:rsid w:val="008354BB"/>
    <w:rsid w:val="0084439B"/>
    <w:rsid w:val="00847149"/>
    <w:rsid w:val="008505A1"/>
    <w:rsid w:val="00852DC1"/>
    <w:rsid w:val="00853E89"/>
    <w:rsid w:val="008642A4"/>
    <w:rsid w:val="008744CA"/>
    <w:rsid w:val="00877FA6"/>
    <w:rsid w:val="0088378B"/>
    <w:rsid w:val="008877DC"/>
    <w:rsid w:val="00896027"/>
    <w:rsid w:val="008B1F57"/>
    <w:rsid w:val="008B272B"/>
    <w:rsid w:val="008C0715"/>
    <w:rsid w:val="008C213C"/>
    <w:rsid w:val="008C2155"/>
    <w:rsid w:val="008C5D39"/>
    <w:rsid w:val="008D6CB1"/>
    <w:rsid w:val="008E0EF3"/>
    <w:rsid w:val="008E24BB"/>
    <w:rsid w:val="009012B7"/>
    <w:rsid w:val="00901CA4"/>
    <w:rsid w:val="009048CA"/>
    <w:rsid w:val="00910B6C"/>
    <w:rsid w:val="00911B5A"/>
    <w:rsid w:val="00917085"/>
    <w:rsid w:val="009204A6"/>
    <w:rsid w:val="00925B42"/>
    <w:rsid w:val="00931414"/>
    <w:rsid w:val="009315F6"/>
    <w:rsid w:val="00931B3D"/>
    <w:rsid w:val="00931B44"/>
    <w:rsid w:val="0093729D"/>
    <w:rsid w:val="00937324"/>
    <w:rsid w:val="00941A72"/>
    <w:rsid w:val="00944926"/>
    <w:rsid w:val="00945733"/>
    <w:rsid w:val="00945B6F"/>
    <w:rsid w:val="00947073"/>
    <w:rsid w:val="0094721C"/>
    <w:rsid w:val="00950355"/>
    <w:rsid w:val="00954466"/>
    <w:rsid w:val="00954FF3"/>
    <w:rsid w:val="009634E4"/>
    <w:rsid w:val="0096677A"/>
    <w:rsid w:val="009725E6"/>
    <w:rsid w:val="009846CC"/>
    <w:rsid w:val="0098711C"/>
    <w:rsid w:val="00996517"/>
    <w:rsid w:val="009C3654"/>
    <w:rsid w:val="009C4188"/>
    <w:rsid w:val="009C7995"/>
    <w:rsid w:val="009D04F0"/>
    <w:rsid w:val="009D4567"/>
    <w:rsid w:val="009D66F7"/>
    <w:rsid w:val="009D6740"/>
    <w:rsid w:val="009E360C"/>
    <w:rsid w:val="009F7BA1"/>
    <w:rsid w:val="00A247DA"/>
    <w:rsid w:val="00A2619E"/>
    <w:rsid w:val="00A33E64"/>
    <w:rsid w:val="00A4688A"/>
    <w:rsid w:val="00A6781B"/>
    <w:rsid w:val="00A708FA"/>
    <w:rsid w:val="00A81E20"/>
    <w:rsid w:val="00A81E43"/>
    <w:rsid w:val="00A82FA1"/>
    <w:rsid w:val="00A85122"/>
    <w:rsid w:val="00A8533E"/>
    <w:rsid w:val="00A874E8"/>
    <w:rsid w:val="00A903A5"/>
    <w:rsid w:val="00A92403"/>
    <w:rsid w:val="00AA3E81"/>
    <w:rsid w:val="00AA3F73"/>
    <w:rsid w:val="00AA722A"/>
    <w:rsid w:val="00AB2498"/>
    <w:rsid w:val="00AB26D3"/>
    <w:rsid w:val="00AB3B4E"/>
    <w:rsid w:val="00AB4028"/>
    <w:rsid w:val="00AC0934"/>
    <w:rsid w:val="00AC598A"/>
    <w:rsid w:val="00AC744E"/>
    <w:rsid w:val="00AE2E6D"/>
    <w:rsid w:val="00AE5C1C"/>
    <w:rsid w:val="00AF3833"/>
    <w:rsid w:val="00AF7DDC"/>
    <w:rsid w:val="00B027D6"/>
    <w:rsid w:val="00B1309B"/>
    <w:rsid w:val="00B4003E"/>
    <w:rsid w:val="00B457FA"/>
    <w:rsid w:val="00B51169"/>
    <w:rsid w:val="00B52C7A"/>
    <w:rsid w:val="00B576D7"/>
    <w:rsid w:val="00B61D4C"/>
    <w:rsid w:val="00B6544D"/>
    <w:rsid w:val="00B67142"/>
    <w:rsid w:val="00B72853"/>
    <w:rsid w:val="00B73E19"/>
    <w:rsid w:val="00B7644A"/>
    <w:rsid w:val="00B80816"/>
    <w:rsid w:val="00B87B92"/>
    <w:rsid w:val="00B96481"/>
    <w:rsid w:val="00B965CB"/>
    <w:rsid w:val="00B97E14"/>
    <w:rsid w:val="00BA390E"/>
    <w:rsid w:val="00BA4B85"/>
    <w:rsid w:val="00BB1C57"/>
    <w:rsid w:val="00BD747A"/>
    <w:rsid w:val="00BE2507"/>
    <w:rsid w:val="00BF32A1"/>
    <w:rsid w:val="00BF4EFA"/>
    <w:rsid w:val="00BF6F9C"/>
    <w:rsid w:val="00C009A9"/>
    <w:rsid w:val="00C00DAD"/>
    <w:rsid w:val="00C00F77"/>
    <w:rsid w:val="00C02914"/>
    <w:rsid w:val="00C06E6B"/>
    <w:rsid w:val="00C1530E"/>
    <w:rsid w:val="00C158CF"/>
    <w:rsid w:val="00C17A07"/>
    <w:rsid w:val="00C237CC"/>
    <w:rsid w:val="00C30134"/>
    <w:rsid w:val="00C32C40"/>
    <w:rsid w:val="00C42F8D"/>
    <w:rsid w:val="00C53152"/>
    <w:rsid w:val="00C610B8"/>
    <w:rsid w:val="00C61E80"/>
    <w:rsid w:val="00C72105"/>
    <w:rsid w:val="00C72DD5"/>
    <w:rsid w:val="00C739B1"/>
    <w:rsid w:val="00C76AB6"/>
    <w:rsid w:val="00C811E7"/>
    <w:rsid w:val="00C82CCB"/>
    <w:rsid w:val="00C86FEE"/>
    <w:rsid w:val="00C94BD2"/>
    <w:rsid w:val="00CA6B41"/>
    <w:rsid w:val="00CB167E"/>
    <w:rsid w:val="00CB193B"/>
    <w:rsid w:val="00CB3F8B"/>
    <w:rsid w:val="00CB41F2"/>
    <w:rsid w:val="00CB6F2D"/>
    <w:rsid w:val="00CC14C6"/>
    <w:rsid w:val="00CC2398"/>
    <w:rsid w:val="00CC3A1E"/>
    <w:rsid w:val="00CC46CA"/>
    <w:rsid w:val="00CC6CB8"/>
    <w:rsid w:val="00CE4C2D"/>
    <w:rsid w:val="00CE6E26"/>
    <w:rsid w:val="00CF0E2E"/>
    <w:rsid w:val="00CF530D"/>
    <w:rsid w:val="00CF54F3"/>
    <w:rsid w:val="00CF5A8B"/>
    <w:rsid w:val="00D00B1D"/>
    <w:rsid w:val="00D02C06"/>
    <w:rsid w:val="00D02DD3"/>
    <w:rsid w:val="00D145BE"/>
    <w:rsid w:val="00D1640F"/>
    <w:rsid w:val="00D32BB1"/>
    <w:rsid w:val="00D350D4"/>
    <w:rsid w:val="00D452D4"/>
    <w:rsid w:val="00D4659C"/>
    <w:rsid w:val="00D47F44"/>
    <w:rsid w:val="00D5598F"/>
    <w:rsid w:val="00D63E4D"/>
    <w:rsid w:val="00D76031"/>
    <w:rsid w:val="00D76AE3"/>
    <w:rsid w:val="00D81D27"/>
    <w:rsid w:val="00D93990"/>
    <w:rsid w:val="00D953D3"/>
    <w:rsid w:val="00D97E5A"/>
    <w:rsid w:val="00DA7779"/>
    <w:rsid w:val="00DA78B9"/>
    <w:rsid w:val="00DC0837"/>
    <w:rsid w:val="00DC08E4"/>
    <w:rsid w:val="00DC0CB3"/>
    <w:rsid w:val="00DC277E"/>
    <w:rsid w:val="00DC2DA8"/>
    <w:rsid w:val="00DC512F"/>
    <w:rsid w:val="00DC61F2"/>
    <w:rsid w:val="00DC62D0"/>
    <w:rsid w:val="00DC7408"/>
    <w:rsid w:val="00DD5133"/>
    <w:rsid w:val="00DD75FB"/>
    <w:rsid w:val="00DF3A3A"/>
    <w:rsid w:val="00DF3AAD"/>
    <w:rsid w:val="00DF4B0C"/>
    <w:rsid w:val="00DF4C2A"/>
    <w:rsid w:val="00E0523A"/>
    <w:rsid w:val="00E058CB"/>
    <w:rsid w:val="00E1791D"/>
    <w:rsid w:val="00E24574"/>
    <w:rsid w:val="00E25871"/>
    <w:rsid w:val="00E260C4"/>
    <w:rsid w:val="00E310B9"/>
    <w:rsid w:val="00E359CD"/>
    <w:rsid w:val="00E3683F"/>
    <w:rsid w:val="00E50130"/>
    <w:rsid w:val="00E50529"/>
    <w:rsid w:val="00E51686"/>
    <w:rsid w:val="00E54DD8"/>
    <w:rsid w:val="00E55CB7"/>
    <w:rsid w:val="00E6306D"/>
    <w:rsid w:val="00E644C0"/>
    <w:rsid w:val="00E702DE"/>
    <w:rsid w:val="00E71EDC"/>
    <w:rsid w:val="00E83F6F"/>
    <w:rsid w:val="00E86A77"/>
    <w:rsid w:val="00E86C15"/>
    <w:rsid w:val="00E967CD"/>
    <w:rsid w:val="00EA5A5D"/>
    <w:rsid w:val="00EA6DA4"/>
    <w:rsid w:val="00EB0030"/>
    <w:rsid w:val="00EB429A"/>
    <w:rsid w:val="00ED56CF"/>
    <w:rsid w:val="00EE0C09"/>
    <w:rsid w:val="00EE1D81"/>
    <w:rsid w:val="00EE557F"/>
    <w:rsid w:val="00EF304A"/>
    <w:rsid w:val="00EF71CA"/>
    <w:rsid w:val="00F0091F"/>
    <w:rsid w:val="00F17113"/>
    <w:rsid w:val="00F179C9"/>
    <w:rsid w:val="00F22946"/>
    <w:rsid w:val="00F257F0"/>
    <w:rsid w:val="00F3470F"/>
    <w:rsid w:val="00F41561"/>
    <w:rsid w:val="00F52CAE"/>
    <w:rsid w:val="00F561C3"/>
    <w:rsid w:val="00F56AAF"/>
    <w:rsid w:val="00F605E1"/>
    <w:rsid w:val="00F66976"/>
    <w:rsid w:val="00F71727"/>
    <w:rsid w:val="00F737C1"/>
    <w:rsid w:val="00F76C18"/>
    <w:rsid w:val="00F83E3E"/>
    <w:rsid w:val="00F92504"/>
    <w:rsid w:val="00F9293D"/>
    <w:rsid w:val="00F94392"/>
    <w:rsid w:val="00FA0359"/>
    <w:rsid w:val="00FA170E"/>
    <w:rsid w:val="00FA4E59"/>
    <w:rsid w:val="00FA7174"/>
    <w:rsid w:val="00FB5B2C"/>
    <w:rsid w:val="00FB6985"/>
    <w:rsid w:val="00FC4D5D"/>
    <w:rsid w:val="00FD200B"/>
    <w:rsid w:val="00FD3EEC"/>
    <w:rsid w:val="00FE538A"/>
    <w:rsid w:val="00FF0CFE"/>
    <w:rsid w:val="00FF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BAA2"/>
  <w15:chartTrackingRefBased/>
  <w15:docId w15:val="{D76A6EF3-FAB6-4AF0-B8ED-E339E497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00FEB"/>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F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0FEB"/>
    <w:rPr>
      <w:sz w:val="18"/>
      <w:szCs w:val="18"/>
    </w:rPr>
  </w:style>
  <w:style w:type="paragraph" w:styleId="a5">
    <w:name w:val="footer"/>
    <w:basedOn w:val="a"/>
    <w:link w:val="a6"/>
    <w:uiPriority w:val="99"/>
    <w:unhideWhenUsed/>
    <w:rsid w:val="00300FEB"/>
    <w:pPr>
      <w:tabs>
        <w:tab w:val="center" w:pos="4153"/>
        <w:tab w:val="right" w:pos="8306"/>
      </w:tabs>
      <w:snapToGrid w:val="0"/>
    </w:pPr>
    <w:rPr>
      <w:sz w:val="18"/>
      <w:szCs w:val="18"/>
    </w:rPr>
  </w:style>
  <w:style w:type="character" w:customStyle="1" w:styleId="a6">
    <w:name w:val="页脚 字符"/>
    <w:basedOn w:val="a0"/>
    <w:link w:val="a5"/>
    <w:uiPriority w:val="99"/>
    <w:rsid w:val="00300FEB"/>
    <w:rPr>
      <w:sz w:val="18"/>
      <w:szCs w:val="18"/>
    </w:rPr>
  </w:style>
  <w:style w:type="paragraph" w:styleId="a7">
    <w:name w:val="Body Text"/>
    <w:basedOn w:val="a"/>
    <w:link w:val="a8"/>
    <w:uiPriority w:val="1"/>
    <w:qFormat/>
    <w:rsid w:val="00300FEB"/>
    <w:pPr>
      <w:ind w:left="1140"/>
    </w:pPr>
    <w:rPr>
      <w:sz w:val="30"/>
      <w:szCs w:val="30"/>
    </w:rPr>
  </w:style>
  <w:style w:type="character" w:customStyle="1" w:styleId="a8">
    <w:name w:val="正文文本 字符"/>
    <w:basedOn w:val="a0"/>
    <w:link w:val="a7"/>
    <w:uiPriority w:val="1"/>
    <w:rsid w:val="00300FEB"/>
    <w:rPr>
      <w:rFonts w:ascii="宋体" w:eastAsia="宋体" w:hAnsi="宋体" w:cs="宋体"/>
      <w:kern w:val="0"/>
      <w:sz w:val="30"/>
      <w:szCs w:val="30"/>
      <w:lang w:val="zh-CN" w:bidi="zh-CN"/>
    </w:rPr>
  </w:style>
  <w:style w:type="paragraph" w:styleId="a9">
    <w:name w:val="List Paragraph"/>
    <w:basedOn w:val="a"/>
    <w:uiPriority w:val="34"/>
    <w:qFormat/>
    <w:rsid w:val="00950355"/>
    <w:pPr>
      <w:autoSpaceDE/>
      <w:autoSpaceDN/>
      <w:ind w:firstLineChars="200" w:firstLine="420"/>
      <w:jc w:val="both"/>
    </w:pPr>
    <w:rPr>
      <w:rFonts w:ascii="Calibri" w:hAnsi="Calibri" w:cs="Times New Roman"/>
      <w:kern w:val="2"/>
      <w:sz w:val="21"/>
      <w:lang w:val="en-US" w:bidi="ar-SA"/>
    </w:rPr>
  </w:style>
  <w:style w:type="character" w:styleId="aa">
    <w:name w:val="annotation reference"/>
    <w:basedOn w:val="a0"/>
    <w:uiPriority w:val="99"/>
    <w:semiHidden/>
    <w:unhideWhenUsed/>
    <w:rsid w:val="00950355"/>
    <w:rPr>
      <w:sz w:val="21"/>
      <w:szCs w:val="21"/>
    </w:rPr>
  </w:style>
  <w:style w:type="paragraph" w:styleId="ab">
    <w:name w:val="annotation text"/>
    <w:basedOn w:val="a"/>
    <w:link w:val="ac"/>
    <w:uiPriority w:val="99"/>
    <w:unhideWhenUsed/>
    <w:rsid w:val="00950355"/>
    <w:pPr>
      <w:autoSpaceDE/>
      <w:autoSpaceDN/>
    </w:pPr>
    <w:rPr>
      <w:rFonts w:ascii="Calibri" w:hAnsi="Calibri" w:cs="Times New Roman"/>
      <w:kern w:val="2"/>
      <w:sz w:val="21"/>
      <w:lang w:val="en-US" w:bidi="ar-SA"/>
    </w:rPr>
  </w:style>
  <w:style w:type="character" w:customStyle="1" w:styleId="ac">
    <w:name w:val="批注文字 字符"/>
    <w:basedOn w:val="a0"/>
    <w:link w:val="ab"/>
    <w:uiPriority w:val="99"/>
    <w:rsid w:val="00950355"/>
    <w:rPr>
      <w:rFonts w:ascii="Calibri" w:eastAsia="宋体" w:hAnsi="Calibri" w:cs="Times New Roman"/>
    </w:rPr>
  </w:style>
  <w:style w:type="paragraph" w:styleId="ad">
    <w:name w:val="Balloon Text"/>
    <w:basedOn w:val="a"/>
    <w:link w:val="ae"/>
    <w:uiPriority w:val="99"/>
    <w:semiHidden/>
    <w:unhideWhenUsed/>
    <w:rsid w:val="00FA0359"/>
    <w:rPr>
      <w:sz w:val="18"/>
      <w:szCs w:val="18"/>
    </w:rPr>
  </w:style>
  <w:style w:type="character" w:customStyle="1" w:styleId="ae">
    <w:name w:val="批注框文本 字符"/>
    <w:basedOn w:val="a0"/>
    <w:link w:val="ad"/>
    <w:uiPriority w:val="99"/>
    <w:semiHidden/>
    <w:rsid w:val="00FA0359"/>
    <w:rPr>
      <w:rFonts w:ascii="宋体" w:eastAsia="宋体" w:hAnsi="宋体" w:cs="宋体"/>
      <w:kern w:val="0"/>
      <w:sz w:val="18"/>
      <w:szCs w:val="18"/>
      <w:lang w:val="zh-CN" w:bidi="zh-CN"/>
    </w:rPr>
  </w:style>
  <w:style w:type="paragraph" w:styleId="af">
    <w:name w:val="annotation subject"/>
    <w:basedOn w:val="ab"/>
    <w:next w:val="ab"/>
    <w:link w:val="af0"/>
    <w:uiPriority w:val="99"/>
    <w:semiHidden/>
    <w:unhideWhenUsed/>
    <w:rsid w:val="000418D4"/>
    <w:pPr>
      <w:autoSpaceDE w:val="0"/>
      <w:autoSpaceDN w:val="0"/>
    </w:pPr>
    <w:rPr>
      <w:rFonts w:ascii="宋体" w:hAnsi="宋体" w:cs="宋体"/>
      <w:b/>
      <w:bCs/>
      <w:kern w:val="0"/>
      <w:sz w:val="22"/>
      <w:lang w:val="zh-CN" w:bidi="zh-CN"/>
    </w:rPr>
  </w:style>
  <w:style w:type="character" w:customStyle="1" w:styleId="af0">
    <w:name w:val="批注主题 字符"/>
    <w:basedOn w:val="ac"/>
    <w:link w:val="af"/>
    <w:uiPriority w:val="99"/>
    <w:semiHidden/>
    <w:rsid w:val="000418D4"/>
    <w:rPr>
      <w:rFonts w:ascii="宋体" w:eastAsia="宋体" w:hAnsi="宋体" w:cs="宋体"/>
      <w:b/>
      <w:bCs/>
      <w:kern w:val="0"/>
      <w:sz w:val="22"/>
      <w:lang w:val="zh-CN" w:bidi="zh-CN"/>
    </w:rPr>
  </w:style>
  <w:style w:type="character" w:styleId="af1">
    <w:name w:val="Hyperlink"/>
    <w:basedOn w:val="a0"/>
    <w:uiPriority w:val="99"/>
    <w:unhideWhenUsed/>
    <w:rsid w:val="00121C20"/>
    <w:rPr>
      <w:color w:val="0563C1" w:themeColor="hyperlink"/>
      <w:u w:val="single"/>
    </w:rPr>
  </w:style>
  <w:style w:type="table" w:styleId="af2">
    <w:name w:val="Table Grid"/>
    <w:basedOn w:val="a1"/>
    <w:uiPriority w:val="39"/>
    <w:rsid w:val="003E0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3E0083"/>
  </w:style>
  <w:style w:type="paragraph" w:styleId="af3">
    <w:name w:val="Revision"/>
    <w:hidden/>
    <w:uiPriority w:val="99"/>
    <w:semiHidden/>
    <w:rsid w:val="00E86C15"/>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085771">
      <w:bodyDiv w:val="1"/>
      <w:marLeft w:val="0"/>
      <w:marRight w:val="0"/>
      <w:marTop w:val="0"/>
      <w:marBottom w:val="0"/>
      <w:divBdr>
        <w:top w:val="none" w:sz="0" w:space="0" w:color="auto"/>
        <w:left w:val="none" w:sz="0" w:space="0" w:color="auto"/>
        <w:bottom w:val="none" w:sz="0" w:space="0" w:color="auto"/>
        <w:right w:val="none" w:sz="0" w:space="0" w:color="auto"/>
      </w:divBdr>
      <w:divsChild>
        <w:div w:id="1444038961">
          <w:marLeft w:val="0"/>
          <w:marRight w:val="0"/>
          <w:marTop w:val="0"/>
          <w:marBottom w:val="0"/>
          <w:divBdr>
            <w:top w:val="none" w:sz="0" w:space="0" w:color="auto"/>
            <w:left w:val="none" w:sz="0" w:space="0" w:color="auto"/>
            <w:bottom w:val="none" w:sz="0" w:space="0" w:color="auto"/>
            <w:right w:val="none" w:sz="0" w:space="0" w:color="auto"/>
          </w:divBdr>
          <w:divsChild>
            <w:div w:id="1876576290">
              <w:marLeft w:val="0"/>
              <w:marRight w:val="0"/>
              <w:marTop w:val="0"/>
              <w:marBottom w:val="0"/>
              <w:divBdr>
                <w:top w:val="none" w:sz="0" w:space="0" w:color="auto"/>
                <w:left w:val="none" w:sz="0" w:space="0" w:color="auto"/>
                <w:bottom w:val="none" w:sz="0" w:space="0" w:color="auto"/>
                <w:right w:val="none" w:sz="0" w:space="0" w:color="auto"/>
              </w:divBdr>
              <w:divsChild>
                <w:div w:id="63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2</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dc:creator>
  <cp:keywords/>
  <dc:description/>
  <cp:lastModifiedBy>刘洋</cp:lastModifiedBy>
  <cp:revision>228</cp:revision>
  <cp:lastPrinted>2023-06-30T10:42:00Z</cp:lastPrinted>
  <dcterms:created xsi:type="dcterms:W3CDTF">2022-06-08T08:48:00Z</dcterms:created>
  <dcterms:modified xsi:type="dcterms:W3CDTF">2024-11-26T09:28:00Z</dcterms:modified>
</cp:coreProperties>
</file>