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80E7E" w14:textId="77777777" w:rsidR="00745ADE" w:rsidRPr="00EB2DCA" w:rsidRDefault="00745ADE" w:rsidP="00DC6E52">
      <w:pPr>
        <w:adjustRightInd w:val="0"/>
        <w:spacing w:line="360" w:lineRule="auto"/>
        <w:jc w:val="center"/>
        <w:rPr>
          <w:rFonts w:ascii="黑体" w:eastAsia="黑体" w:hAnsi="黑体" w:cs="Times New Roman"/>
          <w:b/>
          <w:color w:val="FF0000"/>
          <w:sz w:val="36"/>
          <w:szCs w:val="36"/>
        </w:rPr>
      </w:pPr>
      <w:r w:rsidRPr="00EB2DCA">
        <w:rPr>
          <w:rFonts w:ascii="黑体" w:eastAsia="黑体" w:hAnsi="黑体" w:cs="Times New Roman" w:hint="eastAsia"/>
          <w:b/>
          <w:color w:val="FF0000"/>
          <w:sz w:val="36"/>
          <w:szCs w:val="36"/>
        </w:rPr>
        <w:t>青岛汇金通电力设备股份有限公司</w:t>
      </w:r>
    </w:p>
    <w:p w14:paraId="7C886882" w14:textId="77777777" w:rsidR="00D07D54" w:rsidRDefault="00D07D54" w:rsidP="00D07D54">
      <w:pPr>
        <w:adjustRightInd w:val="0"/>
        <w:spacing w:line="360" w:lineRule="auto"/>
        <w:jc w:val="center"/>
        <w:rPr>
          <w:rFonts w:ascii="黑体" w:eastAsia="黑体" w:hAnsi="黑体" w:cs="Times New Roman"/>
          <w:b/>
          <w:color w:val="FF0000"/>
          <w:sz w:val="36"/>
          <w:szCs w:val="36"/>
        </w:rPr>
      </w:pPr>
      <w:r w:rsidRPr="00D07D54">
        <w:rPr>
          <w:rFonts w:ascii="黑体" w:eastAsia="黑体" w:hAnsi="黑体" w:cs="Times New Roman" w:hint="eastAsia"/>
          <w:b/>
          <w:color w:val="FF0000"/>
          <w:sz w:val="36"/>
          <w:szCs w:val="36"/>
        </w:rPr>
        <w:t>2024年青岛辖区上市公司投资者网上集体接待日</w:t>
      </w:r>
    </w:p>
    <w:p w14:paraId="16C0BAB0" w14:textId="181E39D8" w:rsidR="00D406C1" w:rsidRPr="00EB2DCA" w:rsidRDefault="00D07D54" w:rsidP="00D07D54">
      <w:pPr>
        <w:adjustRightInd w:val="0"/>
        <w:spacing w:line="360" w:lineRule="auto"/>
        <w:jc w:val="center"/>
        <w:rPr>
          <w:rFonts w:ascii="黑体" w:eastAsia="黑体" w:hAnsi="黑体" w:cs="Times New Roman"/>
          <w:b/>
          <w:color w:val="FF0000"/>
          <w:sz w:val="36"/>
          <w:szCs w:val="36"/>
        </w:rPr>
      </w:pPr>
      <w:r w:rsidRPr="00D07D54">
        <w:rPr>
          <w:rFonts w:ascii="黑体" w:eastAsia="黑体" w:hAnsi="黑体" w:cs="Times New Roman" w:hint="eastAsia"/>
          <w:b/>
          <w:color w:val="FF0000"/>
          <w:sz w:val="36"/>
          <w:szCs w:val="36"/>
        </w:rPr>
        <w:t>活动暨2024年第三季度业绩说明会</w:t>
      </w:r>
      <w:r w:rsidR="00745ADE" w:rsidRPr="00EB2DCA">
        <w:rPr>
          <w:rFonts w:ascii="黑体" w:eastAsia="黑体" w:hAnsi="黑体" w:cs="Times New Roman" w:hint="eastAsia"/>
          <w:b/>
          <w:color w:val="FF0000"/>
          <w:sz w:val="36"/>
          <w:szCs w:val="36"/>
        </w:rPr>
        <w:t>召开情况</w:t>
      </w:r>
    </w:p>
    <w:p w14:paraId="7AC6AD47" w14:textId="77777777" w:rsidR="00EB2DCA" w:rsidRDefault="00EB2DCA" w:rsidP="00DC6E52">
      <w:pPr>
        <w:widowControl/>
        <w:ind w:firstLineChars="200" w:firstLine="480"/>
        <w:rPr>
          <w:rFonts w:asciiTheme="minorEastAsia" w:hAnsiTheme="minorEastAsia" w:cs="Arial"/>
          <w:kern w:val="0"/>
          <w:sz w:val="24"/>
          <w:szCs w:val="20"/>
        </w:rPr>
      </w:pPr>
    </w:p>
    <w:p w14:paraId="32F2779A" w14:textId="104883F5" w:rsidR="00455D11" w:rsidRDefault="00745ADE" w:rsidP="00D208FE">
      <w:pPr>
        <w:widowControl/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0"/>
        </w:rPr>
      </w:pP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青岛汇金通电力设备股份有限公司（以下简称“公司”）于</w:t>
      </w:r>
      <w:r w:rsidR="00B5033A" w:rsidRPr="002A7A9B">
        <w:rPr>
          <w:rFonts w:asciiTheme="minorEastAsia" w:hAnsiTheme="minorEastAsia" w:hint="eastAsia"/>
          <w:color w:val="000000" w:themeColor="text1"/>
          <w:sz w:val="24"/>
          <w:szCs w:val="24"/>
        </w:rPr>
        <w:t>202</w:t>
      </w:r>
      <w:r w:rsidR="006162D0" w:rsidRPr="002A7A9B">
        <w:rPr>
          <w:rFonts w:asciiTheme="minorEastAsia" w:hAnsiTheme="minorEastAsia"/>
          <w:color w:val="000000" w:themeColor="text1"/>
          <w:sz w:val="24"/>
          <w:szCs w:val="24"/>
        </w:rPr>
        <w:t>4</w:t>
      </w:r>
      <w:r w:rsidR="00B5033A" w:rsidRPr="002A7A9B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D07D54">
        <w:rPr>
          <w:rFonts w:asciiTheme="minorEastAsia" w:hAnsiTheme="minorEastAsia"/>
          <w:color w:val="000000" w:themeColor="text1"/>
          <w:sz w:val="24"/>
          <w:szCs w:val="24"/>
        </w:rPr>
        <w:t>11</w:t>
      </w:r>
      <w:r w:rsidR="00B5033A" w:rsidRPr="002A7A9B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D07D54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D07D54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="00B5033A" w:rsidRPr="002A7A9B">
        <w:rPr>
          <w:rFonts w:asciiTheme="minorEastAsia" w:hAnsiTheme="minorEastAsia" w:hint="eastAsia"/>
          <w:color w:val="000000" w:themeColor="text1"/>
          <w:sz w:val="24"/>
          <w:szCs w:val="24"/>
        </w:rPr>
        <w:t>日15:00-1</w:t>
      </w:r>
      <w:r w:rsidR="00D07D54">
        <w:rPr>
          <w:rFonts w:asciiTheme="minorEastAsia" w:hAnsiTheme="minorEastAsia"/>
          <w:color w:val="000000" w:themeColor="text1"/>
          <w:sz w:val="24"/>
          <w:szCs w:val="24"/>
        </w:rPr>
        <w:t>7</w:t>
      </w:r>
      <w:r w:rsidR="00D07D54">
        <w:rPr>
          <w:rFonts w:asciiTheme="minorEastAsia" w:hAnsiTheme="minorEastAsia" w:hint="eastAsia"/>
          <w:color w:val="000000" w:themeColor="text1"/>
          <w:sz w:val="24"/>
          <w:szCs w:val="24"/>
        </w:rPr>
        <w:t>:</w:t>
      </w:r>
      <w:r w:rsidR="00D07D54">
        <w:rPr>
          <w:rFonts w:asciiTheme="minorEastAsia" w:hAnsiTheme="minorEastAsia"/>
          <w:color w:val="000000" w:themeColor="text1"/>
          <w:sz w:val="24"/>
          <w:szCs w:val="24"/>
        </w:rPr>
        <w:t>0</w:t>
      </w:r>
      <w:r w:rsidR="00B5033A" w:rsidRPr="002A7A9B">
        <w:rPr>
          <w:rFonts w:asciiTheme="minorEastAsia" w:hAnsiTheme="minorEastAsia" w:hint="eastAsia"/>
          <w:color w:val="000000" w:themeColor="text1"/>
          <w:sz w:val="24"/>
          <w:szCs w:val="24"/>
        </w:rPr>
        <w:t>0</w:t>
      </w: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在</w:t>
      </w:r>
      <w:r w:rsidR="00D07D54" w:rsidRPr="00193522">
        <w:rPr>
          <w:rFonts w:asciiTheme="minorEastAsia" w:hAnsiTheme="minorEastAsia" w:hint="eastAsia"/>
          <w:color w:val="000000" w:themeColor="text1"/>
          <w:sz w:val="24"/>
        </w:rPr>
        <w:t>中国证</w:t>
      </w:r>
      <w:r w:rsidR="00D07D54" w:rsidRPr="00193522">
        <w:rPr>
          <w:rFonts w:asciiTheme="minorEastAsia" w:hAnsiTheme="minorEastAsia"/>
          <w:color w:val="000000" w:themeColor="text1"/>
          <w:sz w:val="24"/>
        </w:rPr>
        <w:t>券报中证网</w:t>
      </w:r>
      <w:r w:rsidR="00D07D54" w:rsidRPr="00193522">
        <w:rPr>
          <w:rFonts w:asciiTheme="minorEastAsia" w:hAnsiTheme="minorEastAsia" w:hint="eastAsia"/>
          <w:color w:val="000000" w:themeColor="text1"/>
          <w:sz w:val="24"/>
        </w:rPr>
        <w:t>（</w:t>
      </w:r>
      <w:r w:rsidR="00D07D54" w:rsidRPr="00D208FE">
        <w:rPr>
          <w:rFonts w:ascii="Times New Roman" w:hAnsi="Times New Roman" w:cs="Times New Roman"/>
          <w:sz w:val="24"/>
        </w:rPr>
        <w:t>https://www.cs.com.cn</w:t>
      </w:r>
      <w:r w:rsidR="00D07D54" w:rsidRPr="00193522">
        <w:rPr>
          <w:rFonts w:asciiTheme="minorEastAsia" w:hAnsiTheme="minorEastAsia" w:hint="eastAsia"/>
          <w:color w:val="000000" w:themeColor="text1"/>
          <w:sz w:val="24"/>
        </w:rPr>
        <w:t>）</w:t>
      </w: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以</w:t>
      </w:r>
      <w:r w:rsidR="006938FA" w:rsidRPr="002A7A9B">
        <w:rPr>
          <w:rFonts w:asciiTheme="minorEastAsia" w:hAnsiTheme="minorEastAsia" w:cs="Arial" w:hint="eastAsia"/>
          <w:kern w:val="0"/>
          <w:sz w:val="24"/>
          <w:szCs w:val="20"/>
        </w:rPr>
        <w:t>网络互动</w:t>
      </w: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方式</w:t>
      </w:r>
      <w:r w:rsidR="00D07D54" w:rsidRPr="00D07D54">
        <w:rPr>
          <w:rFonts w:asciiTheme="minorEastAsia" w:hAnsiTheme="minorEastAsia" w:cs="Arial" w:hint="eastAsia"/>
          <w:kern w:val="0"/>
          <w:sz w:val="24"/>
          <w:szCs w:val="20"/>
        </w:rPr>
        <w:t>参加</w:t>
      </w:r>
      <w:r w:rsidR="00D07D54">
        <w:rPr>
          <w:rFonts w:asciiTheme="minorEastAsia" w:hAnsiTheme="minorEastAsia" w:cs="Arial" w:hint="eastAsia"/>
          <w:kern w:val="0"/>
          <w:sz w:val="24"/>
          <w:szCs w:val="20"/>
        </w:rPr>
        <w:t>了“</w:t>
      </w:r>
      <w:r w:rsidR="00D07D54" w:rsidRPr="00D07D54">
        <w:rPr>
          <w:rFonts w:asciiTheme="minorEastAsia" w:hAnsiTheme="minorEastAsia" w:cs="Arial" w:hint="eastAsia"/>
          <w:kern w:val="0"/>
          <w:sz w:val="24"/>
          <w:szCs w:val="20"/>
        </w:rPr>
        <w:t>2024年青岛辖区上市公司投资者网上集体接待日活动</w:t>
      </w:r>
      <w:r w:rsidR="00D07D54">
        <w:rPr>
          <w:rFonts w:asciiTheme="minorEastAsia" w:hAnsiTheme="minorEastAsia" w:cs="Arial" w:hint="eastAsia"/>
          <w:kern w:val="0"/>
          <w:sz w:val="24"/>
          <w:szCs w:val="20"/>
        </w:rPr>
        <w:t>”</w:t>
      </w:r>
      <w:r w:rsidR="00D07D54" w:rsidRPr="00D07D54">
        <w:rPr>
          <w:rFonts w:asciiTheme="minorEastAsia" w:hAnsiTheme="minorEastAsia" w:cs="Arial" w:hint="eastAsia"/>
          <w:kern w:val="0"/>
          <w:sz w:val="24"/>
          <w:szCs w:val="20"/>
        </w:rPr>
        <w:t>暨召开2024年第三季度业绩说明会</w:t>
      </w: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。关于本次说明会的召开事项，</w:t>
      </w:r>
      <w:r w:rsidR="006C7ECE" w:rsidRPr="002A7A9B">
        <w:rPr>
          <w:rFonts w:asciiTheme="minorEastAsia" w:hAnsiTheme="minorEastAsia" w:cs="Arial" w:hint="eastAsia"/>
          <w:kern w:val="0"/>
          <w:sz w:val="24"/>
          <w:szCs w:val="20"/>
        </w:rPr>
        <w:t>详见公司于202</w:t>
      </w:r>
      <w:r w:rsidR="006162D0" w:rsidRPr="002A7A9B">
        <w:rPr>
          <w:rFonts w:asciiTheme="minorEastAsia" w:hAnsiTheme="minorEastAsia" w:cs="Arial"/>
          <w:kern w:val="0"/>
          <w:sz w:val="24"/>
          <w:szCs w:val="20"/>
        </w:rPr>
        <w:t>4</w:t>
      </w:r>
      <w:r w:rsidR="006C7ECE" w:rsidRPr="002A7A9B">
        <w:rPr>
          <w:rFonts w:asciiTheme="minorEastAsia" w:hAnsiTheme="minorEastAsia" w:cs="Arial" w:hint="eastAsia"/>
          <w:kern w:val="0"/>
          <w:sz w:val="24"/>
          <w:szCs w:val="20"/>
        </w:rPr>
        <w:t>年</w:t>
      </w:r>
      <w:r w:rsidR="00D07D54">
        <w:rPr>
          <w:rFonts w:asciiTheme="minorEastAsia" w:hAnsiTheme="minorEastAsia" w:cs="Arial"/>
          <w:kern w:val="0"/>
          <w:sz w:val="24"/>
          <w:szCs w:val="20"/>
        </w:rPr>
        <w:t>11</w:t>
      </w:r>
      <w:r w:rsidR="006C7ECE" w:rsidRPr="002A7A9B">
        <w:rPr>
          <w:rFonts w:asciiTheme="minorEastAsia" w:hAnsiTheme="minorEastAsia" w:cs="Arial" w:hint="eastAsia"/>
          <w:kern w:val="0"/>
          <w:sz w:val="24"/>
          <w:szCs w:val="20"/>
        </w:rPr>
        <w:t>月</w:t>
      </w:r>
      <w:r w:rsidR="00E468F4" w:rsidRPr="002A7A9B">
        <w:rPr>
          <w:rFonts w:asciiTheme="minorEastAsia" w:hAnsiTheme="minorEastAsia" w:cs="Arial"/>
          <w:kern w:val="0"/>
          <w:sz w:val="24"/>
          <w:szCs w:val="20"/>
        </w:rPr>
        <w:t>2</w:t>
      </w:r>
      <w:r w:rsidR="00D07D54">
        <w:rPr>
          <w:rFonts w:asciiTheme="minorEastAsia" w:hAnsiTheme="minorEastAsia" w:cs="Arial"/>
          <w:kern w:val="0"/>
          <w:sz w:val="24"/>
          <w:szCs w:val="20"/>
        </w:rPr>
        <w:t>6</w:t>
      </w:r>
      <w:r w:rsidR="006C7ECE" w:rsidRPr="002A7A9B">
        <w:rPr>
          <w:rFonts w:asciiTheme="minorEastAsia" w:hAnsiTheme="minorEastAsia" w:cs="Arial" w:hint="eastAsia"/>
          <w:kern w:val="0"/>
          <w:sz w:val="24"/>
          <w:szCs w:val="20"/>
        </w:rPr>
        <w:t>日在上海证券交易所（</w:t>
      </w:r>
      <w:r w:rsidR="006C7ECE" w:rsidRPr="002A7A9B">
        <w:rPr>
          <w:rFonts w:ascii="Times New Roman" w:hAnsi="Times New Roman" w:cs="Times New Roman"/>
          <w:kern w:val="0"/>
          <w:sz w:val="24"/>
          <w:szCs w:val="20"/>
        </w:rPr>
        <w:t>www.sse.com.cn</w:t>
      </w:r>
      <w:r w:rsidR="006C7ECE" w:rsidRPr="002A7A9B">
        <w:rPr>
          <w:rFonts w:asciiTheme="minorEastAsia" w:hAnsiTheme="minorEastAsia" w:cs="Arial" w:hint="eastAsia"/>
          <w:kern w:val="0"/>
          <w:sz w:val="24"/>
          <w:szCs w:val="20"/>
        </w:rPr>
        <w:t>）披露的《青岛汇金通电力设备股份有限公司</w:t>
      </w:r>
      <w:r w:rsidR="00D07D54" w:rsidRPr="00D07D54">
        <w:rPr>
          <w:rFonts w:asciiTheme="minorEastAsia" w:hAnsiTheme="minorEastAsia" w:cs="Arial" w:hint="eastAsia"/>
          <w:kern w:val="0"/>
          <w:sz w:val="24"/>
          <w:szCs w:val="20"/>
        </w:rPr>
        <w:t>关于参加2024年青岛辖区上市公司投资者网上集体接待日活动暨召开2024年第三季度业绩说明会的公告</w:t>
      </w:r>
      <w:r w:rsidR="006C7ECE" w:rsidRPr="002A7A9B">
        <w:rPr>
          <w:rFonts w:asciiTheme="minorEastAsia" w:hAnsiTheme="minorEastAsia" w:cs="Arial" w:hint="eastAsia"/>
          <w:kern w:val="0"/>
          <w:sz w:val="24"/>
          <w:szCs w:val="20"/>
        </w:rPr>
        <w:t>》（公告编号</w:t>
      </w:r>
      <w:r w:rsidR="006C7ECE" w:rsidRPr="002A7A9B">
        <w:rPr>
          <w:rFonts w:asciiTheme="minorEastAsia" w:hAnsiTheme="minorEastAsia" w:cs="Arial"/>
          <w:kern w:val="0"/>
          <w:sz w:val="24"/>
          <w:szCs w:val="20"/>
        </w:rPr>
        <w:t>：</w:t>
      </w:r>
      <w:r w:rsidR="006C7ECE" w:rsidRPr="002A7A9B">
        <w:rPr>
          <w:rFonts w:asciiTheme="minorEastAsia" w:hAnsiTheme="minorEastAsia" w:cs="Arial" w:hint="eastAsia"/>
          <w:kern w:val="0"/>
          <w:sz w:val="24"/>
          <w:szCs w:val="20"/>
        </w:rPr>
        <w:t>202</w:t>
      </w:r>
      <w:r w:rsidR="006162D0" w:rsidRPr="002A7A9B">
        <w:rPr>
          <w:rFonts w:asciiTheme="minorEastAsia" w:hAnsiTheme="minorEastAsia" w:cs="Arial"/>
          <w:kern w:val="0"/>
          <w:sz w:val="24"/>
          <w:szCs w:val="20"/>
        </w:rPr>
        <w:t>4</w:t>
      </w:r>
      <w:r w:rsidR="006938FA" w:rsidRPr="002A7A9B">
        <w:rPr>
          <w:rFonts w:asciiTheme="minorEastAsia" w:hAnsiTheme="minorEastAsia" w:cs="Arial"/>
          <w:kern w:val="0"/>
          <w:sz w:val="24"/>
          <w:szCs w:val="20"/>
        </w:rPr>
        <w:t>-</w:t>
      </w:r>
      <w:r w:rsidR="002A7A9B" w:rsidRPr="002A7A9B">
        <w:rPr>
          <w:rFonts w:asciiTheme="minorEastAsia" w:hAnsiTheme="minorEastAsia" w:cs="Arial" w:hint="eastAsia"/>
          <w:kern w:val="0"/>
          <w:sz w:val="24"/>
          <w:szCs w:val="20"/>
        </w:rPr>
        <w:t>0</w:t>
      </w:r>
      <w:r w:rsidR="00D07D54">
        <w:rPr>
          <w:rFonts w:asciiTheme="minorEastAsia" w:hAnsiTheme="minorEastAsia" w:cs="Arial"/>
          <w:kern w:val="0"/>
          <w:sz w:val="24"/>
          <w:szCs w:val="20"/>
        </w:rPr>
        <w:t>62</w:t>
      </w:r>
      <w:r w:rsidR="006C7ECE" w:rsidRPr="002A7A9B">
        <w:rPr>
          <w:rFonts w:asciiTheme="minorEastAsia" w:hAnsiTheme="minorEastAsia" w:cs="Arial" w:hint="eastAsia"/>
          <w:kern w:val="0"/>
          <w:sz w:val="24"/>
          <w:szCs w:val="20"/>
        </w:rPr>
        <w:t>）</w:t>
      </w: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。</w:t>
      </w:r>
    </w:p>
    <w:p w14:paraId="1AE31DB3" w14:textId="69D21D90" w:rsidR="001E574C" w:rsidRPr="007231DE" w:rsidRDefault="001E574C" w:rsidP="000D3883">
      <w:pPr>
        <w:widowControl/>
        <w:spacing w:beforeLines="30" w:before="93" w:line="360" w:lineRule="auto"/>
        <w:ind w:firstLineChars="200" w:firstLine="482"/>
        <w:rPr>
          <w:rFonts w:asciiTheme="minorEastAsia" w:hAnsiTheme="minorEastAsia" w:cs="Arial"/>
          <w:b/>
          <w:kern w:val="0"/>
          <w:sz w:val="24"/>
          <w:szCs w:val="20"/>
        </w:rPr>
      </w:pPr>
      <w:r w:rsidRPr="007231DE">
        <w:rPr>
          <w:rFonts w:asciiTheme="minorEastAsia" w:hAnsiTheme="minorEastAsia" w:cs="Arial" w:hint="eastAsia"/>
          <w:b/>
          <w:kern w:val="0"/>
          <w:sz w:val="24"/>
          <w:szCs w:val="20"/>
        </w:rPr>
        <w:t>一、本次</w:t>
      </w:r>
      <w:r w:rsidR="006162D0" w:rsidRPr="006162D0">
        <w:rPr>
          <w:rFonts w:asciiTheme="minorEastAsia" w:hAnsiTheme="minorEastAsia" w:cs="Arial" w:hint="eastAsia"/>
          <w:b/>
          <w:kern w:val="0"/>
          <w:sz w:val="24"/>
          <w:szCs w:val="20"/>
        </w:rPr>
        <w:t>说明会</w:t>
      </w:r>
      <w:r w:rsidRPr="007231DE">
        <w:rPr>
          <w:rFonts w:asciiTheme="minorEastAsia" w:hAnsiTheme="minorEastAsia" w:cs="Arial" w:hint="eastAsia"/>
          <w:b/>
          <w:kern w:val="0"/>
          <w:sz w:val="24"/>
          <w:szCs w:val="20"/>
        </w:rPr>
        <w:t>召开情况</w:t>
      </w:r>
    </w:p>
    <w:p w14:paraId="15F70BD6" w14:textId="4A72613A" w:rsidR="00D406C1" w:rsidRPr="007231DE" w:rsidRDefault="001E574C" w:rsidP="00DC6E52">
      <w:pPr>
        <w:widowControl/>
        <w:spacing w:line="360" w:lineRule="auto"/>
        <w:ind w:firstLineChars="200" w:firstLine="480"/>
        <w:rPr>
          <w:rFonts w:asciiTheme="minorEastAsia" w:hAnsiTheme="minorEastAsia" w:cs="Arial"/>
          <w:kern w:val="0"/>
          <w:sz w:val="24"/>
          <w:szCs w:val="20"/>
        </w:rPr>
      </w:pP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202</w:t>
      </w:r>
      <w:r w:rsidR="006162D0" w:rsidRPr="002A7A9B">
        <w:rPr>
          <w:rFonts w:asciiTheme="minorEastAsia" w:hAnsiTheme="minorEastAsia" w:cs="Arial"/>
          <w:kern w:val="0"/>
          <w:sz w:val="24"/>
          <w:szCs w:val="20"/>
        </w:rPr>
        <w:t>4</w:t>
      </w: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年</w:t>
      </w:r>
      <w:r w:rsidR="00D07D54">
        <w:rPr>
          <w:rFonts w:asciiTheme="minorEastAsia" w:hAnsiTheme="minorEastAsia" w:cs="Arial"/>
          <w:kern w:val="0"/>
          <w:sz w:val="24"/>
          <w:szCs w:val="20"/>
        </w:rPr>
        <w:t>11</w:t>
      </w: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月</w:t>
      </w:r>
      <w:r w:rsidR="00D07D54">
        <w:rPr>
          <w:rFonts w:asciiTheme="minorEastAsia" w:hAnsiTheme="minorEastAsia" w:cs="Arial"/>
          <w:kern w:val="0"/>
          <w:sz w:val="24"/>
          <w:szCs w:val="20"/>
        </w:rPr>
        <w:t>28</w:t>
      </w: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日，公司</w:t>
      </w:r>
      <w:r w:rsidR="00560A10" w:rsidRPr="002A7A9B">
        <w:rPr>
          <w:rFonts w:asciiTheme="minorEastAsia" w:hAnsiTheme="minorEastAsia" w:cs="Arial" w:hint="eastAsia"/>
          <w:kern w:val="0"/>
          <w:sz w:val="24"/>
          <w:szCs w:val="20"/>
        </w:rPr>
        <w:t>董事长李明东</w:t>
      </w:r>
      <w:r w:rsidR="00100A0F" w:rsidRPr="002A7A9B">
        <w:rPr>
          <w:rFonts w:asciiTheme="minorEastAsia" w:hAnsiTheme="minorEastAsia" w:cs="Arial" w:hint="eastAsia"/>
          <w:kern w:val="0"/>
          <w:sz w:val="24"/>
          <w:szCs w:val="20"/>
        </w:rPr>
        <w:t>、总经理</w:t>
      </w:r>
      <w:r w:rsidR="006938FA" w:rsidRPr="002A7A9B">
        <w:rPr>
          <w:rFonts w:asciiTheme="minorEastAsia" w:hAnsiTheme="minorEastAsia" w:cs="Arial" w:hint="eastAsia"/>
          <w:kern w:val="0"/>
          <w:sz w:val="24"/>
          <w:szCs w:val="20"/>
        </w:rPr>
        <w:t>张春晖</w:t>
      </w:r>
      <w:r w:rsidR="00100A0F" w:rsidRPr="002A7A9B">
        <w:rPr>
          <w:rFonts w:asciiTheme="minorEastAsia" w:hAnsiTheme="minorEastAsia" w:cs="Arial" w:hint="eastAsia"/>
          <w:kern w:val="0"/>
          <w:sz w:val="24"/>
          <w:szCs w:val="20"/>
        </w:rPr>
        <w:t>、</w:t>
      </w:r>
      <w:r w:rsidR="00560A10" w:rsidRPr="002A7A9B">
        <w:rPr>
          <w:rFonts w:asciiTheme="minorEastAsia" w:hAnsiTheme="minorEastAsia" w:cs="Arial" w:hint="eastAsia"/>
          <w:kern w:val="0"/>
          <w:sz w:val="24"/>
          <w:szCs w:val="20"/>
        </w:rPr>
        <w:t>独立董事</w:t>
      </w:r>
      <w:r w:rsidR="00D07D54">
        <w:rPr>
          <w:rFonts w:asciiTheme="minorEastAsia" w:hAnsiTheme="minorEastAsia" w:cs="Arial" w:hint="eastAsia"/>
          <w:kern w:val="0"/>
          <w:sz w:val="24"/>
          <w:szCs w:val="20"/>
        </w:rPr>
        <w:t>付永领</w:t>
      </w:r>
      <w:r w:rsidR="00220AF8" w:rsidRPr="002A7A9B">
        <w:rPr>
          <w:rFonts w:asciiTheme="minorEastAsia" w:hAnsiTheme="minorEastAsia" w:cs="Arial" w:hint="eastAsia"/>
          <w:kern w:val="0"/>
          <w:sz w:val="24"/>
          <w:szCs w:val="20"/>
        </w:rPr>
        <w:t>、</w:t>
      </w:r>
      <w:r w:rsidR="00560A10" w:rsidRPr="002A7A9B">
        <w:rPr>
          <w:rFonts w:asciiTheme="minorEastAsia" w:hAnsiTheme="minorEastAsia" w:cs="Arial" w:hint="eastAsia"/>
          <w:kern w:val="0"/>
          <w:sz w:val="24"/>
          <w:szCs w:val="20"/>
        </w:rPr>
        <w:t>财务总监朱贵营、董事会秘书朱芳莹</w:t>
      </w:r>
      <w:r w:rsidRPr="002A7A9B">
        <w:rPr>
          <w:rFonts w:asciiTheme="minorEastAsia" w:hAnsiTheme="minorEastAsia" w:cs="Arial" w:hint="eastAsia"/>
          <w:kern w:val="0"/>
          <w:sz w:val="24"/>
          <w:szCs w:val="20"/>
        </w:rPr>
        <w:t>出席了本次说明会。公司与投资者进行了互动交流和沟通，就投资者普遍关注的问题在信息披露允许的范围内进行了回答。</w:t>
      </w:r>
    </w:p>
    <w:p w14:paraId="418DBFDF" w14:textId="076260CF" w:rsidR="001E574C" w:rsidRPr="00FF1A65" w:rsidRDefault="001E574C" w:rsidP="00434A95">
      <w:pPr>
        <w:widowControl/>
        <w:spacing w:beforeLines="50" w:before="156" w:line="360" w:lineRule="auto"/>
        <w:ind w:firstLineChars="200" w:firstLine="482"/>
        <w:rPr>
          <w:rFonts w:asciiTheme="minorEastAsia" w:hAnsiTheme="minorEastAsia" w:cs="Arial"/>
          <w:b/>
          <w:color w:val="000000" w:themeColor="text1"/>
          <w:kern w:val="0"/>
          <w:sz w:val="24"/>
          <w:szCs w:val="20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二、本次</w:t>
      </w:r>
      <w:r w:rsidR="006162D0" w:rsidRPr="006162D0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说明会</w:t>
      </w: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投资者提出的主要问题及公司回复情况</w:t>
      </w:r>
    </w:p>
    <w:p w14:paraId="7606B183" w14:textId="79C300F1" w:rsidR="007C16D1" w:rsidRPr="00FF1A65" w:rsidRDefault="007C16D1" w:rsidP="00434A95">
      <w:pPr>
        <w:widowControl/>
        <w:spacing w:line="360" w:lineRule="auto"/>
        <w:ind w:firstLineChars="200" w:firstLine="482"/>
        <w:rPr>
          <w:rFonts w:asciiTheme="minorEastAsia" w:hAnsiTheme="minorEastAsia" w:cs="Arial"/>
          <w:b/>
          <w:color w:val="000000" w:themeColor="text1"/>
          <w:kern w:val="0"/>
          <w:sz w:val="24"/>
          <w:szCs w:val="20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Q</w:t>
      </w:r>
      <w:r w:rsidRPr="00FF1A65">
        <w:rPr>
          <w:rFonts w:asciiTheme="minorEastAsia" w:hAnsiTheme="minorEastAsia" w:cs="Arial"/>
          <w:b/>
          <w:color w:val="000000" w:themeColor="text1"/>
          <w:kern w:val="0"/>
          <w:sz w:val="24"/>
          <w:szCs w:val="20"/>
        </w:rPr>
        <w:t>1</w:t>
      </w: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、</w:t>
      </w:r>
      <w:r w:rsidR="005B2CF3" w:rsidRPr="005B2CF3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公司的海外布局如何？有新的增长点吗？</w:t>
      </w:r>
    </w:p>
    <w:p w14:paraId="79D4F72E" w14:textId="3BEFBB7D" w:rsidR="00902E71" w:rsidRPr="005B2CF3" w:rsidRDefault="007C16D1" w:rsidP="00434A95">
      <w:pPr>
        <w:spacing w:line="360" w:lineRule="auto"/>
        <w:ind w:firstLineChars="200" w:firstLine="482"/>
        <w:rPr>
          <w:rFonts w:asciiTheme="minorEastAsia" w:hAnsiTheme="minorEastAsia" w:cs="Arial"/>
          <w:color w:val="000000" w:themeColor="text1"/>
          <w:kern w:val="0"/>
          <w:sz w:val="24"/>
          <w:szCs w:val="20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A：</w:t>
      </w:r>
      <w:r w:rsidR="005B2CF3" w:rsidRPr="005B2CF3">
        <w:rPr>
          <w:rFonts w:asciiTheme="minorEastAsia" w:hAnsiTheme="minorEastAsia" w:cs="Arial" w:hint="eastAsia"/>
          <w:color w:val="000000" w:themeColor="text1"/>
          <w:kern w:val="0"/>
          <w:sz w:val="24"/>
          <w:szCs w:val="20"/>
        </w:rPr>
        <w:t>目前公司在海外拥有三家分支机构澳洲子公司、新加坡子公司、科伦坡分公司，建立了覆盖国际重点市场的营销网络，积累了丰富的项目经验及客户资源，为公司适时发力国际市场奠定了基础。</w:t>
      </w:r>
    </w:p>
    <w:p w14:paraId="7A1BA501" w14:textId="5410A694" w:rsidR="00906F84" w:rsidRDefault="00906F84" w:rsidP="00434A95">
      <w:pPr>
        <w:spacing w:line="360" w:lineRule="auto"/>
        <w:ind w:firstLineChars="200" w:firstLine="482"/>
        <w:rPr>
          <w:rFonts w:asciiTheme="minorEastAsia" w:hAnsiTheme="minorEastAsia" w:cs="Arial"/>
          <w:b/>
          <w:color w:val="000000" w:themeColor="text1"/>
          <w:kern w:val="0"/>
          <w:sz w:val="24"/>
          <w:szCs w:val="20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Q</w:t>
      </w:r>
      <w:r>
        <w:rPr>
          <w:rFonts w:asciiTheme="minorEastAsia" w:hAnsiTheme="minorEastAsia" w:cs="Arial"/>
          <w:b/>
          <w:color w:val="000000" w:themeColor="text1"/>
          <w:kern w:val="0"/>
          <w:sz w:val="24"/>
          <w:szCs w:val="20"/>
        </w:rPr>
        <w:t>2</w:t>
      </w: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、</w:t>
      </w:r>
      <w:r w:rsidR="005B2CF3" w:rsidRPr="005B2CF3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公司近期有无并购重组计划？</w:t>
      </w:r>
    </w:p>
    <w:p w14:paraId="11961CF7" w14:textId="28AC8FD0" w:rsidR="00906F84" w:rsidRPr="00906F84" w:rsidRDefault="00906F84" w:rsidP="00434A95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A</w:t>
      </w: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：</w:t>
      </w:r>
      <w:r w:rsidR="005B2CF3" w:rsidRPr="005B2CF3">
        <w:rPr>
          <w:rFonts w:asciiTheme="minorEastAsia" w:hAnsiTheme="minorEastAsia" w:hint="eastAsia"/>
          <w:color w:val="000000" w:themeColor="text1"/>
          <w:sz w:val="24"/>
          <w:szCs w:val="24"/>
        </w:rPr>
        <w:t>公司暂无并购重组计划，如后续有相关计划，公司将及时履行信息披露义务。</w:t>
      </w:r>
    </w:p>
    <w:p w14:paraId="04C4F1ED" w14:textId="05944F0F" w:rsidR="000D3883" w:rsidRDefault="000D3883" w:rsidP="00434A95">
      <w:pPr>
        <w:spacing w:line="360" w:lineRule="auto"/>
        <w:ind w:firstLineChars="200" w:firstLine="482"/>
        <w:rPr>
          <w:rFonts w:asciiTheme="minorEastAsia" w:hAnsiTheme="minorEastAsia" w:cs="Arial"/>
          <w:b/>
          <w:color w:val="000000" w:themeColor="text1"/>
          <w:kern w:val="0"/>
          <w:sz w:val="24"/>
          <w:szCs w:val="20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Q</w:t>
      </w:r>
      <w:r w:rsidR="007D293E">
        <w:rPr>
          <w:rFonts w:asciiTheme="minorEastAsia" w:hAnsiTheme="minorEastAsia" w:cs="Arial"/>
          <w:b/>
          <w:color w:val="000000" w:themeColor="text1"/>
          <w:kern w:val="0"/>
          <w:sz w:val="24"/>
          <w:szCs w:val="20"/>
        </w:rPr>
        <w:t>3</w:t>
      </w:r>
      <w:r w:rsidRPr="00FF1A6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5B2CF3" w:rsidRPr="005B2CF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建议公司提高分红金额！</w:t>
      </w:r>
    </w:p>
    <w:p w14:paraId="1281C5DA" w14:textId="6C762A89" w:rsidR="000D3883" w:rsidRPr="005B2CF3" w:rsidRDefault="000D3883" w:rsidP="00434A95">
      <w:pPr>
        <w:spacing w:line="360" w:lineRule="auto"/>
        <w:ind w:firstLineChars="200" w:firstLine="482"/>
        <w:rPr>
          <w:rFonts w:asciiTheme="minorEastAsia" w:hAnsiTheme="minorEastAsia" w:cs="Arial"/>
          <w:color w:val="000000" w:themeColor="text1"/>
          <w:kern w:val="0"/>
          <w:sz w:val="24"/>
          <w:szCs w:val="20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A：</w:t>
      </w:r>
      <w:r w:rsidR="005B2CF3" w:rsidRPr="005B2CF3">
        <w:rPr>
          <w:rFonts w:asciiTheme="minorEastAsia" w:hAnsiTheme="minorEastAsia" w:cs="Arial" w:hint="eastAsia"/>
          <w:color w:val="000000" w:themeColor="text1"/>
          <w:kern w:val="0"/>
          <w:sz w:val="24"/>
          <w:szCs w:val="20"/>
        </w:rPr>
        <w:t>公司高度重视股东回报，致力于保持利润分配政策的连续性和稳定性。未来公司亦将一如既往地重视以现金分红形式回报股东，在符合法律法规和公司章程规定的现金分红条件的前提下，综合考虑与利润分配相关的各种因素，从有利于公司发展和股东回报的角度出发制定利润分配方案，与股东共享公司发展成</w:t>
      </w:r>
      <w:r w:rsidR="005B2CF3" w:rsidRPr="005B2CF3">
        <w:rPr>
          <w:rFonts w:asciiTheme="minorEastAsia" w:hAnsiTheme="minorEastAsia" w:cs="Arial" w:hint="eastAsia"/>
          <w:color w:val="000000" w:themeColor="text1"/>
          <w:kern w:val="0"/>
          <w:sz w:val="24"/>
          <w:szCs w:val="20"/>
        </w:rPr>
        <w:lastRenderedPageBreak/>
        <w:t>果。</w:t>
      </w:r>
    </w:p>
    <w:p w14:paraId="178FEAE1" w14:textId="79ED543F" w:rsidR="007C16D1" w:rsidRPr="00902E71" w:rsidRDefault="007C16D1" w:rsidP="00434A95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sz w:val="24"/>
          <w:szCs w:val="24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Q</w:t>
      </w:r>
      <w:r w:rsidR="007D293E">
        <w:rPr>
          <w:rFonts w:asciiTheme="minorEastAsia" w:hAnsiTheme="minorEastAsia"/>
          <w:b/>
          <w:color w:val="000000" w:themeColor="text1"/>
          <w:sz w:val="24"/>
          <w:szCs w:val="24"/>
        </w:rPr>
        <w:t>4</w:t>
      </w:r>
      <w:r w:rsidRPr="00FF1A6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5B2CF3" w:rsidRPr="005B2CF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控股股东有没有减持计划？</w:t>
      </w:r>
    </w:p>
    <w:p w14:paraId="07327370" w14:textId="332B60EA" w:rsidR="007C16D1" w:rsidRPr="00906F84" w:rsidRDefault="007C16D1" w:rsidP="00434A95">
      <w:pPr>
        <w:widowControl/>
        <w:spacing w:line="360" w:lineRule="auto"/>
        <w:ind w:firstLineChars="200" w:firstLine="482"/>
        <w:rPr>
          <w:rFonts w:asciiTheme="minorEastAsia" w:hAnsiTheme="minorEastAsia"/>
          <w:color w:val="000000" w:themeColor="text1"/>
          <w:kern w:val="0"/>
          <w:sz w:val="24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A：</w:t>
      </w:r>
      <w:r w:rsidR="005B2CF3" w:rsidRPr="005B2CF3">
        <w:rPr>
          <w:rFonts w:asciiTheme="minorEastAsia" w:hAnsiTheme="minorEastAsia" w:cs="Arial" w:hint="eastAsia"/>
          <w:color w:val="000000" w:themeColor="text1"/>
          <w:kern w:val="0"/>
          <w:sz w:val="24"/>
          <w:szCs w:val="20"/>
        </w:rPr>
        <w:t>目前公司控股股东无减持计划。</w:t>
      </w:r>
      <w:r w:rsidR="00D07D54" w:rsidRPr="005B2CF3">
        <w:rPr>
          <w:rFonts w:asciiTheme="minorEastAsia" w:hAnsiTheme="minorEastAsia"/>
          <w:color w:val="000000" w:themeColor="text1"/>
          <w:kern w:val="0"/>
          <w:sz w:val="24"/>
        </w:rPr>
        <w:t xml:space="preserve"> </w:t>
      </w:r>
    </w:p>
    <w:p w14:paraId="35833DEB" w14:textId="7D1CA755" w:rsidR="001C7376" w:rsidRPr="00FF1A65" w:rsidRDefault="001C7376" w:rsidP="00434A95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Q</w:t>
      </w:r>
      <w:r w:rsidR="007D293E">
        <w:rPr>
          <w:rFonts w:asciiTheme="minorEastAsia" w:hAnsiTheme="minorEastAsia" w:cs="Arial"/>
          <w:b/>
          <w:color w:val="000000" w:themeColor="text1"/>
          <w:kern w:val="0"/>
          <w:sz w:val="24"/>
          <w:szCs w:val="20"/>
        </w:rPr>
        <w:t>5</w:t>
      </w:r>
      <w:r w:rsidRPr="00FF1A6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5B2CF3" w:rsidRPr="00923F19">
        <w:rPr>
          <w:rFonts w:asciiTheme="minorEastAsia" w:hAnsiTheme="minorEastAsia" w:hint="eastAsia"/>
          <w:b/>
          <w:sz w:val="24"/>
          <w:szCs w:val="24"/>
        </w:rPr>
        <w:t>最近国家出台鼓励政策，鼓励上市企业并购重组。建议公司选择优秀并购标的，提高市场占有率，成为行业龙头企业。</w:t>
      </w:r>
    </w:p>
    <w:p w14:paraId="06EB3CFC" w14:textId="60BB26D6" w:rsidR="001C7376" w:rsidRPr="005B2CF3" w:rsidRDefault="001C7376" w:rsidP="00434A95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A：</w:t>
      </w:r>
      <w:r w:rsidR="005B2CF3" w:rsidRPr="005B2CF3">
        <w:rPr>
          <w:rFonts w:asciiTheme="minorEastAsia" w:hAnsiTheme="minorEastAsia" w:cs="Arial" w:hint="eastAsia"/>
          <w:color w:val="000000" w:themeColor="text1"/>
          <w:kern w:val="0"/>
          <w:sz w:val="24"/>
          <w:szCs w:val="20"/>
        </w:rPr>
        <w:t>公司暂无并购重组计划，如后续有相关计划，公司将及时履行信息披露义务。</w:t>
      </w:r>
    </w:p>
    <w:p w14:paraId="1A7F65A6" w14:textId="44E0A077" w:rsidR="007D293E" w:rsidRDefault="007D293E" w:rsidP="007D293E">
      <w:pPr>
        <w:spacing w:line="360" w:lineRule="auto"/>
        <w:ind w:firstLineChars="200" w:firstLine="482"/>
        <w:rPr>
          <w:rFonts w:asciiTheme="minorEastAsia" w:hAnsiTheme="minorEastAsia" w:cs="Arial"/>
          <w:b/>
          <w:color w:val="000000" w:themeColor="text1"/>
          <w:kern w:val="0"/>
          <w:sz w:val="24"/>
          <w:szCs w:val="20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Q</w:t>
      </w:r>
      <w:r>
        <w:rPr>
          <w:rFonts w:asciiTheme="minorEastAsia" w:hAnsiTheme="minorEastAsia"/>
          <w:b/>
          <w:color w:val="000000" w:themeColor="text1"/>
          <w:sz w:val="24"/>
          <w:szCs w:val="24"/>
        </w:rPr>
        <w:t>6</w:t>
      </w:r>
      <w:r w:rsidRPr="00FF1A6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5B2CF3" w:rsidRPr="005C1E26">
        <w:rPr>
          <w:rFonts w:asciiTheme="minorEastAsia" w:hAnsiTheme="minorEastAsia" w:hint="eastAsia"/>
          <w:b/>
          <w:sz w:val="24"/>
          <w:szCs w:val="24"/>
        </w:rPr>
        <w:t>公司财报中的工程项目包含什么？</w:t>
      </w:r>
    </w:p>
    <w:p w14:paraId="246B63A7" w14:textId="2276DA74" w:rsidR="007D293E" w:rsidRDefault="007D293E" w:rsidP="007D293E">
      <w:pPr>
        <w:spacing w:line="360" w:lineRule="auto"/>
        <w:ind w:firstLineChars="200" w:firstLine="482"/>
        <w:rPr>
          <w:rFonts w:asciiTheme="minorEastAsia" w:hAnsiTheme="minorEastAsia" w:cs="Arial"/>
          <w:b/>
          <w:color w:val="000000" w:themeColor="text1"/>
          <w:kern w:val="0"/>
          <w:sz w:val="24"/>
          <w:szCs w:val="20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A：</w:t>
      </w:r>
      <w:r w:rsidR="005B2CF3" w:rsidRPr="00746999">
        <w:rPr>
          <w:rFonts w:asciiTheme="minorEastAsia" w:hAnsiTheme="minorEastAsia" w:hint="eastAsia"/>
          <w:color w:val="000000" w:themeColor="text1"/>
          <w:sz w:val="24"/>
          <w:szCs w:val="24"/>
        </w:rPr>
        <w:t>公司</w:t>
      </w:r>
      <w:r w:rsidR="005B2CF3">
        <w:rPr>
          <w:rFonts w:asciiTheme="minorEastAsia" w:hAnsiTheme="minorEastAsia" w:hint="eastAsia"/>
          <w:color w:val="000000" w:themeColor="text1"/>
          <w:sz w:val="24"/>
          <w:szCs w:val="24"/>
        </w:rPr>
        <w:t>定期报告</w:t>
      </w:r>
      <w:r w:rsidR="005B2CF3" w:rsidRPr="00746999">
        <w:rPr>
          <w:rFonts w:asciiTheme="minorEastAsia" w:hAnsiTheme="minorEastAsia" w:hint="eastAsia"/>
          <w:color w:val="000000" w:themeColor="text1"/>
          <w:sz w:val="24"/>
          <w:szCs w:val="24"/>
        </w:rPr>
        <w:t>中的工程项目</w:t>
      </w:r>
      <w:r w:rsidR="005B2CF3" w:rsidRPr="00D56E13">
        <w:rPr>
          <w:rFonts w:asciiTheme="minorEastAsia" w:hAnsiTheme="minorEastAsia" w:hint="eastAsia"/>
          <w:sz w:val="24"/>
          <w:szCs w:val="24"/>
        </w:rPr>
        <w:t>主要是公司与斯里兰卡锡兰电力局的电力线路工程总包项目。</w:t>
      </w:r>
    </w:p>
    <w:p w14:paraId="098F5682" w14:textId="15F7FD10" w:rsidR="007C16D1" w:rsidRPr="00FF1A65" w:rsidRDefault="007C16D1" w:rsidP="00434A95">
      <w:pPr>
        <w:spacing w:line="360" w:lineRule="auto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Q</w:t>
      </w:r>
      <w:r w:rsidR="000D3883">
        <w:rPr>
          <w:rFonts w:asciiTheme="minorEastAsia" w:hAnsiTheme="minorEastAsia"/>
          <w:b/>
          <w:color w:val="000000" w:themeColor="text1"/>
          <w:sz w:val="24"/>
          <w:szCs w:val="24"/>
        </w:rPr>
        <w:t>7</w:t>
      </w:r>
      <w:r w:rsidRPr="00FF1A6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5B2CF3" w:rsidRPr="00F7359A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请问贵公司今年整体业绩相比往年是否会有大幅增长?</w:t>
      </w:r>
    </w:p>
    <w:p w14:paraId="5AF66D3A" w14:textId="2427A59E" w:rsidR="007C16D1" w:rsidRPr="008C7DEE" w:rsidRDefault="007C16D1" w:rsidP="00434A95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A：</w:t>
      </w:r>
      <w:r w:rsidR="005B2CF3" w:rsidRPr="00F7359A">
        <w:rPr>
          <w:rFonts w:asciiTheme="minorEastAsia" w:hAnsiTheme="minorEastAsia" w:hint="eastAsia"/>
          <w:color w:val="000000" w:themeColor="text1"/>
          <w:sz w:val="24"/>
          <w:szCs w:val="24"/>
        </w:rPr>
        <w:t>公司2</w:t>
      </w:r>
      <w:r w:rsidR="005B2CF3" w:rsidRPr="00F7359A">
        <w:rPr>
          <w:rFonts w:asciiTheme="minorEastAsia" w:hAnsiTheme="minorEastAsia"/>
          <w:color w:val="000000" w:themeColor="text1"/>
          <w:sz w:val="24"/>
          <w:szCs w:val="24"/>
        </w:rPr>
        <w:t>024年前</w:t>
      </w:r>
      <w:r w:rsidR="005B2CF3" w:rsidRPr="00F7359A">
        <w:rPr>
          <w:rFonts w:asciiTheme="minorEastAsia" w:hAnsiTheme="minorEastAsia" w:hint="eastAsia"/>
          <w:color w:val="000000" w:themeColor="text1"/>
          <w:sz w:val="24"/>
          <w:szCs w:val="24"/>
        </w:rPr>
        <w:t>三季度实现营业收入3</w:t>
      </w:r>
      <w:r w:rsidR="005B2CF3" w:rsidRPr="00F7359A">
        <w:rPr>
          <w:rFonts w:asciiTheme="minorEastAsia" w:hAnsiTheme="minorEastAsia"/>
          <w:color w:val="000000" w:themeColor="text1"/>
          <w:sz w:val="24"/>
          <w:szCs w:val="24"/>
        </w:rPr>
        <w:t>2.36亿元，较上年同期增长</w:t>
      </w:r>
      <w:r w:rsidR="005B2CF3" w:rsidRPr="00F7359A">
        <w:rPr>
          <w:rFonts w:asciiTheme="minorEastAsia" w:hAnsiTheme="minorEastAsia"/>
          <w:sz w:val="24"/>
          <w:szCs w:val="24"/>
        </w:rPr>
        <w:t>14.96%，</w:t>
      </w:r>
      <w:r w:rsidR="005B2CF3" w:rsidRPr="00F7359A">
        <w:rPr>
          <w:rFonts w:asciiTheme="minorEastAsia" w:hAnsiTheme="minorEastAsia" w:hint="eastAsia"/>
          <w:sz w:val="24"/>
          <w:szCs w:val="24"/>
        </w:rPr>
        <w:t>归属于上市公司股东的净利润1</w:t>
      </w:r>
      <w:r w:rsidR="005B2CF3" w:rsidRPr="00F7359A">
        <w:rPr>
          <w:rFonts w:asciiTheme="minorEastAsia" w:hAnsiTheme="minorEastAsia"/>
          <w:sz w:val="24"/>
          <w:szCs w:val="24"/>
        </w:rPr>
        <w:t>.05亿元，</w:t>
      </w:r>
      <w:r w:rsidR="005B2CF3" w:rsidRPr="00F7359A">
        <w:rPr>
          <w:rFonts w:asciiTheme="minorEastAsia" w:hAnsiTheme="minorEastAsia"/>
          <w:color w:val="000000" w:themeColor="text1"/>
          <w:sz w:val="24"/>
          <w:szCs w:val="24"/>
        </w:rPr>
        <w:t>较上年同期增长</w:t>
      </w:r>
      <w:r w:rsidR="005B2CF3" w:rsidRPr="00F7359A">
        <w:rPr>
          <w:rFonts w:asciiTheme="minorEastAsia" w:hAnsiTheme="minorEastAsia"/>
          <w:sz w:val="24"/>
          <w:szCs w:val="24"/>
        </w:rPr>
        <w:t>223.32%。</w:t>
      </w:r>
      <w:r w:rsidR="005B2CF3" w:rsidRPr="00F7359A">
        <w:rPr>
          <w:rFonts w:asciiTheme="minorEastAsia" w:hAnsiTheme="minorEastAsia" w:hint="eastAsia"/>
          <w:color w:val="000000" w:themeColor="text1"/>
          <w:sz w:val="24"/>
          <w:szCs w:val="24"/>
        </w:rPr>
        <w:t>公司全年业绩情况请关注公司后续披露的定期报告。</w:t>
      </w:r>
    </w:p>
    <w:p w14:paraId="3AC92628" w14:textId="42146BFA" w:rsidR="007C16D1" w:rsidRPr="008C7DEE" w:rsidRDefault="007C16D1" w:rsidP="00434A9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Q</w:t>
      </w:r>
      <w:r w:rsidR="000D3883">
        <w:rPr>
          <w:rFonts w:asciiTheme="minorEastAsia" w:hAnsiTheme="minorEastAsia"/>
          <w:b/>
          <w:color w:val="000000" w:themeColor="text1"/>
          <w:sz w:val="24"/>
          <w:szCs w:val="24"/>
        </w:rPr>
        <w:t>8</w:t>
      </w:r>
      <w:r w:rsidRPr="00FF1A6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5B2CF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公司三季度业绩亮眼，</w:t>
      </w:r>
      <w:r w:rsidR="005B2CF3" w:rsidRPr="0032627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请问四季度业绩展望怎么样</w:t>
      </w:r>
      <w:r w:rsidR="005B2CF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，</w:t>
      </w:r>
      <w:r w:rsidR="005B2CF3" w:rsidRPr="0032627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</w:t>
      </w:r>
      <w:r w:rsidR="00F16159">
        <w:rPr>
          <w:rFonts w:asciiTheme="minorEastAsia" w:hAnsiTheme="minorEastAsia"/>
          <w:b/>
          <w:color w:val="000000" w:themeColor="text1"/>
          <w:sz w:val="24"/>
          <w:szCs w:val="24"/>
        </w:rPr>
        <w:t>02</w:t>
      </w:r>
      <w:r w:rsidR="005B2CF3" w:rsidRPr="0032627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5年有新业绩目标规划么</w:t>
      </w:r>
      <w:r w:rsidR="005B2CF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？</w:t>
      </w:r>
      <w:bookmarkStart w:id="0" w:name="_GoBack"/>
      <w:bookmarkEnd w:id="0"/>
    </w:p>
    <w:p w14:paraId="51C9AF70" w14:textId="752AFA2E" w:rsidR="00FF1A65" w:rsidRDefault="007C16D1" w:rsidP="00434A95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A：</w:t>
      </w:r>
      <w:r w:rsidR="005B2CF3" w:rsidRPr="005B2CF3">
        <w:rPr>
          <w:rFonts w:asciiTheme="minorEastAsia" w:hAnsiTheme="minorEastAsia" w:hint="eastAsia"/>
          <w:sz w:val="24"/>
          <w:szCs w:val="24"/>
        </w:rPr>
        <w:t>公司2024年前三季度实现营业收入32.36亿元，较上年同期增长14.96%，归属于上市公司股东的净利润1.05亿元，较上年同期增长223.32%。公司四季度业绩及未来规划情况请关注公司后续披露的定期报告。</w:t>
      </w:r>
    </w:p>
    <w:p w14:paraId="415C2C89" w14:textId="24AAD22E" w:rsidR="006368D0" w:rsidRPr="006368D0" w:rsidRDefault="006368D0" w:rsidP="00434A95">
      <w:pPr>
        <w:widowControl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368D0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Q</w:t>
      </w:r>
      <w:r w:rsidR="000D3883">
        <w:rPr>
          <w:rFonts w:asciiTheme="minorEastAsia" w:hAnsiTheme="minorEastAsia"/>
          <w:b/>
          <w:color w:val="000000" w:themeColor="text1"/>
          <w:sz w:val="24"/>
          <w:szCs w:val="24"/>
        </w:rPr>
        <w:t>9</w:t>
      </w:r>
      <w:r w:rsidRPr="006368D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5B2CF3" w:rsidRPr="005B2CF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请问公司为何换新的会计师事务所</w:t>
      </w:r>
      <w:r w:rsidR="005B2CF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？</w:t>
      </w:r>
    </w:p>
    <w:p w14:paraId="76435E9B" w14:textId="3D87B2D7" w:rsidR="007D293E" w:rsidRPr="005B2CF3" w:rsidRDefault="006368D0" w:rsidP="005B2CF3">
      <w:pPr>
        <w:widowControl/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FF1A65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0"/>
        </w:rPr>
        <w:t>A：</w:t>
      </w:r>
      <w:r w:rsidR="005B2CF3" w:rsidRPr="005B2CF3">
        <w:rPr>
          <w:rFonts w:asciiTheme="minorEastAsia" w:hAnsiTheme="minorEastAsia" w:hint="eastAsia"/>
          <w:sz w:val="24"/>
          <w:szCs w:val="24"/>
        </w:rPr>
        <w:t>鉴于中天运会计师事务所（特殊普通合伙）已连续多年为公司提供审计服务，根据《国有企业、上市公司选聘会计师事务所管理办法》及相关法律法规规定，为更好保证公司审计工作的独立性和客观性，并综合考虑公司现有业务状况和整体审计需要等实际情况，改聘德勤华永会计师事务所（特殊普通合伙）为公司2024年度审计机构，该事项尚需股东大会审议。</w:t>
      </w:r>
    </w:p>
    <w:p w14:paraId="7F15F494" w14:textId="77777777" w:rsidR="005B2CF3" w:rsidRDefault="007D293E" w:rsidP="005B2CF3">
      <w:pPr>
        <w:widowControl/>
        <w:tabs>
          <w:tab w:val="center" w:pos="4153"/>
          <w:tab w:val="right" w:pos="8306"/>
        </w:tabs>
        <w:spacing w:line="360" w:lineRule="auto"/>
        <w:jc w:val="right"/>
        <w:rPr>
          <w:rFonts w:asciiTheme="minorEastAsia" w:hAnsiTheme="minorEastAsia" w:cs="Arial"/>
          <w:kern w:val="0"/>
          <w:sz w:val="24"/>
          <w:szCs w:val="20"/>
        </w:rPr>
      </w:pPr>
      <w:r>
        <w:rPr>
          <w:rFonts w:asciiTheme="minorEastAsia" w:hAnsiTheme="minorEastAsia" w:cs="Arial"/>
          <w:kern w:val="0"/>
          <w:sz w:val="24"/>
          <w:szCs w:val="20"/>
        </w:rPr>
        <w:tab/>
      </w:r>
    </w:p>
    <w:p w14:paraId="17205EA3" w14:textId="0854BFB0" w:rsidR="003B71C4" w:rsidRPr="007231DE" w:rsidRDefault="003B71C4" w:rsidP="007D293E">
      <w:pPr>
        <w:widowControl/>
        <w:tabs>
          <w:tab w:val="center" w:pos="4153"/>
          <w:tab w:val="right" w:pos="8306"/>
        </w:tabs>
        <w:spacing w:beforeLines="50" w:before="156" w:line="360" w:lineRule="auto"/>
        <w:jc w:val="right"/>
        <w:rPr>
          <w:rFonts w:asciiTheme="minorEastAsia" w:hAnsiTheme="minorEastAsia" w:cs="Arial"/>
          <w:kern w:val="0"/>
          <w:sz w:val="24"/>
          <w:szCs w:val="20"/>
        </w:rPr>
      </w:pPr>
      <w:r w:rsidRPr="007231DE">
        <w:rPr>
          <w:rFonts w:asciiTheme="minorEastAsia" w:hAnsiTheme="minorEastAsia" w:cs="Arial" w:hint="eastAsia"/>
          <w:kern w:val="0"/>
          <w:sz w:val="24"/>
          <w:szCs w:val="20"/>
        </w:rPr>
        <w:t>青岛汇金通电力设备股份有限公司</w:t>
      </w:r>
    </w:p>
    <w:p w14:paraId="4FDB4A36" w14:textId="4F3008BF" w:rsidR="003B71C4" w:rsidRPr="003B71C4" w:rsidRDefault="003B71C4" w:rsidP="00493EFD">
      <w:pPr>
        <w:widowControl/>
        <w:spacing w:line="360" w:lineRule="auto"/>
        <w:jc w:val="right"/>
        <w:rPr>
          <w:rFonts w:asciiTheme="minorEastAsia" w:hAnsiTheme="minorEastAsia" w:cs="Arial"/>
          <w:kern w:val="0"/>
          <w:sz w:val="24"/>
          <w:szCs w:val="20"/>
        </w:rPr>
      </w:pPr>
      <w:r w:rsidRPr="007231DE">
        <w:rPr>
          <w:rFonts w:asciiTheme="minorEastAsia" w:hAnsiTheme="minorEastAsia" w:cs="Arial"/>
          <w:kern w:val="0"/>
          <w:sz w:val="24"/>
          <w:szCs w:val="20"/>
        </w:rPr>
        <w:t>20</w:t>
      </w:r>
      <w:r w:rsidRPr="002624C0">
        <w:rPr>
          <w:rFonts w:asciiTheme="minorEastAsia" w:hAnsiTheme="minorEastAsia" w:cs="Arial"/>
          <w:kern w:val="0"/>
          <w:sz w:val="24"/>
          <w:szCs w:val="20"/>
        </w:rPr>
        <w:t>2</w:t>
      </w:r>
      <w:r w:rsidR="006162D0">
        <w:rPr>
          <w:rFonts w:asciiTheme="minorEastAsia" w:hAnsiTheme="minorEastAsia" w:cs="Arial"/>
          <w:kern w:val="0"/>
          <w:sz w:val="24"/>
          <w:szCs w:val="20"/>
        </w:rPr>
        <w:t>4</w:t>
      </w:r>
      <w:r w:rsidRPr="002624C0">
        <w:rPr>
          <w:rFonts w:asciiTheme="minorEastAsia" w:hAnsiTheme="minorEastAsia" w:cs="Arial" w:hint="eastAsia"/>
          <w:kern w:val="0"/>
          <w:sz w:val="24"/>
          <w:szCs w:val="20"/>
        </w:rPr>
        <w:t>年</w:t>
      </w:r>
      <w:r w:rsidR="00D07D54">
        <w:rPr>
          <w:rFonts w:asciiTheme="minorEastAsia" w:hAnsiTheme="minorEastAsia" w:cs="Arial"/>
          <w:kern w:val="0"/>
          <w:sz w:val="24"/>
          <w:szCs w:val="20"/>
        </w:rPr>
        <w:t>11</w:t>
      </w:r>
      <w:r w:rsidRPr="002624C0">
        <w:rPr>
          <w:rFonts w:asciiTheme="minorEastAsia" w:hAnsiTheme="minorEastAsia" w:cs="Arial" w:hint="eastAsia"/>
          <w:kern w:val="0"/>
          <w:sz w:val="24"/>
          <w:szCs w:val="20"/>
        </w:rPr>
        <w:t>月</w:t>
      </w:r>
      <w:r w:rsidR="00D07D54">
        <w:rPr>
          <w:rFonts w:asciiTheme="minorEastAsia" w:hAnsiTheme="minorEastAsia" w:cs="Arial"/>
          <w:kern w:val="0"/>
          <w:sz w:val="24"/>
          <w:szCs w:val="20"/>
        </w:rPr>
        <w:t>28</w:t>
      </w:r>
      <w:r w:rsidRPr="002624C0">
        <w:rPr>
          <w:rFonts w:asciiTheme="minorEastAsia" w:hAnsiTheme="minorEastAsia" w:cs="Arial" w:hint="eastAsia"/>
          <w:kern w:val="0"/>
          <w:sz w:val="24"/>
          <w:szCs w:val="20"/>
        </w:rPr>
        <w:t>日</w:t>
      </w:r>
    </w:p>
    <w:sectPr w:rsidR="003B71C4" w:rsidRPr="003B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F93B7" w14:textId="77777777" w:rsidR="00AB6DF4" w:rsidRDefault="00AB6DF4" w:rsidP="00FD25C4">
      <w:r>
        <w:separator/>
      </w:r>
    </w:p>
  </w:endnote>
  <w:endnote w:type="continuationSeparator" w:id="0">
    <w:p w14:paraId="3822A492" w14:textId="77777777" w:rsidR="00AB6DF4" w:rsidRDefault="00AB6DF4" w:rsidP="00FD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BC39D" w14:textId="77777777" w:rsidR="00AB6DF4" w:rsidRDefault="00AB6DF4" w:rsidP="00FD25C4">
      <w:r>
        <w:separator/>
      </w:r>
    </w:p>
  </w:footnote>
  <w:footnote w:type="continuationSeparator" w:id="0">
    <w:p w14:paraId="1C178666" w14:textId="77777777" w:rsidR="00AB6DF4" w:rsidRDefault="00AB6DF4" w:rsidP="00FD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30"/>
    <w:rsid w:val="0000678A"/>
    <w:rsid w:val="000202E5"/>
    <w:rsid w:val="00022CC3"/>
    <w:rsid w:val="00041CEF"/>
    <w:rsid w:val="00054183"/>
    <w:rsid w:val="000D3883"/>
    <w:rsid w:val="000F3633"/>
    <w:rsid w:val="00100A0F"/>
    <w:rsid w:val="001026A6"/>
    <w:rsid w:val="00130F1A"/>
    <w:rsid w:val="00151982"/>
    <w:rsid w:val="001601C5"/>
    <w:rsid w:val="0016155F"/>
    <w:rsid w:val="00175944"/>
    <w:rsid w:val="00177B50"/>
    <w:rsid w:val="001C7376"/>
    <w:rsid w:val="001E574C"/>
    <w:rsid w:val="001E5AAC"/>
    <w:rsid w:val="00216E3B"/>
    <w:rsid w:val="00220AF8"/>
    <w:rsid w:val="002466D3"/>
    <w:rsid w:val="002624C0"/>
    <w:rsid w:val="0028039A"/>
    <w:rsid w:val="002A7A9B"/>
    <w:rsid w:val="002C4A6F"/>
    <w:rsid w:val="002E1C06"/>
    <w:rsid w:val="002F3BC7"/>
    <w:rsid w:val="00314A30"/>
    <w:rsid w:val="00315C52"/>
    <w:rsid w:val="003B71C4"/>
    <w:rsid w:val="003D3902"/>
    <w:rsid w:val="003D518B"/>
    <w:rsid w:val="003F0287"/>
    <w:rsid w:val="00434A95"/>
    <w:rsid w:val="00455D11"/>
    <w:rsid w:val="0046409D"/>
    <w:rsid w:val="004869DD"/>
    <w:rsid w:val="00493EFD"/>
    <w:rsid w:val="004B36CC"/>
    <w:rsid w:val="004C6A57"/>
    <w:rsid w:val="004D22D3"/>
    <w:rsid w:val="004E5C3E"/>
    <w:rsid w:val="00521D3F"/>
    <w:rsid w:val="00531141"/>
    <w:rsid w:val="00532B8D"/>
    <w:rsid w:val="0055559A"/>
    <w:rsid w:val="00560A10"/>
    <w:rsid w:val="00580EA9"/>
    <w:rsid w:val="00587512"/>
    <w:rsid w:val="00593103"/>
    <w:rsid w:val="005944F3"/>
    <w:rsid w:val="005B2CF3"/>
    <w:rsid w:val="005C286B"/>
    <w:rsid w:val="005E36F2"/>
    <w:rsid w:val="00606B39"/>
    <w:rsid w:val="00607D31"/>
    <w:rsid w:val="006162D0"/>
    <w:rsid w:val="00621C2B"/>
    <w:rsid w:val="00623FB2"/>
    <w:rsid w:val="00625856"/>
    <w:rsid w:val="006368D0"/>
    <w:rsid w:val="00693734"/>
    <w:rsid w:val="006938FA"/>
    <w:rsid w:val="006B135F"/>
    <w:rsid w:val="006C7ECE"/>
    <w:rsid w:val="006E7074"/>
    <w:rsid w:val="006F76B8"/>
    <w:rsid w:val="007231DE"/>
    <w:rsid w:val="00745ADE"/>
    <w:rsid w:val="00776080"/>
    <w:rsid w:val="007B04B6"/>
    <w:rsid w:val="007B26E5"/>
    <w:rsid w:val="007C16D1"/>
    <w:rsid w:val="007C6162"/>
    <w:rsid w:val="007D293E"/>
    <w:rsid w:val="007D36DB"/>
    <w:rsid w:val="00821DE1"/>
    <w:rsid w:val="00836A30"/>
    <w:rsid w:val="00866762"/>
    <w:rsid w:val="0088071B"/>
    <w:rsid w:val="008C7DEE"/>
    <w:rsid w:val="008F3346"/>
    <w:rsid w:val="00902E71"/>
    <w:rsid w:val="00906F84"/>
    <w:rsid w:val="00913666"/>
    <w:rsid w:val="00931A5D"/>
    <w:rsid w:val="00932505"/>
    <w:rsid w:val="009D6F3F"/>
    <w:rsid w:val="00A10436"/>
    <w:rsid w:val="00A1318D"/>
    <w:rsid w:val="00A252C5"/>
    <w:rsid w:val="00A40FB8"/>
    <w:rsid w:val="00A9240B"/>
    <w:rsid w:val="00AB2009"/>
    <w:rsid w:val="00AB6DF4"/>
    <w:rsid w:val="00AC0C4B"/>
    <w:rsid w:val="00AF1229"/>
    <w:rsid w:val="00B14197"/>
    <w:rsid w:val="00B1482C"/>
    <w:rsid w:val="00B33F87"/>
    <w:rsid w:val="00B377E4"/>
    <w:rsid w:val="00B5033A"/>
    <w:rsid w:val="00B60450"/>
    <w:rsid w:val="00B66FD3"/>
    <w:rsid w:val="00B904E6"/>
    <w:rsid w:val="00B94689"/>
    <w:rsid w:val="00BC28FF"/>
    <w:rsid w:val="00BD508F"/>
    <w:rsid w:val="00BE17EF"/>
    <w:rsid w:val="00BF33F5"/>
    <w:rsid w:val="00C00541"/>
    <w:rsid w:val="00C108F7"/>
    <w:rsid w:val="00C37A63"/>
    <w:rsid w:val="00C46429"/>
    <w:rsid w:val="00C7145B"/>
    <w:rsid w:val="00C77201"/>
    <w:rsid w:val="00C84C3F"/>
    <w:rsid w:val="00CC634F"/>
    <w:rsid w:val="00CD3129"/>
    <w:rsid w:val="00CE1542"/>
    <w:rsid w:val="00D07D54"/>
    <w:rsid w:val="00D208FE"/>
    <w:rsid w:val="00D406C1"/>
    <w:rsid w:val="00D478FB"/>
    <w:rsid w:val="00D67CB6"/>
    <w:rsid w:val="00D72628"/>
    <w:rsid w:val="00D76A94"/>
    <w:rsid w:val="00D94064"/>
    <w:rsid w:val="00D94AA4"/>
    <w:rsid w:val="00D976A3"/>
    <w:rsid w:val="00DA03A4"/>
    <w:rsid w:val="00DA55B8"/>
    <w:rsid w:val="00DB306A"/>
    <w:rsid w:val="00DC0BBF"/>
    <w:rsid w:val="00DC5D7E"/>
    <w:rsid w:val="00DC6E52"/>
    <w:rsid w:val="00E102E3"/>
    <w:rsid w:val="00E14149"/>
    <w:rsid w:val="00E266A1"/>
    <w:rsid w:val="00E468F4"/>
    <w:rsid w:val="00E46AAE"/>
    <w:rsid w:val="00E61512"/>
    <w:rsid w:val="00E624B5"/>
    <w:rsid w:val="00EB2DCA"/>
    <w:rsid w:val="00EC4ED8"/>
    <w:rsid w:val="00EE310E"/>
    <w:rsid w:val="00F1252A"/>
    <w:rsid w:val="00F16159"/>
    <w:rsid w:val="00F172FF"/>
    <w:rsid w:val="00F4677B"/>
    <w:rsid w:val="00FC3C60"/>
    <w:rsid w:val="00FC5FEB"/>
    <w:rsid w:val="00FC71D5"/>
    <w:rsid w:val="00FD25C4"/>
    <w:rsid w:val="00FF1A65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F840F"/>
  <w15:chartTrackingRefBased/>
  <w15:docId w15:val="{AEDB2D75-2C10-4205-B12F-6605D597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5C4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DA55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DA55B8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377E4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41C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1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>微软中国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cp:lastPrinted>2024-08-30T09:00:00Z</cp:lastPrinted>
  <dcterms:created xsi:type="dcterms:W3CDTF">2024-11-28T08:19:00Z</dcterms:created>
  <dcterms:modified xsi:type="dcterms:W3CDTF">2024-11-28T09:43:00Z</dcterms:modified>
</cp:coreProperties>
</file>