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0442">
      <w:pPr>
        <w:rPr>
          <w:rFonts w:hint="eastAsia" w:ascii="宋体" w:hAnsi="宋体" w:eastAsia="宋体" w:cs="宋体"/>
          <w:b/>
          <w:sz w:val="24"/>
        </w:rPr>
      </w:pPr>
      <w:r>
        <w:rPr>
          <w:rFonts w:hint="eastAsia" w:ascii="宋体" w:hAnsi="宋体" w:eastAsia="宋体" w:cs="宋体"/>
          <w:b/>
          <w:sz w:val="24"/>
        </w:rPr>
        <w:t>证券代码：</w:t>
      </w:r>
      <w:r>
        <w:rPr>
          <w:rFonts w:hint="eastAsia" w:ascii="宋体" w:hAnsi="宋体" w:eastAsia="宋体" w:cs="宋体"/>
          <w:b/>
          <w:sz w:val="24"/>
        </w:rPr>
        <w:t>6</w:t>
      </w:r>
      <w:r>
        <w:rPr>
          <w:rFonts w:hint="eastAsia" w:ascii="宋体" w:hAnsi="宋体" w:eastAsia="宋体" w:cs="宋体"/>
          <w:b/>
          <w:sz w:val="24"/>
        </w:rPr>
        <w:t>00222                                   证券简称：太龙药业</w:t>
      </w:r>
    </w:p>
    <w:p w14:paraId="57E127ED"/>
    <w:p w14:paraId="115CB948">
      <w:pPr>
        <w:jc w:val="center"/>
        <w:rPr>
          <w:rFonts w:ascii="黑体" w:hAnsi="黑体" w:eastAsia="黑体"/>
          <w:sz w:val="32"/>
        </w:rPr>
      </w:pPr>
      <w:r>
        <w:rPr>
          <w:rFonts w:ascii="黑体" w:hAnsi="黑体" w:eastAsia="黑体"/>
          <w:sz w:val="32"/>
        </w:rPr>
        <w:t>河南太龙药业股份有限公司</w:t>
      </w:r>
    </w:p>
    <w:p w14:paraId="51FE787C">
      <w:pPr>
        <w:jc w:val="center"/>
        <w:rPr>
          <w:rFonts w:ascii="黑体" w:hAnsi="黑体" w:eastAsia="黑体"/>
          <w:sz w:val="32"/>
        </w:rPr>
      </w:pPr>
      <w:r>
        <w:rPr>
          <w:rFonts w:ascii="黑体" w:hAnsi="黑体" w:eastAsia="黑体"/>
          <w:sz w:val="32"/>
        </w:rPr>
        <w:t>投资者关系活动记录表</w:t>
      </w:r>
    </w:p>
    <w:p w14:paraId="2EDAE1C9">
      <w:pPr>
        <w:jc w:val="center"/>
        <w:rPr>
          <w:rFonts w:ascii="黑体" w:hAnsi="黑体" w:eastAsia="黑体"/>
          <w:sz w:val="32"/>
        </w:rPr>
      </w:pPr>
      <w:r>
        <w:rPr>
          <w:rFonts w:ascii="黑体" w:hAnsi="黑体" w:eastAsia="黑体"/>
          <w:sz w:val="32"/>
        </w:rPr>
        <w:t>（</w:t>
      </w:r>
      <w:r>
        <w:rPr>
          <w:rFonts w:hint="eastAsia" w:ascii="黑体" w:hAnsi="黑体" w:eastAsia="黑体"/>
          <w:sz w:val="32"/>
        </w:rPr>
        <w:t>2</w:t>
      </w:r>
      <w:r>
        <w:rPr>
          <w:rFonts w:ascii="黑体" w:hAnsi="黑体" w:eastAsia="黑体"/>
          <w:sz w:val="32"/>
        </w:rPr>
        <w:t>024年11</w:t>
      </w:r>
      <w:r>
        <w:rPr>
          <w:rFonts w:hint="eastAsia" w:ascii="黑体" w:hAnsi="黑体" w:eastAsia="黑体"/>
          <w:sz w:val="32"/>
        </w:rPr>
        <w:t>月</w:t>
      </w:r>
      <w:r>
        <w:rPr>
          <w:rFonts w:ascii="黑体" w:hAnsi="黑体" w:eastAsia="黑体"/>
          <w:sz w:val="32"/>
        </w:rPr>
        <w:t>）</w:t>
      </w:r>
    </w:p>
    <w:p w14:paraId="61971809"/>
    <w:tbl>
      <w:tblPr>
        <w:tblStyle w:val="10"/>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8363"/>
      </w:tblGrid>
      <w:tr w14:paraId="746E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986" w:type="dxa"/>
            <w:vAlign w:val="center"/>
          </w:tcPr>
          <w:p w14:paraId="09A53B3B">
            <w:pPr>
              <w:jc w:val="center"/>
              <w:rPr>
                <w:sz w:val="28"/>
              </w:rPr>
            </w:pPr>
            <w:r>
              <w:rPr>
                <w:sz w:val="28"/>
              </w:rPr>
              <w:t>投资者关系</w:t>
            </w:r>
          </w:p>
          <w:p w14:paraId="7E3633DA">
            <w:pPr>
              <w:jc w:val="center"/>
              <w:rPr>
                <w:sz w:val="28"/>
              </w:rPr>
            </w:pPr>
            <w:r>
              <w:rPr>
                <w:sz w:val="28"/>
              </w:rPr>
              <w:t>活动类别</w:t>
            </w:r>
          </w:p>
        </w:tc>
        <w:tc>
          <w:tcPr>
            <w:tcW w:w="8363" w:type="dxa"/>
          </w:tcPr>
          <w:p w14:paraId="237BB954">
            <w:pPr>
              <w:pStyle w:val="13"/>
              <w:jc w:val="both"/>
              <w:rPr>
                <w:rFonts w:hAnsi="Times New Roman"/>
                <w:sz w:val="28"/>
              </w:rPr>
            </w:pPr>
            <w:r>
              <w:rPr>
                <w:rFonts w:hint="eastAsia" w:hAnsi="Times New Roman"/>
                <w:sz w:val="28"/>
              </w:rPr>
              <w:t xml:space="preserve">□特定对象调研     </w:t>
            </w:r>
            <w:r>
              <w:rPr>
                <w:rFonts w:hint="eastAsia" w:hAnsi="Times New Roman"/>
                <w:color w:val="auto"/>
                <w:sz w:val="28"/>
              </w:rPr>
              <w:t xml:space="preserve"> </w:t>
            </w:r>
            <w:r>
              <w:rPr>
                <w:rFonts w:hint="eastAsia" w:hAnsi="Times New Roman"/>
                <w:sz w:val="28"/>
              </w:rPr>
              <w:t>□分析师会议</w:t>
            </w:r>
          </w:p>
          <w:p w14:paraId="390FE71A">
            <w:pPr>
              <w:pStyle w:val="13"/>
              <w:jc w:val="both"/>
              <w:rPr>
                <w:rFonts w:hAnsi="Times New Roman"/>
                <w:sz w:val="28"/>
              </w:rPr>
            </w:pPr>
            <w:r>
              <w:rPr>
                <w:rFonts w:hint="eastAsia" w:hAnsi="Times New Roman"/>
                <w:sz w:val="28"/>
              </w:rPr>
              <w:t xml:space="preserve">□媒体采访          </w:t>
            </w:r>
            <w:r>
              <w:rPr>
                <w:rFonts w:hint="eastAsia" w:asciiTheme="minorEastAsia" w:hAnsiTheme="minorEastAsia" w:eastAsiaTheme="minorEastAsia"/>
                <w:sz w:val="28"/>
              </w:rPr>
              <w:t>√</w:t>
            </w:r>
            <w:r>
              <w:rPr>
                <w:rFonts w:hint="eastAsia" w:hAnsi="Times New Roman"/>
                <w:sz w:val="28"/>
              </w:rPr>
              <w:t>业绩说明会</w:t>
            </w:r>
          </w:p>
          <w:p w14:paraId="0F578CFC">
            <w:pPr>
              <w:pStyle w:val="13"/>
              <w:jc w:val="both"/>
              <w:rPr>
                <w:rFonts w:hAnsi="Times New Roman"/>
                <w:sz w:val="28"/>
              </w:rPr>
            </w:pPr>
            <w:r>
              <w:rPr>
                <w:rFonts w:hint="eastAsia" w:hAnsi="Times New Roman"/>
                <w:sz w:val="28"/>
              </w:rPr>
              <w:t>□新闻发布会        □路演活动</w:t>
            </w:r>
          </w:p>
          <w:p w14:paraId="3EC78576">
            <w:pPr>
              <w:pStyle w:val="13"/>
              <w:jc w:val="both"/>
              <w:rPr>
                <w:rFonts w:hAnsi="Times New Roman"/>
                <w:sz w:val="28"/>
              </w:rPr>
            </w:pPr>
            <w:r>
              <w:rPr>
                <w:rFonts w:hint="eastAsia" w:hAnsi="Times New Roman"/>
                <w:sz w:val="28"/>
              </w:rPr>
              <w:t>□现场参观          □</w:t>
            </w:r>
            <w:r>
              <w:rPr>
                <w:rFonts w:hint="eastAsia" w:asciiTheme="minorEastAsia" w:hAnsiTheme="minorEastAsia" w:eastAsiaTheme="minorEastAsia"/>
                <w:sz w:val="28"/>
              </w:rPr>
              <w:t>电话会议</w:t>
            </w:r>
          </w:p>
          <w:p w14:paraId="74717964">
            <w:pPr>
              <w:pStyle w:val="13"/>
              <w:jc w:val="both"/>
              <w:rPr>
                <w:rFonts w:hAnsi="Times New Roman"/>
                <w:sz w:val="28"/>
                <w:u w:val="single"/>
              </w:rPr>
            </w:pPr>
            <w:r>
              <w:rPr>
                <w:rFonts w:hint="eastAsia" w:hAnsi="Times New Roman"/>
                <w:sz w:val="28"/>
              </w:rPr>
              <w:t>□其他</w:t>
            </w:r>
            <w:r>
              <w:rPr>
                <w:rFonts w:hint="eastAsia" w:hAnsi="Times New Roman"/>
                <w:sz w:val="28"/>
                <w:u w:val="single"/>
              </w:rPr>
              <w:t xml:space="preserve"> </w:t>
            </w:r>
            <w:r>
              <w:rPr>
                <w:rFonts w:hAnsi="Times New Roman"/>
                <w:sz w:val="28"/>
                <w:u w:val="single"/>
              </w:rPr>
              <w:t xml:space="preserve">             </w:t>
            </w:r>
          </w:p>
        </w:tc>
      </w:tr>
      <w:tr w14:paraId="6346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4AD84AD1">
            <w:pPr>
              <w:jc w:val="center"/>
              <w:rPr>
                <w:sz w:val="28"/>
              </w:rPr>
            </w:pPr>
            <w:r>
              <w:rPr>
                <w:sz w:val="28"/>
              </w:rPr>
              <w:t>会议时间</w:t>
            </w:r>
          </w:p>
        </w:tc>
        <w:tc>
          <w:tcPr>
            <w:tcW w:w="8363" w:type="dxa"/>
          </w:tcPr>
          <w:p w14:paraId="14B70A04">
            <w:r>
              <w:rPr>
                <w:rFonts w:hint="eastAsia" w:asciiTheme="minorEastAsia" w:hAnsiTheme="minorEastAsia"/>
                <w:sz w:val="28"/>
              </w:rPr>
              <w:t>2</w:t>
            </w:r>
            <w:r>
              <w:rPr>
                <w:rFonts w:asciiTheme="minorEastAsia" w:hAnsiTheme="minorEastAsia"/>
                <w:sz w:val="28"/>
              </w:rPr>
              <w:t>024年11</w:t>
            </w:r>
            <w:r>
              <w:rPr>
                <w:rFonts w:hint="eastAsia" w:asciiTheme="minorEastAsia" w:hAnsiTheme="minorEastAsia"/>
                <w:sz w:val="28"/>
              </w:rPr>
              <w:t>月</w:t>
            </w:r>
            <w:r>
              <w:rPr>
                <w:rFonts w:asciiTheme="minorEastAsia" w:hAnsiTheme="minorEastAsia"/>
                <w:sz w:val="28"/>
              </w:rPr>
              <w:t>04</w:t>
            </w:r>
            <w:r>
              <w:rPr>
                <w:rFonts w:hint="eastAsia" w:asciiTheme="minorEastAsia" w:hAnsiTheme="minorEastAsia"/>
                <w:sz w:val="28"/>
              </w:rPr>
              <w:t>日上午1</w:t>
            </w:r>
            <w:r>
              <w:rPr>
                <w:rFonts w:asciiTheme="minorEastAsia" w:hAnsiTheme="minorEastAsia"/>
                <w:sz w:val="28"/>
              </w:rPr>
              <w:t>1</w:t>
            </w:r>
            <w:r>
              <w:rPr>
                <w:rFonts w:hint="eastAsia" w:asciiTheme="minorEastAsia" w:hAnsiTheme="minorEastAsia"/>
                <w:sz w:val="28"/>
              </w:rPr>
              <w:t>:00-1</w:t>
            </w:r>
            <w:r>
              <w:rPr>
                <w:rFonts w:asciiTheme="minorEastAsia" w:hAnsiTheme="minorEastAsia"/>
                <w:sz w:val="28"/>
              </w:rPr>
              <w:t>2</w:t>
            </w:r>
            <w:r>
              <w:rPr>
                <w:rFonts w:hint="eastAsia" w:asciiTheme="minorEastAsia" w:hAnsiTheme="minorEastAsia"/>
                <w:sz w:val="28"/>
              </w:rPr>
              <w:t>:</w:t>
            </w:r>
            <w:r>
              <w:rPr>
                <w:rFonts w:asciiTheme="minorEastAsia" w:hAnsiTheme="minorEastAsia"/>
                <w:sz w:val="28"/>
              </w:rPr>
              <w:t>0</w:t>
            </w:r>
            <w:r>
              <w:rPr>
                <w:rFonts w:hint="eastAsia" w:asciiTheme="minorEastAsia" w:hAnsiTheme="minorEastAsia"/>
                <w:sz w:val="28"/>
              </w:rPr>
              <w:t xml:space="preserve">0 </w:t>
            </w:r>
          </w:p>
        </w:tc>
      </w:tr>
      <w:tr w14:paraId="157D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986" w:type="dxa"/>
            <w:vAlign w:val="center"/>
          </w:tcPr>
          <w:p w14:paraId="4762D3C2">
            <w:pPr>
              <w:jc w:val="center"/>
              <w:rPr>
                <w:sz w:val="28"/>
              </w:rPr>
            </w:pPr>
            <w:r>
              <w:rPr>
                <w:sz w:val="28"/>
              </w:rPr>
              <w:t>会议地点</w:t>
            </w:r>
          </w:p>
        </w:tc>
        <w:tc>
          <w:tcPr>
            <w:tcW w:w="8363" w:type="dxa"/>
            <w:vAlign w:val="center"/>
          </w:tcPr>
          <w:p w14:paraId="03EC38F7">
            <w:pPr>
              <w:widowControl/>
              <w:rPr>
                <w:rFonts w:asciiTheme="minorEastAsia" w:hAnsiTheme="minorEastAsia"/>
                <w:sz w:val="28"/>
              </w:rPr>
            </w:pPr>
            <w:r>
              <w:rPr>
                <w:rFonts w:asciiTheme="minorEastAsia" w:hAnsiTheme="minorEastAsia"/>
                <w:sz w:val="28"/>
              </w:rPr>
              <w:t>公司通过上海证券交易所上证路演中心（网址：https://roadshow.sseinfo.com/）以网络互动的形式召开</w:t>
            </w:r>
            <w:r>
              <w:rPr>
                <w:rFonts w:hint="eastAsia" w:asciiTheme="minorEastAsia" w:hAnsiTheme="minorEastAsia"/>
                <w:sz w:val="28"/>
              </w:rPr>
              <w:t>“2024年第三季度业绩暨现金分红说明会”</w:t>
            </w:r>
          </w:p>
        </w:tc>
      </w:tr>
      <w:tr w14:paraId="6821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51B43578">
            <w:pPr>
              <w:jc w:val="center"/>
              <w:rPr>
                <w:sz w:val="28"/>
              </w:rPr>
            </w:pPr>
            <w:r>
              <w:rPr>
                <w:sz w:val="28"/>
              </w:rPr>
              <w:t>参与单位名称或人员姓名</w:t>
            </w:r>
          </w:p>
        </w:tc>
        <w:tc>
          <w:tcPr>
            <w:tcW w:w="8363" w:type="dxa"/>
            <w:vAlign w:val="center"/>
          </w:tcPr>
          <w:p w14:paraId="674B0298">
            <w:r>
              <w:rPr>
                <w:rFonts w:asciiTheme="minorEastAsia" w:hAnsiTheme="minorEastAsia"/>
                <w:sz w:val="28"/>
              </w:rPr>
              <w:t>参与单位及人员为通过上</w:t>
            </w:r>
            <w:bookmarkStart w:id="0" w:name="_GoBack"/>
            <w:bookmarkEnd w:id="0"/>
            <w:r>
              <w:rPr>
                <w:rFonts w:asciiTheme="minorEastAsia" w:hAnsiTheme="minorEastAsia"/>
                <w:sz w:val="28"/>
              </w:rPr>
              <w:t>证路演中心参与业绩说明会的广大投资者</w:t>
            </w:r>
          </w:p>
        </w:tc>
      </w:tr>
      <w:tr w14:paraId="4867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2C9DD5D5">
            <w:pPr>
              <w:jc w:val="center"/>
              <w:rPr>
                <w:sz w:val="28"/>
              </w:rPr>
            </w:pPr>
            <w:r>
              <w:rPr>
                <w:sz w:val="28"/>
              </w:rPr>
              <w:t>上市公司</w:t>
            </w:r>
          </w:p>
          <w:p w14:paraId="6EDBC833">
            <w:pPr>
              <w:jc w:val="center"/>
              <w:rPr>
                <w:sz w:val="28"/>
              </w:rPr>
            </w:pPr>
            <w:r>
              <w:rPr>
                <w:sz w:val="28"/>
              </w:rPr>
              <w:t>接待人员</w:t>
            </w:r>
          </w:p>
        </w:tc>
        <w:tc>
          <w:tcPr>
            <w:tcW w:w="8363" w:type="dxa"/>
            <w:vAlign w:val="center"/>
          </w:tcPr>
          <w:p w14:paraId="5DF74797">
            <w:pPr>
              <w:pStyle w:val="13"/>
              <w:tabs>
                <w:tab w:val="left" w:pos="675"/>
              </w:tabs>
              <w:spacing w:line="312" w:lineRule="auto"/>
              <w:jc w:val="both"/>
              <w:rPr>
                <w:rFonts w:asciiTheme="minorEastAsia" w:hAnsiTheme="minorEastAsia" w:eastAsiaTheme="minorEastAsia"/>
                <w:sz w:val="28"/>
                <w:szCs w:val="28"/>
              </w:rPr>
            </w:pPr>
            <w:r>
              <w:rPr>
                <w:rFonts w:asciiTheme="minorEastAsia" w:hAnsiTheme="minorEastAsia" w:eastAsiaTheme="minorEastAsia"/>
                <w:sz w:val="28"/>
                <w:szCs w:val="28"/>
              </w:rPr>
              <w:t>董事长</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尹</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辉       </w:t>
            </w:r>
          </w:p>
          <w:p w14:paraId="1406B536">
            <w:pPr>
              <w:pStyle w:val="13"/>
              <w:tabs>
                <w:tab w:val="left" w:pos="675"/>
              </w:tabs>
              <w:spacing w:line="312" w:lineRule="auto"/>
              <w:jc w:val="both"/>
              <w:rPr>
                <w:rFonts w:asciiTheme="minorEastAsia" w:hAnsiTheme="minorEastAsia"/>
                <w:sz w:val="28"/>
                <w:szCs w:val="28"/>
              </w:rPr>
            </w:pPr>
            <w:r>
              <w:rPr>
                <w:rFonts w:asciiTheme="minorEastAsia" w:hAnsiTheme="minorEastAsia"/>
                <w:sz w:val="28"/>
                <w:szCs w:val="28"/>
              </w:rPr>
              <w:t>独立董事</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 xml:space="preserve">方 </w:t>
            </w:r>
            <w:r>
              <w:rPr>
                <w:rFonts w:asciiTheme="minorEastAsia" w:hAnsiTheme="minorEastAsia"/>
                <w:sz w:val="28"/>
                <w:szCs w:val="28"/>
              </w:rPr>
              <w:t xml:space="preserve"> </w:t>
            </w:r>
            <w:r>
              <w:rPr>
                <w:rFonts w:hint="eastAsia" w:asciiTheme="minorEastAsia" w:hAnsiTheme="minorEastAsia"/>
                <w:sz w:val="28"/>
                <w:szCs w:val="28"/>
              </w:rPr>
              <w:t>亮</w:t>
            </w:r>
          </w:p>
          <w:p w14:paraId="1C4BD75E">
            <w:pPr>
              <w:pStyle w:val="13"/>
              <w:tabs>
                <w:tab w:val="left" w:pos="675"/>
              </w:tabs>
              <w:spacing w:line="312" w:lineRule="auto"/>
              <w:jc w:val="both"/>
              <w:rPr>
                <w:rFonts w:asciiTheme="minorEastAsia" w:hAnsiTheme="minorEastAsia"/>
                <w:sz w:val="28"/>
                <w:szCs w:val="28"/>
              </w:rPr>
            </w:pPr>
            <w:r>
              <w:rPr>
                <w:rFonts w:hint="eastAsia" w:asciiTheme="minorEastAsia" w:hAnsiTheme="minorEastAsia"/>
                <w:sz w:val="28"/>
                <w:szCs w:val="28"/>
              </w:rPr>
              <w:t>常务</w:t>
            </w:r>
            <w:r>
              <w:rPr>
                <w:rFonts w:asciiTheme="minorEastAsia" w:hAnsiTheme="minorEastAsia"/>
                <w:sz w:val="28"/>
                <w:szCs w:val="28"/>
              </w:rPr>
              <w:t>副总经理、财务负责人</w:t>
            </w:r>
            <w:r>
              <w:rPr>
                <w:rFonts w:hint="eastAsia" w:asciiTheme="minorEastAsia" w:hAnsiTheme="minorEastAsia"/>
                <w:sz w:val="28"/>
                <w:szCs w:val="28"/>
              </w:rPr>
              <w:t xml:space="preserve"> </w:t>
            </w:r>
            <w:r>
              <w:rPr>
                <w:rFonts w:asciiTheme="minorEastAsia" w:hAnsiTheme="minorEastAsia"/>
                <w:sz w:val="28"/>
                <w:szCs w:val="28"/>
              </w:rPr>
              <w:t xml:space="preserve">     赵海林</w:t>
            </w:r>
          </w:p>
          <w:p w14:paraId="236E06A8">
            <w:pPr>
              <w:pStyle w:val="13"/>
              <w:tabs>
                <w:tab w:val="left" w:pos="675"/>
              </w:tabs>
              <w:spacing w:line="312" w:lineRule="auto"/>
              <w:jc w:val="both"/>
              <w:rPr>
                <w:rFonts w:asciiTheme="minorEastAsia" w:hAnsiTheme="minorEastAsia"/>
              </w:rPr>
            </w:pPr>
            <w:r>
              <w:rPr>
                <w:rFonts w:hint="eastAsia" w:asciiTheme="minorEastAsia" w:hAnsiTheme="minorEastAsia"/>
                <w:sz w:val="28"/>
                <w:szCs w:val="28"/>
              </w:rPr>
              <w:t xml:space="preserve">董事会秘书 </w:t>
            </w:r>
            <w:r>
              <w:rPr>
                <w:rFonts w:asciiTheme="minorEastAsia" w:hAnsiTheme="minorEastAsia"/>
                <w:sz w:val="28"/>
                <w:szCs w:val="28"/>
              </w:rPr>
              <w:t xml:space="preserve">                   </w:t>
            </w:r>
            <w:r>
              <w:rPr>
                <w:rFonts w:hint="eastAsia" w:asciiTheme="minorEastAsia" w:hAnsiTheme="minorEastAsia"/>
                <w:sz w:val="28"/>
                <w:szCs w:val="28"/>
              </w:rPr>
              <w:t>李念云</w:t>
            </w:r>
            <w:r>
              <w:rPr>
                <w:rFonts w:asciiTheme="minorEastAsia" w:hAnsiTheme="minorEastAsia"/>
              </w:rPr>
              <w:t xml:space="preserve"> </w:t>
            </w:r>
          </w:p>
        </w:tc>
      </w:tr>
      <w:tr w14:paraId="5D3A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567A8B3A">
            <w:pPr>
              <w:jc w:val="center"/>
              <w:rPr>
                <w:sz w:val="28"/>
              </w:rPr>
            </w:pPr>
            <w:r>
              <w:rPr>
                <w:sz w:val="28"/>
              </w:rPr>
              <w:t>投资者关系</w:t>
            </w:r>
          </w:p>
          <w:p w14:paraId="0F2E2645">
            <w:pPr>
              <w:jc w:val="center"/>
              <w:rPr>
                <w:sz w:val="28"/>
              </w:rPr>
            </w:pPr>
            <w:r>
              <w:rPr>
                <w:sz w:val="28"/>
              </w:rPr>
              <w:t>活动主要内容</w:t>
            </w:r>
          </w:p>
        </w:tc>
        <w:tc>
          <w:tcPr>
            <w:tcW w:w="8363" w:type="dxa"/>
          </w:tcPr>
          <w:p w14:paraId="1AA940D6">
            <w:pPr>
              <w:ind w:firstLine="562" w:firstLineChars="200"/>
              <w:rPr>
                <w:rFonts w:asciiTheme="minorEastAsia" w:hAnsiTheme="minorEastAsia"/>
                <w:b/>
                <w:sz w:val="28"/>
                <w:szCs w:val="24"/>
              </w:rPr>
            </w:pPr>
            <w:r>
              <w:rPr>
                <w:rFonts w:hint="eastAsia" w:asciiTheme="minorEastAsia" w:hAnsiTheme="minorEastAsia"/>
                <w:b/>
                <w:sz w:val="28"/>
                <w:szCs w:val="24"/>
              </w:rPr>
              <w:t>公司主要就投资者提出的相关问题进行互动和沟通（以下按提问时间先后顺序）</w:t>
            </w:r>
          </w:p>
          <w:p w14:paraId="4FFFD6DC">
            <w:pPr>
              <w:ind w:firstLine="562" w:firstLineChars="200"/>
              <w:rPr>
                <w:rFonts w:asciiTheme="minorEastAsia" w:hAnsiTheme="minorEastAsia"/>
                <w:b/>
                <w:sz w:val="28"/>
                <w:szCs w:val="24"/>
              </w:rPr>
            </w:pPr>
            <w:r>
              <w:rPr>
                <w:rFonts w:hint="eastAsia" w:asciiTheme="minorEastAsia" w:hAnsiTheme="minorEastAsia"/>
                <w:b/>
                <w:sz w:val="28"/>
                <w:szCs w:val="24"/>
              </w:rPr>
              <w:t>1.</w:t>
            </w:r>
            <w:r>
              <w:rPr>
                <w:rFonts w:hint="eastAsia"/>
              </w:rPr>
              <w:t xml:space="preserve"> </w:t>
            </w:r>
            <w:r>
              <w:rPr>
                <w:rFonts w:hint="eastAsia" w:asciiTheme="minorEastAsia" w:hAnsiTheme="minorEastAsia"/>
                <w:b/>
                <w:sz w:val="28"/>
                <w:szCs w:val="24"/>
              </w:rPr>
              <w:t>面对医药行业政策和市场的变化，公司在市值管理上有什么规划？</w:t>
            </w:r>
          </w:p>
          <w:p w14:paraId="3AA9BCA7">
            <w:pPr>
              <w:ind w:firstLine="560" w:firstLineChars="200"/>
              <w:rPr>
                <w:rFonts w:asciiTheme="minorEastAsia" w:hAnsiTheme="minorEastAsia"/>
                <w:sz w:val="28"/>
                <w:szCs w:val="24"/>
              </w:rPr>
            </w:pPr>
            <w:r>
              <w:rPr>
                <w:rFonts w:hint="eastAsia" w:asciiTheme="minorEastAsia" w:hAnsiTheme="minorEastAsia"/>
                <w:sz w:val="28"/>
                <w:szCs w:val="24"/>
              </w:rPr>
              <w:t>答：公司始终重视市值管理工作，面对医药行业政策和市场的变化，公司将坚持以聚焦主业发展为原则，贯彻落实既定的发展战略，以“提高价值、增创业绩、加强协同、强化队伍”为经营思路，通过科学、系统的价值创造推动公司新质生产力的塑造与价值提升，使公司发展的长期与短期战略相匹配；同时不断提高信息披露质量，积极通过业绩说明会、上证E互动、邮件、电话等形式与投资者保持良性沟通，增进投资者对公司的了解。</w:t>
            </w:r>
          </w:p>
          <w:p w14:paraId="33CB3D15">
            <w:pPr>
              <w:ind w:firstLine="562" w:firstLineChars="200"/>
              <w:rPr>
                <w:rFonts w:asciiTheme="minorEastAsia" w:hAnsiTheme="minorEastAsia"/>
                <w:b/>
                <w:sz w:val="28"/>
                <w:szCs w:val="24"/>
              </w:rPr>
            </w:pPr>
            <w:r>
              <w:rPr>
                <w:rFonts w:hint="eastAsia" w:asciiTheme="minorEastAsia" w:hAnsiTheme="minorEastAsia"/>
                <w:b/>
                <w:sz w:val="28"/>
                <w:szCs w:val="24"/>
              </w:rPr>
              <w:t>2.</w:t>
            </w:r>
            <w:r>
              <w:rPr>
                <w:rFonts w:hint="eastAsia"/>
              </w:rPr>
              <w:t xml:space="preserve"> </w:t>
            </w:r>
            <w:r>
              <w:rPr>
                <w:rFonts w:hint="eastAsia" w:asciiTheme="minorEastAsia" w:hAnsiTheme="minorEastAsia"/>
                <w:b/>
                <w:sz w:val="28"/>
                <w:szCs w:val="24"/>
              </w:rPr>
              <w:t>公司利润增长的原因是什么？</w:t>
            </w:r>
          </w:p>
          <w:p w14:paraId="126C33CF">
            <w:pPr>
              <w:ind w:firstLine="560" w:firstLineChars="200"/>
              <w:rPr>
                <w:rFonts w:asciiTheme="minorEastAsia" w:hAnsiTheme="minorEastAsia"/>
                <w:sz w:val="28"/>
                <w:szCs w:val="24"/>
              </w:rPr>
            </w:pPr>
            <w:r>
              <w:rPr>
                <w:rFonts w:hint="eastAsia" w:asciiTheme="minorEastAsia" w:hAnsiTheme="minorEastAsia"/>
                <w:sz w:val="28"/>
                <w:szCs w:val="24"/>
              </w:rPr>
              <w:t>答：公司2024年前三季度实现归母净利润2889.59万元，较去年同期增长的主要原因是公司推进精益化管理，持续优化产品与客户结构，实现业务毛利率提升。其中：药品制剂业务通过优化产品组合等措施，毛利率较上年同期增长2.68%；中药饮片业务不断提升产品和服务品质、优化客户结构、调整采购策略，毛利率较上年同期增长2.42%；药品研发服务业务通过加强项目管理、提升产出效率，毛利率较上年同期增长2.80%。同时公司强化费用管控，不断提升盈利能力。</w:t>
            </w:r>
          </w:p>
          <w:p w14:paraId="23A8CB1D">
            <w:pPr>
              <w:ind w:firstLine="562" w:firstLineChars="200"/>
              <w:rPr>
                <w:rFonts w:asciiTheme="minorEastAsia" w:hAnsiTheme="minorEastAsia"/>
                <w:b/>
                <w:sz w:val="28"/>
                <w:szCs w:val="24"/>
              </w:rPr>
            </w:pPr>
            <w:r>
              <w:rPr>
                <w:rFonts w:hint="eastAsia" w:asciiTheme="minorEastAsia" w:hAnsiTheme="minorEastAsia"/>
                <w:b/>
                <w:sz w:val="28"/>
                <w:szCs w:val="24"/>
              </w:rPr>
              <w:t>3.</w:t>
            </w:r>
            <w:r>
              <w:rPr>
                <w:rFonts w:ascii="Consolas" w:hAnsi="Consolas" w:eastAsia="宋体" w:cs="宋体"/>
                <w:color w:val="333333"/>
                <w:kern w:val="0"/>
                <w:sz w:val="20"/>
                <w:szCs w:val="20"/>
              </w:rPr>
              <w:t xml:space="preserve"> </w:t>
            </w:r>
            <w:r>
              <w:rPr>
                <w:rFonts w:asciiTheme="minorEastAsia" w:hAnsiTheme="minorEastAsia"/>
                <w:b/>
                <w:sz w:val="28"/>
                <w:szCs w:val="24"/>
              </w:rPr>
              <w:t xml:space="preserve">国家近期发布了延迟退休政策，银发经济的蓝海广阔，请问目前公司有哪些主要产品面向这些市场？ </w:t>
            </w:r>
          </w:p>
          <w:p w14:paraId="74B8B9AD">
            <w:pPr>
              <w:ind w:firstLine="560" w:firstLineChars="200"/>
              <w:rPr>
                <w:rFonts w:asciiTheme="minorEastAsia" w:hAnsiTheme="minorEastAsia"/>
                <w:sz w:val="28"/>
                <w:szCs w:val="24"/>
              </w:rPr>
            </w:pPr>
            <w:r>
              <w:rPr>
                <w:rFonts w:hint="eastAsia" w:asciiTheme="minorEastAsia" w:hAnsiTheme="minorEastAsia"/>
                <w:sz w:val="28"/>
                <w:szCs w:val="24"/>
              </w:rPr>
              <w:t>答：近年来国民生活水平不断提高、人民健康意识显著增强，在银发经济及延迟退休等政策发布的背景下，中医药凭着在治未病、慢性病治疗和管理方面的独特优势，市场前景广阔。公司一直关注并不断推进中医药在老年疾病防治及养生保健领域的应用，相关主要产品例如丹参口服液、生脉饮、石杉碱甲片等适用于心脑血管类、神经系统类等慢性疾病的预防与治疗；同时，公司子公司桐君堂的精品中药饮片产品，如灵芝、野山参、石斛、白首乌等在疾病治疗、养生保健等领域也有着广泛的应用。处方药品请按照医嘱以及药品说明书使用，谢谢。</w:t>
            </w:r>
          </w:p>
          <w:p w14:paraId="3DAF7BC8">
            <w:pPr>
              <w:ind w:firstLine="562" w:firstLineChars="200"/>
              <w:rPr>
                <w:rFonts w:asciiTheme="minorEastAsia" w:hAnsiTheme="minorEastAsia"/>
                <w:b/>
                <w:sz w:val="28"/>
                <w:szCs w:val="24"/>
              </w:rPr>
            </w:pPr>
            <w:r>
              <w:rPr>
                <w:rFonts w:hint="eastAsia" w:asciiTheme="minorEastAsia" w:hAnsiTheme="minorEastAsia"/>
                <w:b/>
                <w:sz w:val="28"/>
                <w:szCs w:val="24"/>
              </w:rPr>
              <w:t>4.</w:t>
            </w:r>
            <w:r>
              <w:rPr>
                <w:rFonts w:hint="eastAsia"/>
              </w:rPr>
              <w:t xml:space="preserve"> </w:t>
            </w:r>
            <w:r>
              <w:rPr>
                <w:rFonts w:hint="eastAsia" w:asciiTheme="minorEastAsia" w:hAnsiTheme="minorEastAsia"/>
                <w:b/>
                <w:sz w:val="28"/>
                <w:szCs w:val="24"/>
              </w:rPr>
              <w:t>这两天咳嗽喝的是太龙的止咳橘红，效果很好，但后来去了很多家药店都没有买到，以后太龙的产品是否能进入更多药店或者医院？</w:t>
            </w:r>
          </w:p>
          <w:p w14:paraId="5EE10063">
            <w:pPr>
              <w:ind w:firstLine="560" w:firstLineChars="200"/>
              <w:rPr>
                <w:rFonts w:hint="eastAsia" w:asciiTheme="minorEastAsia" w:hAnsiTheme="minorEastAsia"/>
                <w:sz w:val="28"/>
                <w:szCs w:val="24"/>
              </w:rPr>
            </w:pPr>
            <w:r>
              <w:rPr>
                <w:rFonts w:hint="eastAsia" w:asciiTheme="minorEastAsia" w:hAnsiTheme="minorEastAsia"/>
                <w:sz w:val="28"/>
                <w:szCs w:val="24"/>
              </w:rPr>
              <w:t>答：尊敬的投资者您好！公司止咳橘红口服液能清肺、止咳、化痰，用于痰热阻肺引起的咳嗽痰多，胸满气短，咽干喉痒；请参照药品说明书或在药师指导下使用。</w:t>
            </w:r>
          </w:p>
          <w:p w14:paraId="5109B5BC">
            <w:pPr>
              <w:ind w:firstLine="560" w:firstLineChars="200"/>
              <w:rPr>
                <w:rFonts w:ascii="宋体" w:hAnsi="宋体" w:eastAsia="宋体" w:cs="Times New Roman"/>
                <w:sz w:val="28"/>
                <w:szCs w:val="24"/>
                <w:lang w:bidi="ar"/>
              </w:rPr>
            </w:pPr>
            <w:r>
              <w:rPr>
                <w:rFonts w:hint="eastAsia" w:asciiTheme="minorEastAsia" w:hAnsiTheme="minorEastAsia"/>
                <w:sz w:val="28"/>
                <w:szCs w:val="24"/>
              </w:rPr>
              <w:t>公司药品制剂业务结合不同产品特性分渠道进行销售，已建立覆盖了30余个省、自治区、直辖市的营销网络，未来将结合用户需求，进一步提升公司产品的可及率，谢谢您对公司的关注！</w:t>
            </w:r>
          </w:p>
          <w:p w14:paraId="1A2BF98B">
            <w:pPr>
              <w:ind w:firstLine="562" w:firstLineChars="200"/>
              <w:rPr>
                <w:rFonts w:asciiTheme="minorEastAsia" w:hAnsiTheme="minorEastAsia"/>
                <w:b/>
                <w:sz w:val="28"/>
                <w:szCs w:val="24"/>
              </w:rPr>
            </w:pPr>
            <w:r>
              <w:rPr>
                <w:rFonts w:hint="eastAsia" w:asciiTheme="minorEastAsia" w:hAnsiTheme="minorEastAsia"/>
                <w:b/>
                <w:sz w:val="28"/>
                <w:szCs w:val="24"/>
              </w:rPr>
              <w:t>5.</w:t>
            </w:r>
            <w:r>
              <w:rPr>
                <w:rFonts w:hint="eastAsia"/>
              </w:rPr>
              <w:t xml:space="preserve"> </w:t>
            </w:r>
            <w:r>
              <w:rPr>
                <w:rFonts w:hint="eastAsia" w:asciiTheme="minorEastAsia" w:hAnsiTheme="minorEastAsia"/>
                <w:b/>
                <w:sz w:val="28"/>
                <w:szCs w:val="24"/>
              </w:rPr>
              <w:t>公司又发布了三季度分红方案，今年分了两次红，请问公司未来有分红规划吗？</w:t>
            </w:r>
          </w:p>
          <w:p w14:paraId="50A7FD06">
            <w:pPr>
              <w:ind w:firstLine="560" w:firstLineChars="200"/>
              <w:rPr>
                <w:rFonts w:asciiTheme="minorEastAsia" w:hAnsiTheme="minorEastAsia"/>
                <w:sz w:val="28"/>
                <w:szCs w:val="24"/>
              </w:rPr>
            </w:pPr>
            <w:r>
              <w:rPr>
                <w:rFonts w:hint="eastAsia" w:asciiTheme="minorEastAsia" w:hAnsiTheme="minorEastAsia"/>
                <w:sz w:val="28"/>
                <w:szCs w:val="24"/>
              </w:rPr>
              <w:t>答：公司始终重视对投资者的合理投资回报，于公司章程中对分红政策进行了明确规定，未来，公司也将根据实际经营业绩情况，在符合公司利润分配政策、保障公司正常运营和长远发展的前提下，更好地回报广大股东。</w:t>
            </w:r>
          </w:p>
          <w:p w14:paraId="4612C7E8">
            <w:pPr>
              <w:ind w:firstLine="562" w:firstLineChars="200"/>
              <w:rPr>
                <w:rFonts w:asciiTheme="minorEastAsia" w:hAnsiTheme="minorEastAsia"/>
                <w:b/>
                <w:sz w:val="28"/>
                <w:szCs w:val="24"/>
              </w:rPr>
            </w:pPr>
            <w:r>
              <w:rPr>
                <w:rFonts w:hint="eastAsia" w:asciiTheme="minorEastAsia" w:hAnsiTheme="minorEastAsia"/>
                <w:b/>
                <w:sz w:val="28"/>
                <w:szCs w:val="24"/>
              </w:rPr>
              <w:t>6.</w:t>
            </w:r>
            <w:r>
              <w:rPr>
                <w:rFonts w:hint="eastAsia"/>
              </w:rPr>
              <w:t xml:space="preserve"> </w:t>
            </w:r>
            <w:r>
              <w:rPr>
                <w:rFonts w:hint="eastAsia" w:asciiTheme="minorEastAsia" w:hAnsiTheme="minorEastAsia"/>
                <w:b/>
                <w:sz w:val="28"/>
                <w:szCs w:val="24"/>
              </w:rPr>
              <w:t>国家新发布的生育支持政策，公司是否有相关产品或布局？</w:t>
            </w:r>
          </w:p>
          <w:p w14:paraId="5A61B9E1">
            <w:pPr>
              <w:ind w:firstLine="560" w:firstLineChars="200"/>
              <w:rPr>
                <w:rFonts w:hint="eastAsia" w:asciiTheme="minorEastAsia" w:hAnsiTheme="minorEastAsia"/>
                <w:sz w:val="28"/>
                <w:szCs w:val="24"/>
              </w:rPr>
            </w:pPr>
            <w:r>
              <w:rPr>
                <w:rFonts w:hint="eastAsia" w:asciiTheme="minorEastAsia" w:hAnsiTheme="minorEastAsia"/>
                <w:sz w:val="28"/>
                <w:szCs w:val="24"/>
              </w:rPr>
              <w:t>答：公司药品制剂业务在生殖系统领域和儿童用药方面均有布局，相关产品主要有五子衍宗口服液、双黄连口服液（儿童型）、小儿复方鸡内金咀嚼片、小儿清热止咳口服液、小儿退热口服液等；同时公司控股子公司新领先于2022年与海南葫芦娃药业集团股份有限公司共同出资设立杭州康领先医药科技有限公司，以改良创新和高端剂型的儿童用药研发为核心业务，关注、呵护儿童健康。</w:t>
            </w:r>
          </w:p>
        </w:tc>
      </w:tr>
    </w:tbl>
    <w:p w14:paraId="65E21EBB">
      <w:pPr>
        <w:rPr>
          <w:b/>
          <w:sz w:val="24"/>
        </w:rPr>
      </w:pPr>
      <w:r>
        <w:rPr>
          <w:b/>
          <w:sz w:val="24"/>
        </w:rPr>
        <w:t>（以上活动不涉及应当披露但未披露的重大信息）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ZDYyNGQxODg3ZDc2MzQ4MTdiZDJkNGQ1M2EwY2IifQ=="/>
  </w:docVars>
  <w:rsids>
    <w:rsidRoot w:val="00177915"/>
    <w:rsid w:val="00005538"/>
    <w:rsid w:val="00063594"/>
    <w:rsid w:val="00080D13"/>
    <w:rsid w:val="000A600C"/>
    <w:rsid w:val="000A685A"/>
    <w:rsid w:val="000A71C8"/>
    <w:rsid w:val="000C2876"/>
    <w:rsid w:val="000D1892"/>
    <w:rsid w:val="000D363A"/>
    <w:rsid w:val="000F444F"/>
    <w:rsid w:val="00145F31"/>
    <w:rsid w:val="0015314B"/>
    <w:rsid w:val="00177915"/>
    <w:rsid w:val="001A15C0"/>
    <w:rsid w:val="001B2DBE"/>
    <w:rsid w:val="001C7AC3"/>
    <w:rsid w:val="001E7B10"/>
    <w:rsid w:val="001F27A1"/>
    <w:rsid w:val="00203094"/>
    <w:rsid w:val="002033D3"/>
    <w:rsid w:val="002153C8"/>
    <w:rsid w:val="002241F1"/>
    <w:rsid w:val="00243E0E"/>
    <w:rsid w:val="00245238"/>
    <w:rsid w:val="00250623"/>
    <w:rsid w:val="00282E31"/>
    <w:rsid w:val="002878FB"/>
    <w:rsid w:val="002A40C7"/>
    <w:rsid w:val="002B7A7E"/>
    <w:rsid w:val="002E1435"/>
    <w:rsid w:val="002E3E86"/>
    <w:rsid w:val="002F66BA"/>
    <w:rsid w:val="00320226"/>
    <w:rsid w:val="003D21CF"/>
    <w:rsid w:val="003E32FE"/>
    <w:rsid w:val="003F6576"/>
    <w:rsid w:val="00401978"/>
    <w:rsid w:val="00410562"/>
    <w:rsid w:val="00433FE9"/>
    <w:rsid w:val="004A1FE7"/>
    <w:rsid w:val="004B2878"/>
    <w:rsid w:val="00502F2E"/>
    <w:rsid w:val="0053644E"/>
    <w:rsid w:val="00540803"/>
    <w:rsid w:val="00546544"/>
    <w:rsid w:val="0057536E"/>
    <w:rsid w:val="005A44DA"/>
    <w:rsid w:val="005D323C"/>
    <w:rsid w:val="00645234"/>
    <w:rsid w:val="00695521"/>
    <w:rsid w:val="00696578"/>
    <w:rsid w:val="00697212"/>
    <w:rsid w:val="006B5244"/>
    <w:rsid w:val="006D59CB"/>
    <w:rsid w:val="006E783A"/>
    <w:rsid w:val="0070731A"/>
    <w:rsid w:val="00742E65"/>
    <w:rsid w:val="0075411E"/>
    <w:rsid w:val="0078719F"/>
    <w:rsid w:val="007928A2"/>
    <w:rsid w:val="0079294C"/>
    <w:rsid w:val="007A20DD"/>
    <w:rsid w:val="007A4728"/>
    <w:rsid w:val="007B25C4"/>
    <w:rsid w:val="007E3FB4"/>
    <w:rsid w:val="007F3B9D"/>
    <w:rsid w:val="008535FF"/>
    <w:rsid w:val="00883CDF"/>
    <w:rsid w:val="00892233"/>
    <w:rsid w:val="008A1CFF"/>
    <w:rsid w:val="008B20D1"/>
    <w:rsid w:val="008C59BD"/>
    <w:rsid w:val="008E522E"/>
    <w:rsid w:val="009143F4"/>
    <w:rsid w:val="00935D70"/>
    <w:rsid w:val="00936A80"/>
    <w:rsid w:val="00937AD0"/>
    <w:rsid w:val="009C5CEF"/>
    <w:rsid w:val="009D651C"/>
    <w:rsid w:val="00A1439D"/>
    <w:rsid w:val="00AF45D5"/>
    <w:rsid w:val="00B039C2"/>
    <w:rsid w:val="00B073C9"/>
    <w:rsid w:val="00B3269E"/>
    <w:rsid w:val="00B5592E"/>
    <w:rsid w:val="00B67CFE"/>
    <w:rsid w:val="00B92CD3"/>
    <w:rsid w:val="00BA3E0D"/>
    <w:rsid w:val="00BD2C94"/>
    <w:rsid w:val="00BF5C1B"/>
    <w:rsid w:val="00C06D08"/>
    <w:rsid w:val="00C167CF"/>
    <w:rsid w:val="00C47C5B"/>
    <w:rsid w:val="00C76C15"/>
    <w:rsid w:val="00CD0E4E"/>
    <w:rsid w:val="00CE6018"/>
    <w:rsid w:val="00D214C2"/>
    <w:rsid w:val="00D24239"/>
    <w:rsid w:val="00D34F77"/>
    <w:rsid w:val="00D76AE9"/>
    <w:rsid w:val="00D96751"/>
    <w:rsid w:val="00DA30C3"/>
    <w:rsid w:val="00E013E0"/>
    <w:rsid w:val="00E0699E"/>
    <w:rsid w:val="00E34D63"/>
    <w:rsid w:val="00E40C46"/>
    <w:rsid w:val="00E67207"/>
    <w:rsid w:val="00E726C1"/>
    <w:rsid w:val="00E82D67"/>
    <w:rsid w:val="00E8704C"/>
    <w:rsid w:val="00E93718"/>
    <w:rsid w:val="00EC5D47"/>
    <w:rsid w:val="00F32F59"/>
    <w:rsid w:val="00F87C30"/>
    <w:rsid w:val="00F97D94"/>
    <w:rsid w:val="00FC0E79"/>
    <w:rsid w:val="00FD69F7"/>
    <w:rsid w:val="00FF2E19"/>
    <w:rsid w:val="07FE2B6F"/>
    <w:rsid w:val="0D5C34E4"/>
    <w:rsid w:val="0ED91C40"/>
    <w:rsid w:val="1BD73D96"/>
    <w:rsid w:val="27870033"/>
    <w:rsid w:val="317123F7"/>
    <w:rsid w:val="369912A3"/>
    <w:rsid w:val="3D6360E5"/>
    <w:rsid w:val="3ECB7CDF"/>
    <w:rsid w:val="418C651A"/>
    <w:rsid w:val="41D41C6F"/>
    <w:rsid w:val="43B27BD4"/>
    <w:rsid w:val="44A71A4C"/>
    <w:rsid w:val="45196317"/>
    <w:rsid w:val="4A993A56"/>
    <w:rsid w:val="4F351F9F"/>
    <w:rsid w:val="599455E1"/>
    <w:rsid w:val="62E643D8"/>
    <w:rsid w:val="675B2086"/>
    <w:rsid w:val="7427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uiPriority w:val="99"/>
    <w:pPr>
      <w:jc w:val="left"/>
    </w:pPr>
  </w:style>
  <w:style w:type="paragraph" w:styleId="3">
    <w:name w:val="Balloon Text"/>
    <w:basedOn w:val="1"/>
    <w:link w:val="20"/>
    <w:semiHidden/>
    <w:unhideWhenUsed/>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2"/>
    <w:semiHidden/>
    <w:unhideWhenUsed/>
    <w:uiPriority w:val="99"/>
    <w:rPr>
      <w:rFonts w:ascii="Courier New" w:hAnsi="Courier New" w:cs="Courier New"/>
      <w:sz w:val="20"/>
      <w:szCs w:val="20"/>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8"/>
    <w:semiHidden/>
    <w:unhideWhenUsed/>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页眉 Char"/>
    <w:basedOn w:val="11"/>
    <w:link w:val="5"/>
    <w:qFormat/>
    <w:uiPriority w:val="99"/>
    <w:rPr>
      <w:sz w:val="18"/>
      <w:szCs w:val="18"/>
    </w:rPr>
  </w:style>
  <w:style w:type="character" w:customStyle="1" w:styleId="16">
    <w:name w:val="页脚 Char"/>
    <w:basedOn w:val="11"/>
    <w:link w:val="4"/>
    <w:qFormat/>
    <w:uiPriority w:val="99"/>
    <w:rPr>
      <w:sz w:val="18"/>
      <w:szCs w:val="18"/>
    </w:rPr>
  </w:style>
  <w:style w:type="character" w:customStyle="1" w:styleId="17">
    <w:name w:val="批注文字 Char"/>
    <w:basedOn w:val="11"/>
    <w:link w:val="2"/>
    <w:uiPriority w:val="99"/>
    <w:rPr>
      <w:rFonts w:asciiTheme="minorHAnsi" w:hAnsiTheme="minorHAnsi" w:eastAsiaTheme="minorEastAsia" w:cstheme="minorBidi"/>
      <w:kern w:val="2"/>
      <w:sz w:val="21"/>
      <w:szCs w:val="22"/>
    </w:rPr>
  </w:style>
  <w:style w:type="character" w:customStyle="1" w:styleId="18">
    <w:name w:val="批注主题 Char"/>
    <w:basedOn w:val="17"/>
    <w:link w:val="8"/>
    <w:semiHidden/>
    <w:uiPriority w:val="99"/>
    <w:rPr>
      <w:rFonts w:asciiTheme="minorHAnsi" w:hAnsiTheme="minorHAnsi" w:eastAsiaTheme="minorEastAsia" w:cstheme="minorBidi"/>
      <w:b/>
      <w:bCs/>
      <w:kern w:val="2"/>
      <w:sz w:val="21"/>
      <w:szCs w:val="22"/>
    </w:rPr>
  </w:style>
  <w:style w:type="paragraph" w:customStyle="1" w:styleId="19">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20">
    <w:name w:val="批注框文本 Char"/>
    <w:basedOn w:val="11"/>
    <w:link w:val="3"/>
    <w:semiHidden/>
    <w:uiPriority w:val="99"/>
    <w:rPr>
      <w:rFonts w:asciiTheme="minorHAnsi" w:hAnsiTheme="minorHAnsi" w:eastAsiaTheme="minorEastAsia" w:cstheme="minorBidi"/>
      <w:kern w:val="2"/>
      <w:sz w:val="18"/>
      <w:szCs w:val="18"/>
    </w:rPr>
  </w:style>
  <w:style w:type="character" w:customStyle="1" w:styleId="21">
    <w:name w:val="highlight"/>
    <w:basedOn w:val="11"/>
    <w:uiPriority w:val="0"/>
  </w:style>
  <w:style w:type="character" w:customStyle="1" w:styleId="22">
    <w:name w:val="HTML 预设格式 Char"/>
    <w:basedOn w:val="11"/>
    <w:link w:val="6"/>
    <w:semiHidden/>
    <w:uiPriority w:val="99"/>
    <w:rPr>
      <w:rFonts w:ascii="Courier New" w:hAnsi="Courier New" w:cs="Courier New" w:eastAsiaTheme="minorEastAsia"/>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1584</Words>
  <Characters>1670</Characters>
  <Lines>13</Lines>
  <Paragraphs>3</Paragraphs>
  <TotalTime>1386</TotalTime>
  <ScaleCrop>false</ScaleCrop>
  <LinksUpToDate>false</LinksUpToDate>
  <CharactersWithSpaces>1845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2024-04-29T07:48:00Z</dcterms:created>
  <dc:creator>Microsoft 帐户</dc:creator>
  <cp:lastModifiedBy>吉思凡</cp:lastModifiedBy>
  <dcterms:modified xsi:type="dcterms:W3CDTF">2024-11-29T07:11:10Z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A11501BEAD4C4D078DE53B52E7CF7548_12</vt:lpwstr>
  </property>
</Properties>
</file>