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371B7">
      <w:pPr>
        <w:spacing w:line="360" w:lineRule="auto"/>
        <w:rPr>
          <w:rFonts w:ascii="宋体" w:hAnsi="宋体" w:cs="宋体"/>
        </w:rPr>
      </w:pPr>
      <w:r>
        <w:rPr>
          <w:rFonts w:hint="eastAsia" w:ascii="宋体" w:hAnsi="宋体" w:cs="宋体"/>
        </w:rPr>
        <w:t>证券代码：601777                                            证券简称：力帆科技</w:t>
      </w:r>
    </w:p>
    <w:p w14:paraId="4B900D47">
      <w:pPr>
        <w:jc w:val="center"/>
        <w:rPr>
          <w:rFonts w:ascii="黑体" w:hAnsi="黑体" w:eastAsia="黑体" w:cs="黑体"/>
          <w:b/>
          <w:iCs/>
          <w:color w:val="000000"/>
          <w:szCs w:val="21"/>
        </w:rPr>
      </w:pPr>
    </w:p>
    <w:p w14:paraId="5F506798">
      <w:pPr>
        <w:spacing w:line="360" w:lineRule="auto"/>
        <w:jc w:val="center"/>
        <w:rPr>
          <w:rFonts w:ascii="黑体" w:hAnsi="黑体" w:eastAsia="黑体" w:cs="黑体"/>
          <w:b/>
          <w:iCs/>
          <w:color w:val="000000"/>
          <w:sz w:val="36"/>
          <w:szCs w:val="36"/>
        </w:rPr>
      </w:pPr>
      <w:r>
        <w:rPr>
          <w:rFonts w:hint="eastAsia" w:ascii="黑体" w:hAnsi="黑体" w:eastAsia="黑体" w:cs="黑体"/>
          <w:b/>
          <w:iCs/>
          <w:color w:val="000000"/>
          <w:sz w:val="36"/>
          <w:szCs w:val="36"/>
        </w:rPr>
        <w:t>力帆科技（集团）股份有限公司</w:t>
      </w:r>
    </w:p>
    <w:p w14:paraId="768E6E8A">
      <w:pPr>
        <w:spacing w:line="360" w:lineRule="auto"/>
        <w:jc w:val="center"/>
        <w:rPr>
          <w:rFonts w:ascii="黑体" w:hAnsi="黑体" w:eastAsia="黑体" w:cs="黑体"/>
          <w:b/>
          <w:iCs/>
          <w:color w:val="000000"/>
          <w:sz w:val="36"/>
          <w:szCs w:val="36"/>
        </w:rPr>
      </w:pPr>
      <w:r>
        <w:rPr>
          <w:rFonts w:hint="eastAsia" w:ascii="黑体" w:hAnsi="黑体" w:eastAsia="黑体" w:cs="黑体"/>
          <w:b/>
          <w:iCs/>
          <w:color w:val="000000"/>
          <w:sz w:val="36"/>
          <w:szCs w:val="36"/>
        </w:rPr>
        <w:t>投资者关系活动记录表</w:t>
      </w:r>
    </w:p>
    <w:p w14:paraId="7B6CA310">
      <w:pPr>
        <w:spacing w:line="360" w:lineRule="auto"/>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rPr>
        <w:t xml:space="preserve">                                                  编号：202</w:t>
      </w:r>
      <w:r>
        <w:rPr>
          <w:rFonts w:hint="eastAsia" w:ascii="宋体" w:hAnsi="宋体" w:cs="宋体"/>
          <w:bCs/>
          <w:iCs/>
          <w:color w:val="000000"/>
          <w:sz w:val="24"/>
          <w:szCs w:val="24"/>
          <w:lang w:val="en-US" w:eastAsia="zh-CN"/>
        </w:rPr>
        <w:t>4</w:t>
      </w:r>
      <w:r>
        <w:rPr>
          <w:rFonts w:hint="eastAsia" w:ascii="宋体" w:hAnsi="宋体" w:cs="宋体"/>
          <w:bCs/>
          <w:iCs/>
          <w:color w:val="000000"/>
          <w:sz w:val="24"/>
          <w:szCs w:val="24"/>
        </w:rPr>
        <w:t>-</w:t>
      </w:r>
      <w:r>
        <w:rPr>
          <w:rFonts w:hint="eastAsia" w:ascii="宋体" w:hAnsi="宋体" w:cs="宋体"/>
          <w:bCs/>
          <w:iCs/>
          <w:color w:val="000000"/>
          <w:sz w:val="24"/>
          <w:szCs w:val="24"/>
          <w:lang w:val="en-US" w:eastAsia="zh-CN"/>
        </w:rPr>
        <w:t>11</w:t>
      </w:r>
      <w:r>
        <w:rPr>
          <w:rFonts w:hint="eastAsia" w:ascii="宋体" w:hAnsi="宋体" w:cs="宋体"/>
          <w:bCs/>
          <w:iCs/>
          <w:color w:val="000000"/>
          <w:sz w:val="24"/>
          <w:szCs w:val="24"/>
        </w:rPr>
        <w:t>-</w:t>
      </w:r>
      <w:r>
        <w:rPr>
          <w:rFonts w:hint="eastAsia" w:ascii="宋体" w:hAnsi="宋体" w:cs="宋体"/>
          <w:bCs/>
          <w:iCs/>
          <w:color w:val="000000"/>
          <w:sz w:val="24"/>
          <w:szCs w:val="24"/>
          <w:lang w:val="en-US" w:eastAsia="zh-CN"/>
        </w:rPr>
        <w:t>30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0310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528A1A7">
            <w:pPr>
              <w:rPr>
                <w:rFonts w:ascii="宋体" w:hAnsi="宋体" w:cs="宋体"/>
                <w:bCs/>
                <w:iCs/>
                <w:color w:val="auto"/>
                <w:sz w:val="24"/>
                <w:szCs w:val="24"/>
                <w:highlight w:val="none"/>
              </w:rPr>
            </w:pPr>
            <w:r>
              <w:rPr>
                <w:rFonts w:hint="eastAsia" w:ascii="宋体" w:hAnsi="宋体" w:cs="宋体"/>
                <w:bCs/>
                <w:iCs/>
                <w:color w:val="auto"/>
                <w:sz w:val="24"/>
                <w:szCs w:val="24"/>
                <w:highlight w:val="none"/>
              </w:rPr>
              <w:t>投资者关系活动类别</w:t>
            </w:r>
          </w:p>
        </w:tc>
        <w:tc>
          <w:tcPr>
            <w:tcW w:w="6614" w:type="dxa"/>
            <w:tcBorders>
              <w:top w:val="single" w:color="auto" w:sz="4" w:space="0"/>
              <w:left w:val="single" w:color="auto" w:sz="4" w:space="0"/>
              <w:bottom w:val="single" w:color="auto" w:sz="4" w:space="0"/>
              <w:right w:val="single" w:color="auto" w:sz="4" w:space="0"/>
            </w:tcBorders>
          </w:tcPr>
          <w:p w14:paraId="560F5C7B">
            <w:pPr>
              <w:rPr>
                <w:rFonts w:ascii="宋体" w:cs="宋体"/>
                <w:bCs/>
                <w:iCs/>
                <w:color w:val="auto"/>
                <w:kern w:val="0"/>
                <w:sz w:val="24"/>
                <w:highlight w:val="none"/>
              </w:rPr>
            </w:pPr>
            <w:r>
              <w:rPr>
                <w:rFonts w:hint="eastAsia" w:ascii="宋体" w:hAnsi="宋体" w:cs="宋体"/>
                <w:bCs/>
                <w:iCs/>
                <w:color w:val="auto"/>
                <w:kern w:val="0"/>
                <w:sz w:val="24"/>
                <w:highlight w:val="none"/>
              </w:rPr>
              <w:sym w:font="Wingdings 2" w:char="0052"/>
            </w:r>
            <w:r>
              <w:rPr>
                <w:rFonts w:hint="eastAsia" w:ascii="宋体" w:hAnsi="宋体" w:cs="宋体"/>
                <w:bCs/>
                <w:iCs/>
                <w:color w:val="auto"/>
                <w:kern w:val="0"/>
                <w:sz w:val="24"/>
                <w:highlight w:val="none"/>
              </w:rPr>
              <w:t>特定对象调研    □分析师会议</w:t>
            </w:r>
          </w:p>
          <w:p w14:paraId="0E6E9D0D">
            <w:pPr>
              <w:rPr>
                <w:rFonts w:ascii="宋体" w:cs="宋体"/>
                <w:bCs/>
                <w:iCs/>
                <w:color w:val="auto"/>
                <w:kern w:val="0"/>
                <w:sz w:val="24"/>
                <w:highlight w:val="none"/>
              </w:rPr>
            </w:pPr>
            <w:r>
              <w:rPr>
                <w:rFonts w:hint="eastAsia" w:ascii="宋体" w:hAnsi="宋体" w:cs="宋体"/>
                <w:bCs/>
                <w:iCs/>
                <w:color w:val="auto"/>
                <w:kern w:val="0"/>
                <w:sz w:val="24"/>
                <w:highlight w:val="none"/>
              </w:rPr>
              <w:t>□媒体采访        □业绩说明会</w:t>
            </w:r>
          </w:p>
          <w:p w14:paraId="4E965939">
            <w:pPr>
              <w:rPr>
                <w:rFonts w:ascii="宋体" w:cs="宋体"/>
                <w:bCs/>
                <w:iCs/>
                <w:color w:val="auto"/>
                <w:kern w:val="0"/>
                <w:sz w:val="24"/>
                <w:highlight w:val="none"/>
              </w:rPr>
            </w:pPr>
            <w:r>
              <w:rPr>
                <w:rFonts w:hint="eastAsia" w:ascii="宋体" w:hAnsi="宋体" w:cs="宋体"/>
                <w:bCs/>
                <w:iCs/>
                <w:color w:val="auto"/>
                <w:kern w:val="0"/>
                <w:sz w:val="24"/>
                <w:highlight w:val="none"/>
              </w:rPr>
              <w:t>□新闻发布会      □路演活动</w:t>
            </w:r>
          </w:p>
          <w:p w14:paraId="6718041D">
            <w:pPr>
              <w:tabs>
                <w:tab w:val="left" w:pos="3045"/>
                <w:tab w:val="center" w:pos="3199"/>
              </w:tabs>
              <w:rPr>
                <w:rFonts w:ascii="宋体" w:cs="宋体"/>
                <w:bCs/>
                <w:iCs/>
                <w:color w:val="auto"/>
                <w:kern w:val="0"/>
                <w:sz w:val="24"/>
                <w:highlight w:val="none"/>
              </w:rPr>
            </w:pPr>
            <w:r>
              <w:rPr>
                <w:rFonts w:hint="eastAsia" w:ascii="宋体" w:hAnsi="宋体" w:cs="宋体"/>
                <w:bCs/>
                <w:iCs/>
                <w:color w:val="auto"/>
                <w:kern w:val="0"/>
                <w:sz w:val="24"/>
                <w:highlight w:val="none"/>
              </w:rPr>
              <w:t>□现场参观</w:t>
            </w:r>
            <w:r>
              <w:rPr>
                <w:rFonts w:ascii="宋体" w:cs="宋体"/>
                <w:bCs/>
                <w:iCs/>
                <w:color w:val="auto"/>
                <w:kern w:val="0"/>
                <w:sz w:val="24"/>
                <w:highlight w:val="none"/>
              </w:rPr>
              <w:tab/>
            </w:r>
          </w:p>
          <w:p w14:paraId="5CE8FBC7">
            <w:pPr>
              <w:tabs>
                <w:tab w:val="center" w:pos="3199"/>
              </w:tabs>
              <w:rPr>
                <w:rFonts w:ascii="宋体" w:hAnsi="宋体" w:cs="宋体"/>
                <w:bCs/>
                <w:iCs/>
                <w:color w:val="auto"/>
                <w:sz w:val="24"/>
                <w:szCs w:val="24"/>
                <w:highlight w:val="none"/>
              </w:rPr>
            </w:pPr>
            <w:r>
              <w:rPr>
                <w:rFonts w:hint="eastAsia" w:ascii="宋体" w:hAnsi="宋体" w:cs="宋体"/>
                <w:bCs/>
                <w:iCs/>
                <w:color w:val="auto"/>
                <w:kern w:val="0"/>
                <w:sz w:val="24"/>
                <w:highlight w:val="none"/>
              </w:rPr>
              <w:t>□其他（电话会议）</w:t>
            </w:r>
          </w:p>
        </w:tc>
      </w:tr>
      <w:tr w14:paraId="59A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908" w:type="dxa"/>
            <w:tcBorders>
              <w:top w:val="single" w:color="auto" w:sz="4" w:space="0"/>
              <w:left w:val="single" w:color="auto" w:sz="4" w:space="0"/>
              <w:bottom w:val="single" w:color="auto" w:sz="4" w:space="0"/>
              <w:right w:val="single" w:color="auto" w:sz="4" w:space="0"/>
            </w:tcBorders>
            <w:vAlign w:val="center"/>
          </w:tcPr>
          <w:p w14:paraId="18BE5773">
            <w:pPr>
              <w:rPr>
                <w:rFonts w:ascii="宋体" w:hAnsi="宋体" w:cs="宋体"/>
                <w:bCs/>
                <w:iCs/>
                <w:color w:val="auto"/>
                <w:sz w:val="24"/>
                <w:szCs w:val="24"/>
                <w:highlight w:val="none"/>
              </w:rPr>
            </w:pPr>
            <w:r>
              <w:rPr>
                <w:rFonts w:hint="eastAsia" w:ascii="宋体" w:hAnsi="宋体" w:cs="宋体"/>
                <w:bCs/>
                <w:iCs/>
                <w:color w:val="auto"/>
                <w:sz w:val="24"/>
                <w:szCs w:val="24"/>
                <w:highlight w:val="none"/>
              </w:rPr>
              <w:t>接待对象单位名称及人员姓名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14:paraId="490BDB61">
            <w:pPr>
              <w:widowControl/>
              <w:jc w:val="left"/>
              <w:rPr>
                <w:rFonts w:hint="eastAsia" w:ascii="宋体" w:hAnsi="宋体" w:eastAsia="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国盛</w:t>
            </w:r>
            <w:r>
              <w:rPr>
                <w:rFonts w:hint="eastAsia" w:ascii="宋体" w:hAnsi="宋体" w:cs="宋体"/>
                <w:bCs/>
                <w:iCs/>
                <w:color w:val="auto"/>
                <w:sz w:val="24"/>
                <w:szCs w:val="24"/>
                <w:highlight w:val="none"/>
              </w:rPr>
              <w:t>证券</w:t>
            </w:r>
            <w:r>
              <w:rPr>
                <w:rFonts w:hint="eastAsia" w:ascii="宋体" w:hAnsi="宋体" w:cs="宋体"/>
                <w:bCs/>
                <w:iCs/>
                <w:color w:val="auto"/>
                <w:sz w:val="24"/>
                <w:szCs w:val="24"/>
                <w:highlight w:val="none"/>
                <w:lang w:eastAsia="zh-CN"/>
              </w:rPr>
              <w:t>、</w:t>
            </w:r>
            <w:r>
              <w:rPr>
                <w:rFonts w:hint="eastAsia" w:ascii="宋体" w:hAnsi="宋体" w:cs="宋体"/>
                <w:bCs/>
                <w:iCs/>
                <w:color w:val="auto"/>
                <w:sz w:val="24"/>
                <w:szCs w:val="24"/>
                <w:highlight w:val="none"/>
                <w:lang w:val="en-US" w:eastAsia="zh-CN"/>
              </w:rPr>
              <w:t>西南证券、民生证券、德邦证券、长信基金、众安保险、鹏华基金、华夏人寿保险、博时基金、易方达等</w:t>
            </w:r>
          </w:p>
        </w:tc>
      </w:tr>
      <w:tr w14:paraId="0F8C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08" w:type="dxa"/>
            <w:tcBorders>
              <w:top w:val="single" w:color="auto" w:sz="4" w:space="0"/>
              <w:left w:val="single" w:color="auto" w:sz="4" w:space="0"/>
              <w:bottom w:val="single" w:color="auto" w:sz="4" w:space="0"/>
              <w:right w:val="single" w:color="auto" w:sz="4" w:space="0"/>
            </w:tcBorders>
            <w:vAlign w:val="center"/>
          </w:tcPr>
          <w:p w14:paraId="653CB810">
            <w:pPr>
              <w:rPr>
                <w:rFonts w:ascii="宋体" w:hAnsi="宋体" w:cs="宋体"/>
                <w:bCs/>
                <w:iCs/>
                <w:color w:val="auto"/>
                <w:sz w:val="24"/>
                <w:szCs w:val="24"/>
                <w:highlight w:val="none"/>
              </w:rPr>
            </w:pPr>
            <w:r>
              <w:rPr>
                <w:rFonts w:hint="eastAsia" w:ascii="宋体" w:hAnsi="宋体" w:cs="宋体"/>
                <w:bCs/>
                <w:iCs/>
                <w:color w:val="auto"/>
                <w:sz w:val="24"/>
                <w:szCs w:val="24"/>
                <w:highlight w:val="none"/>
              </w:rPr>
              <w:t>公司接待人员</w:t>
            </w:r>
          </w:p>
        </w:tc>
        <w:tc>
          <w:tcPr>
            <w:tcW w:w="6614" w:type="dxa"/>
            <w:tcBorders>
              <w:top w:val="single" w:color="auto" w:sz="4" w:space="0"/>
              <w:left w:val="single" w:color="auto" w:sz="4" w:space="0"/>
              <w:bottom w:val="single" w:color="auto" w:sz="4" w:space="0"/>
              <w:right w:val="single" w:color="auto" w:sz="4" w:space="0"/>
            </w:tcBorders>
            <w:vAlign w:val="center"/>
          </w:tcPr>
          <w:p w14:paraId="05D4416C">
            <w:pPr>
              <w:rPr>
                <w:rFonts w:ascii="宋体" w:hAnsi="宋体" w:cs="宋体"/>
                <w:bCs/>
                <w:iCs/>
                <w:color w:val="auto"/>
                <w:sz w:val="24"/>
                <w:szCs w:val="24"/>
                <w:highlight w:val="none"/>
              </w:rPr>
            </w:pPr>
            <w:r>
              <w:rPr>
                <w:rFonts w:hint="eastAsia" w:ascii="宋体" w:hAnsi="宋体" w:cs="宋体"/>
                <w:bCs/>
                <w:iCs/>
                <w:color w:val="auto"/>
                <w:sz w:val="24"/>
                <w:szCs w:val="24"/>
                <w:highlight w:val="none"/>
              </w:rPr>
              <w:t>董事会秘书</w:t>
            </w:r>
          </w:p>
        </w:tc>
      </w:tr>
      <w:tr w14:paraId="64EC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08" w:type="dxa"/>
            <w:tcBorders>
              <w:top w:val="single" w:color="auto" w:sz="4" w:space="0"/>
              <w:left w:val="single" w:color="auto" w:sz="4" w:space="0"/>
              <w:bottom w:val="single" w:color="auto" w:sz="4" w:space="0"/>
              <w:right w:val="single" w:color="auto" w:sz="4" w:space="0"/>
            </w:tcBorders>
            <w:vAlign w:val="center"/>
          </w:tcPr>
          <w:p w14:paraId="34E4085B">
            <w:pPr>
              <w:rPr>
                <w:rFonts w:ascii="宋体" w:hAnsi="宋体" w:cs="宋体"/>
                <w:bCs/>
                <w:iCs/>
                <w:color w:val="auto"/>
                <w:sz w:val="24"/>
                <w:szCs w:val="24"/>
                <w:highlight w:val="none"/>
              </w:rPr>
            </w:pPr>
            <w:r>
              <w:rPr>
                <w:rFonts w:hint="eastAsia" w:ascii="宋体" w:hAnsi="宋体" w:cs="宋体"/>
                <w:bCs/>
                <w:iCs/>
                <w:color w:val="auto"/>
                <w:sz w:val="24"/>
                <w:szCs w:val="24"/>
                <w:highlight w:val="none"/>
              </w:rPr>
              <w:t>时间</w:t>
            </w:r>
          </w:p>
        </w:tc>
        <w:tc>
          <w:tcPr>
            <w:tcW w:w="6614" w:type="dxa"/>
            <w:tcBorders>
              <w:top w:val="single" w:color="auto" w:sz="4" w:space="0"/>
              <w:left w:val="single" w:color="auto" w:sz="4" w:space="0"/>
              <w:bottom w:val="single" w:color="auto" w:sz="4" w:space="0"/>
              <w:right w:val="single" w:color="auto" w:sz="4" w:space="0"/>
            </w:tcBorders>
            <w:vAlign w:val="center"/>
          </w:tcPr>
          <w:p w14:paraId="585D2C87">
            <w:pPr>
              <w:rPr>
                <w:rFonts w:ascii="宋体" w:hAnsi="宋体" w:cs="宋体"/>
                <w:bCs/>
                <w:iCs/>
                <w:color w:val="auto"/>
                <w:sz w:val="24"/>
                <w:szCs w:val="24"/>
                <w:highlight w:val="none"/>
              </w:rPr>
            </w:pPr>
            <w:r>
              <w:rPr>
                <w:rFonts w:hint="eastAsia" w:ascii="宋体" w:hAnsi="宋体" w:cs="宋体"/>
                <w:bCs/>
                <w:iCs/>
                <w:color w:val="auto"/>
                <w:sz w:val="24"/>
                <w:szCs w:val="24"/>
                <w:highlight w:val="none"/>
              </w:rPr>
              <w:t>202</w:t>
            </w:r>
            <w:r>
              <w:rPr>
                <w:rFonts w:hint="eastAsia" w:ascii="宋体" w:hAnsi="宋体" w:cs="宋体"/>
                <w:bCs/>
                <w:iCs/>
                <w:color w:val="auto"/>
                <w:sz w:val="24"/>
                <w:szCs w:val="24"/>
                <w:highlight w:val="none"/>
                <w:lang w:val="en-US" w:eastAsia="zh-CN"/>
              </w:rPr>
              <w:t>4</w:t>
            </w:r>
            <w:r>
              <w:rPr>
                <w:rFonts w:hint="eastAsia" w:ascii="宋体" w:hAnsi="宋体" w:cs="宋体"/>
                <w:bCs/>
                <w:iCs/>
                <w:color w:val="auto"/>
                <w:sz w:val="24"/>
                <w:szCs w:val="24"/>
                <w:highlight w:val="none"/>
              </w:rPr>
              <w:t>年</w:t>
            </w:r>
            <w:r>
              <w:rPr>
                <w:rFonts w:hint="eastAsia" w:ascii="宋体" w:hAnsi="宋体" w:cs="宋体"/>
                <w:bCs/>
                <w:iCs/>
                <w:color w:val="auto"/>
                <w:sz w:val="24"/>
                <w:szCs w:val="24"/>
                <w:highlight w:val="none"/>
                <w:lang w:val="en-US" w:eastAsia="zh-CN"/>
              </w:rPr>
              <w:t>11</w:t>
            </w:r>
            <w:r>
              <w:rPr>
                <w:rFonts w:hint="eastAsia" w:ascii="宋体" w:hAnsi="宋体" w:cs="宋体"/>
                <w:bCs/>
                <w:iCs/>
                <w:color w:val="auto"/>
                <w:sz w:val="24"/>
                <w:szCs w:val="24"/>
                <w:highlight w:val="none"/>
              </w:rPr>
              <w:t>月</w:t>
            </w:r>
          </w:p>
        </w:tc>
      </w:tr>
      <w:tr w14:paraId="2FD8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08" w:type="dxa"/>
            <w:tcBorders>
              <w:top w:val="single" w:color="auto" w:sz="4" w:space="0"/>
              <w:left w:val="single" w:color="auto" w:sz="4" w:space="0"/>
              <w:bottom w:val="single" w:color="auto" w:sz="4" w:space="0"/>
              <w:right w:val="single" w:color="auto" w:sz="4" w:space="0"/>
            </w:tcBorders>
            <w:vAlign w:val="center"/>
          </w:tcPr>
          <w:p w14:paraId="0DF13DA2">
            <w:pPr>
              <w:rPr>
                <w:rFonts w:ascii="宋体" w:hAnsi="宋体" w:cs="宋体"/>
                <w:bCs/>
                <w:iCs/>
                <w:color w:val="auto"/>
                <w:sz w:val="24"/>
                <w:szCs w:val="24"/>
                <w:highlight w:val="none"/>
              </w:rPr>
            </w:pPr>
            <w:r>
              <w:rPr>
                <w:rFonts w:hint="eastAsia" w:ascii="宋体" w:hAnsi="宋体" w:cs="宋体"/>
                <w:bCs/>
                <w:iCs/>
                <w:color w:val="auto"/>
                <w:sz w:val="24"/>
                <w:szCs w:val="24"/>
                <w:highlight w:val="none"/>
              </w:rPr>
              <w:t>地点</w:t>
            </w:r>
          </w:p>
        </w:tc>
        <w:tc>
          <w:tcPr>
            <w:tcW w:w="6614" w:type="dxa"/>
            <w:tcBorders>
              <w:top w:val="single" w:color="auto" w:sz="4" w:space="0"/>
              <w:left w:val="single" w:color="auto" w:sz="4" w:space="0"/>
              <w:bottom w:val="single" w:color="auto" w:sz="4" w:space="0"/>
              <w:right w:val="single" w:color="auto" w:sz="4" w:space="0"/>
            </w:tcBorders>
            <w:vAlign w:val="center"/>
          </w:tcPr>
          <w:p w14:paraId="4E6769B3">
            <w:pPr>
              <w:rPr>
                <w:rFonts w:ascii="宋体" w:hAnsi="宋体" w:cs="宋体"/>
                <w:bCs/>
                <w:iCs/>
                <w:color w:val="auto"/>
                <w:sz w:val="24"/>
                <w:szCs w:val="24"/>
                <w:highlight w:val="none"/>
              </w:rPr>
            </w:pPr>
            <w:r>
              <w:rPr>
                <w:rFonts w:hint="eastAsia" w:ascii="宋体" w:hAnsi="宋体" w:cs="宋体"/>
                <w:bCs/>
                <w:iCs/>
                <w:color w:val="auto"/>
                <w:sz w:val="24"/>
                <w:szCs w:val="24"/>
                <w:highlight w:val="none"/>
              </w:rPr>
              <w:t>力帆科技（集团）股份有限公司11楼会议室</w:t>
            </w:r>
          </w:p>
        </w:tc>
      </w:tr>
      <w:tr w14:paraId="124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908" w:type="dxa"/>
            <w:tcBorders>
              <w:top w:val="single" w:color="auto" w:sz="4" w:space="0"/>
              <w:left w:val="single" w:color="auto" w:sz="4" w:space="0"/>
              <w:bottom w:val="single" w:color="auto" w:sz="4" w:space="0"/>
              <w:right w:val="single" w:color="auto" w:sz="4" w:space="0"/>
            </w:tcBorders>
            <w:vAlign w:val="center"/>
          </w:tcPr>
          <w:p w14:paraId="04ED144F">
            <w:pPr>
              <w:rPr>
                <w:rFonts w:ascii="宋体" w:hAnsi="宋体" w:cs="宋体"/>
                <w:bCs/>
                <w:iCs/>
                <w:color w:val="auto"/>
                <w:sz w:val="24"/>
                <w:szCs w:val="24"/>
                <w:highlight w:val="none"/>
              </w:rPr>
            </w:pPr>
            <w:r>
              <w:rPr>
                <w:color w:val="auto"/>
                <w:sz w:val="24"/>
                <w:highlight w:val="none"/>
              </w:rPr>
              <w:t>交流内容及具体问答记录</w:t>
            </w:r>
          </w:p>
        </w:tc>
        <w:tc>
          <w:tcPr>
            <w:tcW w:w="6614" w:type="dxa"/>
            <w:tcBorders>
              <w:top w:val="single" w:color="auto" w:sz="4" w:space="0"/>
              <w:left w:val="single" w:color="auto" w:sz="4" w:space="0"/>
              <w:bottom w:val="single" w:color="auto" w:sz="4" w:space="0"/>
              <w:right w:val="single" w:color="auto" w:sz="4" w:space="0"/>
            </w:tcBorders>
            <w:vAlign w:val="center"/>
          </w:tcPr>
          <w:p w14:paraId="1DA4383D">
            <w:pPr>
              <w:numPr>
                <w:ilvl w:val="0"/>
                <w:numId w:val="1"/>
              </w:numPr>
              <w:ind w:left="0" w:leftChars="0" w:firstLine="0" w:firstLineChars="0"/>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重庆睿蓝汽车科技有限公司与重庆睿蓝汽车制造有限公司有什么业务关系？</w:t>
            </w:r>
          </w:p>
          <w:p w14:paraId="51E5D67F">
            <w:pPr>
              <w:numPr>
                <w:ilvl w:val="0"/>
                <w:numId w:val="0"/>
              </w:numPr>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回复：睿蓝制造主要负责部分车型的生产制造，睿蓝科技主要负责汽车的研发、销售等相关业务。</w:t>
            </w:r>
          </w:p>
          <w:p w14:paraId="5A1C5491">
            <w:pPr>
              <w:numPr>
                <w:ilvl w:val="0"/>
                <w:numId w:val="0"/>
              </w:numPr>
              <w:rPr>
                <w:rFonts w:hint="default" w:ascii="宋体" w:hAnsi="宋体" w:cs="宋体"/>
                <w:bCs/>
                <w:iCs/>
                <w:color w:val="auto"/>
                <w:sz w:val="24"/>
                <w:szCs w:val="24"/>
                <w:highlight w:val="none"/>
                <w:lang w:val="en-US" w:eastAsia="zh-CN"/>
              </w:rPr>
            </w:pPr>
          </w:p>
          <w:p w14:paraId="18B3AC13">
            <w:pPr>
              <w:numPr>
                <w:ilvl w:val="0"/>
                <w:numId w:val="1"/>
              </w:numPr>
              <w:ind w:left="0" w:leftChars="0" w:firstLine="0" w:firstLineChars="0"/>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请问睿蓝制造的产能利用率及后期规划？</w:t>
            </w:r>
          </w:p>
          <w:p w14:paraId="6B7671F8">
            <w:pPr>
              <w:numPr>
                <w:ilvl w:val="0"/>
                <w:numId w:val="0"/>
              </w:numPr>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回复：睿蓝制造目前产能利用率约为30%，公司正积极提升产能利用率，以满足公司燃油车和新能源多款车型兼容生产需求。</w:t>
            </w:r>
          </w:p>
          <w:p w14:paraId="61C23F67">
            <w:pPr>
              <w:numPr>
                <w:ilvl w:val="0"/>
                <w:numId w:val="0"/>
              </w:numPr>
              <w:rPr>
                <w:rFonts w:hint="eastAsia" w:ascii="宋体" w:hAnsi="宋体" w:cs="宋体"/>
                <w:bCs/>
                <w:iCs/>
                <w:color w:val="auto"/>
                <w:sz w:val="24"/>
                <w:szCs w:val="24"/>
                <w:highlight w:val="none"/>
                <w:lang w:val="en-US" w:eastAsia="zh-CN"/>
              </w:rPr>
            </w:pPr>
          </w:p>
          <w:p w14:paraId="34208AF3">
            <w:pPr>
              <w:numPr>
                <w:ilvl w:val="0"/>
                <w:numId w:val="1"/>
              </w:numPr>
              <w:ind w:left="0" w:leftChars="0" w:firstLine="0" w:firstLineChars="0"/>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请问公司股东股权调整完成后，实控人是否有变化？吉利方还有持股吗，和新进股东相比谁持股比例较大？</w:t>
            </w:r>
          </w:p>
          <w:p w14:paraId="714BE880">
            <w:pPr>
              <w:numPr>
                <w:ilvl w:val="0"/>
                <w:numId w:val="0"/>
              </w:numPr>
              <w:rPr>
                <w:rFonts w:hint="default"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回复：公司股权变更完成后，控股股东和实际控制人未发生变化，浙江吉利产投控股有限公司通过重庆满江红私募股权投资基金合伙企业（有限合伙）间接持有公司15.21%股权，重庆江河顺遂企业管理有限公司通过重庆江河汇企业管理有限责任公司间接持有公司19.91%股权。详见公司于2024年7月3日在上海证券交易所网站（www.sse.com.cn）披露的《关于控股股东出资结构变动的提示性公告》（公告编号：临2024-043）和《关于持股5%以上股东间接转让公司股份暨权益变动的提示性公告》（公告编号：临2024-044）。</w:t>
            </w:r>
          </w:p>
          <w:p w14:paraId="0FFF3885">
            <w:pPr>
              <w:numPr>
                <w:ilvl w:val="0"/>
                <w:numId w:val="1"/>
              </w:numPr>
              <w:ind w:left="0" w:leftChars="0" w:firstLine="0" w:firstLineChars="0"/>
              <w:rPr>
                <w:rFonts w:hint="eastAsia" w:ascii="宋体" w:hAnsi="宋体" w:cs="宋体"/>
                <w:bCs/>
                <w:iCs/>
                <w:color w:val="auto"/>
                <w:sz w:val="24"/>
                <w:szCs w:val="24"/>
                <w:highlight w:val="none"/>
                <w:lang w:val="en-US" w:eastAsia="zh-CN"/>
              </w:rPr>
            </w:pPr>
            <w:bookmarkStart w:id="0" w:name="_GoBack"/>
            <w:bookmarkEnd w:id="0"/>
            <w:r>
              <w:rPr>
                <w:rFonts w:hint="eastAsia" w:ascii="宋体" w:hAnsi="宋体" w:cs="宋体"/>
                <w:bCs/>
                <w:iCs/>
                <w:color w:val="auto"/>
                <w:sz w:val="24"/>
                <w:szCs w:val="24"/>
                <w:highlight w:val="none"/>
                <w:lang w:val="en-US" w:eastAsia="zh-CN"/>
              </w:rPr>
              <w:t>公司董事会已调整完成，请问新董事长上任后能为力帆带来什么新变化？</w:t>
            </w:r>
          </w:p>
          <w:p w14:paraId="55E6C1B3">
            <w:pPr>
              <w:numPr>
                <w:ilvl w:val="0"/>
                <w:numId w:val="0"/>
              </w:numPr>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回复：新董事长将发挥其在人工智能领域长期积累的经验与优势，探索人工智能与汽车工业的融合，加速推动公司新能源汽车业务的发展。</w:t>
            </w:r>
          </w:p>
          <w:p w14:paraId="3FD89A03">
            <w:pPr>
              <w:numPr>
                <w:ilvl w:val="0"/>
                <w:numId w:val="0"/>
              </w:numPr>
              <w:rPr>
                <w:rFonts w:hint="eastAsia" w:ascii="宋体" w:hAnsi="宋体" w:cs="宋体"/>
                <w:bCs/>
                <w:iCs/>
                <w:color w:val="auto"/>
                <w:sz w:val="24"/>
                <w:szCs w:val="24"/>
                <w:highlight w:val="none"/>
                <w:lang w:val="en-US" w:eastAsia="zh-CN"/>
              </w:rPr>
            </w:pPr>
          </w:p>
          <w:p w14:paraId="6E3DB1B0">
            <w:pPr>
              <w:numPr>
                <w:ilvl w:val="0"/>
                <w:numId w:val="1"/>
              </w:numPr>
              <w:ind w:left="0" w:leftChars="0" w:firstLine="0" w:firstLineChars="0"/>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请问</w:t>
            </w:r>
            <w:r>
              <w:rPr>
                <w:rFonts w:hint="default" w:ascii="宋体" w:hAnsi="宋体" w:cs="宋体"/>
                <w:bCs/>
                <w:iCs/>
                <w:color w:val="auto"/>
                <w:sz w:val="24"/>
                <w:szCs w:val="24"/>
                <w:highlight w:val="none"/>
                <w:lang w:val="en-US" w:eastAsia="zh-CN"/>
              </w:rPr>
              <w:t>公司的战略发展将如何调整？</w:t>
            </w:r>
          </w:p>
          <w:p w14:paraId="63308A4D">
            <w:pPr>
              <w:numPr>
                <w:ilvl w:val="0"/>
                <w:numId w:val="0"/>
              </w:numPr>
              <w:rPr>
                <w:rFonts w:hint="default" w:ascii="宋体" w:hAnsi="宋体"/>
                <w:sz w:val="24"/>
                <w:szCs w:val="24"/>
              </w:rPr>
            </w:pPr>
            <w:r>
              <w:rPr>
                <w:rFonts w:hint="eastAsia" w:ascii="宋体" w:hAnsi="宋体" w:cs="宋体"/>
                <w:bCs/>
                <w:iCs/>
                <w:color w:val="auto"/>
                <w:sz w:val="24"/>
                <w:szCs w:val="24"/>
                <w:highlight w:val="none"/>
                <w:lang w:val="en-US" w:eastAsia="zh-CN"/>
              </w:rPr>
              <w:t>回复：</w:t>
            </w:r>
            <w:r>
              <w:rPr>
                <w:rFonts w:hint="default" w:ascii="宋体" w:hAnsi="宋体"/>
                <w:sz w:val="24"/>
                <w:szCs w:val="24"/>
              </w:rPr>
              <w:t>管理层正在依据行业和自身情况对公司战略及业务发展进行研讨。</w:t>
            </w:r>
          </w:p>
          <w:p w14:paraId="2E6E283C">
            <w:pPr>
              <w:numPr>
                <w:ilvl w:val="0"/>
                <w:numId w:val="0"/>
              </w:numPr>
              <w:rPr>
                <w:rFonts w:hint="default" w:ascii="宋体" w:hAnsi="宋体"/>
                <w:sz w:val="24"/>
                <w:szCs w:val="24"/>
              </w:rPr>
            </w:pPr>
          </w:p>
          <w:p w14:paraId="52AADCF0">
            <w:pPr>
              <w:numPr>
                <w:ilvl w:val="0"/>
                <w:numId w:val="1"/>
              </w:numPr>
              <w:ind w:left="0" w:leftChars="0" w:firstLine="0" w:firstLineChars="0"/>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请问关于公司出口经销商付款方面，是先款后发货还是有一定账期？有账期的话一般为多久？</w:t>
            </w:r>
          </w:p>
          <w:p w14:paraId="10F6EA01">
            <w:pPr>
              <w:numPr>
                <w:ilvl w:val="0"/>
                <w:numId w:val="0"/>
              </w:numPr>
              <w:ind w:leftChars="0"/>
              <w:rPr>
                <w:rFonts w:ascii="宋体" w:hAnsi="宋体" w:cs="宋体"/>
                <w:bCs/>
                <w:iCs/>
                <w:color w:val="auto"/>
                <w:sz w:val="24"/>
                <w:szCs w:val="24"/>
                <w:highlight w:val="none"/>
              </w:rPr>
            </w:pPr>
            <w:r>
              <w:rPr>
                <w:rFonts w:hint="eastAsia" w:ascii="宋体" w:hAnsi="宋体" w:cs="宋体"/>
                <w:bCs/>
                <w:iCs/>
                <w:color w:val="auto"/>
                <w:sz w:val="24"/>
                <w:szCs w:val="24"/>
                <w:highlight w:val="none"/>
                <w:lang w:val="en-US" w:eastAsia="zh-CN"/>
              </w:rPr>
              <w:t>答：目前经销商结算方式采用TT或信用证的方式，信用证一般为即期，但也接受部分国家地区经销商的远期信用证。</w:t>
            </w:r>
          </w:p>
        </w:tc>
      </w:tr>
      <w:tr w14:paraId="13B3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908" w:type="dxa"/>
            <w:tcBorders>
              <w:top w:val="single" w:color="auto" w:sz="4" w:space="0"/>
              <w:left w:val="single" w:color="auto" w:sz="4" w:space="0"/>
              <w:bottom w:val="single" w:color="auto" w:sz="4" w:space="0"/>
              <w:right w:val="single" w:color="auto" w:sz="4" w:space="0"/>
            </w:tcBorders>
            <w:vAlign w:val="center"/>
          </w:tcPr>
          <w:p w14:paraId="2077D676">
            <w:pPr>
              <w:rPr>
                <w:rFonts w:ascii="宋体" w:hAnsi="宋体" w:cs="宋体"/>
                <w:bCs/>
                <w:iCs/>
                <w:color w:val="auto"/>
                <w:sz w:val="24"/>
                <w:szCs w:val="24"/>
                <w:highlight w:val="none"/>
              </w:rPr>
            </w:pPr>
            <w:r>
              <w:rPr>
                <w:color w:val="auto"/>
                <w:sz w:val="24"/>
                <w:highlight w:val="none"/>
              </w:rPr>
              <w:t>关于本次活动是否涉及应当披露重大信息的说明</w:t>
            </w:r>
          </w:p>
        </w:tc>
        <w:tc>
          <w:tcPr>
            <w:tcW w:w="6614" w:type="dxa"/>
            <w:tcBorders>
              <w:top w:val="single" w:color="auto" w:sz="4" w:space="0"/>
              <w:left w:val="single" w:color="auto" w:sz="4" w:space="0"/>
              <w:bottom w:val="single" w:color="auto" w:sz="4" w:space="0"/>
              <w:right w:val="single" w:color="auto" w:sz="4" w:space="0"/>
            </w:tcBorders>
            <w:vAlign w:val="center"/>
          </w:tcPr>
          <w:p w14:paraId="4B3B980F">
            <w:pPr>
              <w:rPr>
                <w:rFonts w:ascii="宋体" w:hAnsi="宋体" w:cs="宋体"/>
                <w:bCs/>
                <w:iCs/>
                <w:color w:val="auto"/>
                <w:sz w:val="24"/>
                <w:szCs w:val="24"/>
                <w:highlight w:val="none"/>
              </w:rPr>
            </w:pPr>
            <w:r>
              <w:rPr>
                <w:rFonts w:hint="eastAsia" w:ascii="宋体" w:hAnsi="宋体" w:cs="宋体"/>
                <w:bCs/>
                <w:iCs/>
                <w:color w:val="auto"/>
                <w:sz w:val="24"/>
                <w:szCs w:val="24"/>
                <w:highlight w:val="none"/>
              </w:rPr>
              <w:t>本次活动不涉及应当披露的重大信息</w:t>
            </w:r>
          </w:p>
        </w:tc>
      </w:tr>
      <w:tr w14:paraId="3BAE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08" w:type="dxa"/>
            <w:tcBorders>
              <w:top w:val="single" w:color="auto" w:sz="4" w:space="0"/>
              <w:left w:val="single" w:color="auto" w:sz="4" w:space="0"/>
              <w:bottom w:val="single" w:color="auto" w:sz="4" w:space="0"/>
              <w:right w:val="single" w:color="auto" w:sz="4" w:space="0"/>
            </w:tcBorders>
            <w:vAlign w:val="center"/>
          </w:tcPr>
          <w:p w14:paraId="32CDCDD4">
            <w:pPr>
              <w:rPr>
                <w:rFonts w:ascii="宋体" w:hAnsi="宋体" w:cs="宋体"/>
                <w:bCs/>
                <w:iCs/>
                <w:color w:val="auto"/>
                <w:sz w:val="24"/>
                <w:szCs w:val="24"/>
                <w:highlight w:val="none"/>
              </w:rPr>
            </w:pPr>
            <w:r>
              <w:rPr>
                <w:rFonts w:hint="eastAsia" w:ascii="宋体" w:hAnsi="宋体" w:cs="宋体"/>
                <w:bCs/>
                <w:iCs/>
                <w:color w:val="auto"/>
                <w:sz w:val="24"/>
                <w:szCs w:val="24"/>
                <w:highlight w:val="none"/>
              </w:rPr>
              <w:t>附件清单（如有）</w:t>
            </w:r>
          </w:p>
        </w:tc>
        <w:tc>
          <w:tcPr>
            <w:tcW w:w="6614" w:type="dxa"/>
            <w:tcBorders>
              <w:top w:val="single" w:color="auto" w:sz="4" w:space="0"/>
              <w:left w:val="single" w:color="auto" w:sz="4" w:space="0"/>
              <w:bottom w:val="single" w:color="auto" w:sz="4" w:space="0"/>
              <w:right w:val="single" w:color="auto" w:sz="4" w:space="0"/>
            </w:tcBorders>
            <w:vAlign w:val="center"/>
          </w:tcPr>
          <w:p w14:paraId="6E685975">
            <w:pPr>
              <w:widowControl/>
              <w:rPr>
                <w:rFonts w:ascii="宋体" w:hAnsi="宋体" w:cs="宋体"/>
                <w:bCs/>
                <w:iCs/>
                <w:color w:val="auto"/>
                <w:sz w:val="24"/>
                <w:szCs w:val="24"/>
                <w:highlight w:val="none"/>
              </w:rPr>
            </w:pPr>
            <w:r>
              <w:rPr>
                <w:rFonts w:hint="eastAsia" w:ascii="宋体" w:hAnsi="宋体" w:cs="宋体"/>
                <w:bCs/>
                <w:iCs/>
                <w:color w:val="auto"/>
                <w:sz w:val="24"/>
                <w:szCs w:val="24"/>
                <w:highlight w:val="none"/>
              </w:rPr>
              <w:t>无</w:t>
            </w:r>
          </w:p>
        </w:tc>
      </w:tr>
    </w:tbl>
    <w:p w14:paraId="5ECCCF49">
      <w:pPr>
        <w:rPr>
          <w:vanish/>
        </w:rPr>
      </w:pPr>
    </w:p>
    <w:p w14:paraId="04BB013C">
      <w:pPr>
        <w:rPr>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63FAF"/>
    <w:multiLevelType w:val="singleLevel"/>
    <w:tmpl w:val="B2563FAF"/>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TY2Y2YyYzJlYWMwMDY0ODkyYmM2N2IwYTFjM2EifQ=="/>
  </w:docVars>
  <w:rsids>
    <w:rsidRoot w:val="493A274D"/>
    <w:rsid w:val="000B37A3"/>
    <w:rsid w:val="000B44D3"/>
    <w:rsid w:val="000D3195"/>
    <w:rsid w:val="0011651D"/>
    <w:rsid w:val="00131567"/>
    <w:rsid w:val="001538EC"/>
    <w:rsid w:val="00194988"/>
    <w:rsid w:val="002D7559"/>
    <w:rsid w:val="00342DF2"/>
    <w:rsid w:val="003907BD"/>
    <w:rsid w:val="0040799B"/>
    <w:rsid w:val="004108A1"/>
    <w:rsid w:val="004209CD"/>
    <w:rsid w:val="004A7D33"/>
    <w:rsid w:val="004E3C5E"/>
    <w:rsid w:val="004F1DE1"/>
    <w:rsid w:val="005C48B6"/>
    <w:rsid w:val="005F5B65"/>
    <w:rsid w:val="00643C50"/>
    <w:rsid w:val="00727D52"/>
    <w:rsid w:val="008662F6"/>
    <w:rsid w:val="00885FE9"/>
    <w:rsid w:val="008B02B2"/>
    <w:rsid w:val="008B7CBB"/>
    <w:rsid w:val="00943F5C"/>
    <w:rsid w:val="00947E52"/>
    <w:rsid w:val="00963A45"/>
    <w:rsid w:val="0097036B"/>
    <w:rsid w:val="0098160F"/>
    <w:rsid w:val="009A1F1E"/>
    <w:rsid w:val="009A470E"/>
    <w:rsid w:val="00A34F53"/>
    <w:rsid w:val="00A50A18"/>
    <w:rsid w:val="00A6248B"/>
    <w:rsid w:val="00AB44D5"/>
    <w:rsid w:val="00AE3752"/>
    <w:rsid w:val="00B234DF"/>
    <w:rsid w:val="00B855D7"/>
    <w:rsid w:val="00C9722B"/>
    <w:rsid w:val="00CC76F4"/>
    <w:rsid w:val="00CF0C81"/>
    <w:rsid w:val="00D044EB"/>
    <w:rsid w:val="00DB0956"/>
    <w:rsid w:val="00DF5B36"/>
    <w:rsid w:val="00E93B7E"/>
    <w:rsid w:val="00F40DEE"/>
    <w:rsid w:val="00F91AFA"/>
    <w:rsid w:val="00F93D7A"/>
    <w:rsid w:val="013A4958"/>
    <w:rsid w:val="0146246E"/>
    <w:rsid w:val="014A26E1"/>
    <w:rsid w:val="018F0E78"/>
    <w:rsid w:val="01967485"/>
    <w:rsid w:val="01BF5686"/>
    <w:rsid w:val="01E614DD"/>
    <w:rsid w:val="01F95A93"/>
    <w:rsid w:val="0218183D"/>
    <w:rsid w:val="02934335"/>
    <w:rsid w:val="02AE68AF"/>
    <w:rsid w:val="02C247AE"/>
    <w:rsid w:val="037C15AD"/>
    <w:rsid w:val="042A4EC4"/>
    <w:rsid w:val="04620E04"/>
    <w:rsid w:val="048D195A"/>
    <w:rsid w:val="049F57FE"/>
    <w:rsid w:val="04FE5637"/>
    <w:rsid w:val="050B39E6"/>
    <w:rsid w:val="05251DE5"/>
    <w:rsid w:val="053138D4"/>
    <w:rsid w:val="05B023A4"/>
    <w:rsid w:val="05F05BAB"/>
    <w:rsid w:val="067A2B8B"/>
    <w:rsid w:val="069229F8"/>
    <w:rsid w:val="06B56F46"/>
    <w:rsid w:val="06CE0EAF"/>
    <w:rsid w:val="0780281E"/>
    <w:rsid w:val="07D93108"/>
    <w:rsid w:val="08035A16"/>
    <w:rsid w:val="08562CE8"/>
    <w:rsid w:val="08852541"/>
    <w:rsid w:val="0890371A"/>
    <w:rsid w:val="08C534BB"/>
    <w:rsid w:val="09243AC5"/>
    <w:rsid w:val="09921729"/>
    <w:rsid w:val="0A0276D6"/>
    <w:rsid w:val="0A0342E9"/>
    <w:rsid w:val="0A3858C9"/>
    <w:rsid w:val="0A727E8E"/>
    <w:rsid w:val="0A991AB3"/>
    <w:rsid w:val="0AA86C32"/>
    <w:rsid w:val="0AF00CC5"/>
    <w:rsid w:val="0B293A5F"/>
    <w:rsid w:val="0B2D611B"/>
    <w:rsid w:val="0B382AA3"/>
    <w:rsid w:val="0B742D43"/>
    <w:rsid w:val="0B8C4E21"/>
    <w:rsid w:val="0C050798"/>
    <w:rsid w:val="0C2B42CB"/>
    <w:rsid w:val="0CC6187A"/>
    <w:rsid w:val="0CC90541"/>
    <w:rsid w:val="0D14156B"/>
    <w:rsid w:val="0D300E2A"/>
    <w:rsid w:val="0DC161D1"/>
    <w:rsid w:val="0DCD62F4"/>
    <w:rsid w:val="0E214D9D"/>
    <w:rsid w:val="0E5B60C3"/>
    <w:rsid w:val="0E800F2B"/>
    <w:rsid w:val="0EE046D9"/>
    <w:rsid w:val="0F251AA6"/>
    <w:rsid w:val="0FCC716B"/>
    <w:rsid w:val="0FF5178D"/>
    <w:rsid w:val="10295E18"/>
    <w:rsid w:val="106266AB"/>
    <w:rsid w:val="107A6B0B"/>
    <w:rsid w:val="116C28F7"/>
    <w:rsid w:val="11B7516C"/>
    <w:rsid w:val="12D76BA9"/>
    <w:rsid w:val="13276D39"/>
    <w:rsid w:val="134B421D"/>
    <w:rsid w:val="13C870C8"/>
    <w:rsid w:val="148131C1"/>
    <w:rsid w:val="149745E3"/>
    <w:rsid w:val="14D25125"/>
    <w:rsid w:val="15862DE4"/>
    <w:rsid w:val="16786CCF"/>
    <w:rsid w:val="16875F60"/>
    <w:rsid w:val="16BD154C"/>
    <w:rsid w:val="16CB272E"/>
    <w:rsid w:val="16FA111C"/>
    <w:rsid w:val="174543FE"/>
    <w:rsid w:val="17924700"/>
    <w:rsid w:val="17AD6819"/>
    <w:rsid w:val="17BA4FFA"/>
    <w:rsid w:val="17F7378E"/>
    <w:rsid w:val="182A5648"/>
    <w:rsid w:val="186F6D84"/>
    <w:rsid w:val="193D08CB"/>
    <w:rsid w:val="193E1B5D"/>
    <w:rsid w:val="19731801"/>
    <w:rsid w:val="19736C7A"/>
    <w:rsid w:val="19752F56"/>
    <w:rsid w:val="198B34A8"/>
    <w:rsid w:val="19AF13A3"/>
    <w:rsid w:val="19E675F9"/>
    <w:rsid w:val="1A146A9A"/>
    <w:rsid w:val="1A221AAC"/>
    <w:rsid w:val="1A2E44DA"/>
    <w:rsid w:val="1A511DFF"/>
    <w:rsid w:val="1A525767"/>
    <w:rsid w:val="1AB90B6F"/>
    <w:rsid w:val="1B025336"/>
    <w:rsid w:val="1B2E158D"/>
    <w:rsid w:val="1B7504F7"/>
    <w:rsid w:val="1C023119"/>
    <w:rsid w:val="1C0C10F3"/>
    <w:rsid w:val="1C5D463E"/>
    <w:rsid w:val="1C647A98"/>
    <w:rsid w:val="1C7F12A0"/>
    <w:rsid w:val="1CA06B02"/>
    <w:rsid w:val="1CC8316B"/>
    <w:rsid w:val="1D454396"/>
    <w:rsid w:val="1D4C102E"/>
    <w:rsid w:val="1E040809"/>
    <w:rsid w:val="1E1103F2"/>
    <w:rsid w:val="1E2B2EE3"/>
    <w:rsid w:val="1E5E09FB"/>
    <w:rsid w:val="1EB24651"/>
    <w:rsid w:val="1F01176E"/>
    <w:rsid w:val="1F2B2044"/>
    <w:rsid w:val="1F766517"/>
    <w:rsid w:val="1F7716B2"/>
    <w:rsid w:val="1F7812C6"/>
    <w:rsid w:val="1F7F78A9"/>
    <w:rsid w:val="1FDB043E"/>
    <w:rsid w:val="200D5878"/>
    <w:rsid w:val="203B039C"/>
    <w:rsid w:val="206612F6"/>
    <w:rsid w:val="20B36FFF"/>
    <w:rsid w:val="20D858B3"/>
    <w:rsid w:val="20EF284D"/>
    <w:rsid w:val="212136FE"/>
    <w:rsid w:val="213F699C"/>
    <w:rsid w:val="216F3E17"/>
    <w:rsid w:val="21A3389D"/>
    <w:rsid w:val="21B73BD6"/>
    <w:rsid w:val="222D626C"/>
    <w:rsid w:val="2230437A"/>
    <w:rsid w:val="22B57B24"/>
    <w:rsid w:val="23086DE2"/>
    <w:rsid w:val="23260EAB"/>
    <w:rsid w:val="234D149D"/>
    <w:rsid w:val="23725130"/>
    <w:rsid w:val="23960811"/>
    <w:rsid w:val="23F7716D"/>
    <w:rsid w:val="23FE1CD5"/>
    <w:rsid w:val="24460840"/>
    <w:rsid w:val="24911995"/>
    <w:rsid w:val="24941163"/>
    <w:rsid w:val="24C746D4"/>
    <w:rsid w:val="255657D2"/>
    <w:rsid w:val="25A47F00"/>
    <w:rsid w:val="25C41FB9"/>
    <w:rsid w:val="25E91DEE"/>
    <w:rsid w:val="26314015"/>
    <w:rsid w:val="26964850"/>
    <w:rsid w:val="269C6D7A"/>
    <w:rsid w:val="26DF431D"/>
    <w:rsid w:val="270C67E2"/>
    <w:rsid w:val="270E366C"/>
    <w:rsid w:val="272E0923"/>
    <w:rsid w:val="273A77E3"/>
    <w:rsid w:val="275C4FC4"/>
    <w:rsid w:val="277B343D"/>
    <w:rsid w:val="27886139"/>
    <w:rsid w:val="27BF3329"/>
    <w:rsid w:val="27E5575B"/>
    <w:rsid w:val="27EE4BBD"/>
    <w:rsid w:val="283C698F"/>
    <w:rsid w:val="28C7450D"/>
    <w:rsid w:val="28CC40DC"/>
    <w:rsid w:val="292464D5"/>
    <w:rsid w:val="29396FE6"/>
    <w:rsid w:val="296123F9"/>
    <w:rsid w:val="29676259"/>
    <w:rsid w:val="2995095C"/>
    <w:rsid w:val="29D63BF0"/>
    <w:rsid w:val="29E02CD1"/>
    <w:rsid w:val="2AA46831"/>
    <w:rsid w:val="2B4B2F56"/>
    <w:rsid w:val="2B4F2AB2"/>
    <w:rsid w:val="2B5A7295"/>
    <w:rsid w:val="2B735FA9"/>
    <w:rsid w:val="2B8B3C04"/>
    <w:rsid w:val="2B8D7CC4"/>
    <w:rsid w:val="2BCB3BB8"/>
    <w:rsid w:val="2C1572F0"/>
    <w:rsid w:val="2C4E1D99"/>
    <w:rsid w:val="2C800095"/>
    <w:rsid w:val="2C964F80"/>
    <w:rsid w:val="2CAA0127"/>
    <w:rsid w:val="2CB11689"/>
    <w:rsid w:val="2CD47877"/>
    <w:rsid w:val="2CE15995"/>
    <w:rsid w:val="2CF04C15"/>
    <w:rsid w:val="2D8E7697"/>
    <w:rsid w:val="2E024FFE"/>
    <w:rsid w:val="2E590D54"/>
    <w:rsid w:val="2E662152"/>
    <w:rsid w:val="2EA51A7A"/>
    <w:rsid w:val="2F280993"/>
    <w:rsid w:val="2F62420F"/>
    <w:rsid w:val="2F902313"/>
    <w:rsid w:val="2FC75471"/>
    <w:rsid w:val="2FD45DE0"/>
    <w:rsid w:val="30095AC2"/>
    <w:rsid w:val="304D05A1"/>
    <w:rsid w:val="30620D37"/>
    <w:rsid w:val="30624903"/>
    <w:rsid w:val="309B06D0"/>
    <w:rsid w:val="30AF5A2C"/>
    <w:rsid w:val="310B34C5"/>
    <w:rsid w:val="31763FF4"/>
    <w:rsid w:val="31D645E6"/>
    <w:rsid w:val="31E72BF8"/>
    <w:rsid w:val="31F63C9F"/>
    <w:rsid w:val="32213984"/>
    <w:rsid w:val="32810B4D"/>
    <w:rsid w:val="33617B99"/>
    <w:rsid w:val="33774C3E"/>
    <w:rsid w:val="33933192"/>
    <w:rsid w:val="33A677AC"/>
    <w:rsid w:val="33E475F4"/>
    <w:rsid w:val="34A916C2"/>
    <w:rsid w:val="351A769C"/>
    <w:rsid w:val="35227BD5"/>
    <w:rsid w:val="35583604"/>
    <w:rsid w:val="358C1ADF"/>
    <w:rsid w:val="359130D0"/>
    <w:rsid w:val="35C275C5"/>
    <w:rsid w:val="35C9034A"/>
    <w:rsid w:val="360278A7"/>
    <w:rsid w:val="36580EA7"/>
    <w:rsid w:val="36783529"/>
    <w:rsid w:val="37143B06"/>
    <w:rsid w:val="371C3939"/>
    <w:rsid w:val="37603B79"/>
    <w:rsid w:val="38211BE5"/>
    <w:rsid w:val="38794EB2"/>
    <w:rsid w:val="3891605F"/>
    <w:rsid w:val="38975EC3"/>
    <w:rsid w:val="389968C5"/>
    <w:rsid w:val="38B30C88"/>
    <w:rsid w:val="39273424"/>
    <w:rsid w:val="39B568AE"/>
    <w:rsid w:val="39F540C7"/>
    <w:rsid w:val="3A5D0E46"/>
    <w:rsid w:val="3A873793"/>
    <w:rsid w:val="3AFA02EA"/>
    <w:rsid w:val="3B2D645F"/>
    <w:rsid w:val="3B4E6A46"/>
    <w:rsid w:val="3BA92D00"/>
    <w:rsid w:val="3BB0325D"/>
    <w:rsid w:val="3BC903A6"/>
    <w:rsid w:val="3BD403D0"/>
    <w:rsid w:val="3CA8133C"/>
    <w:rsid w:val="3CB00786"/>
    <w:rsid w:val="3D201421"/>
    <w:rsid w:val="3DE22221"/>
    <w:rsid w:val="3E0755D2"/>
    <w:rsid w:val="3EF11FA7"/>
    <w:rsid w:val="3F101C46"/>
    <w:rsid w:val="3F1E47CD"/>
    <w:rsid w:val="3F2B5B2C"/>
    <w:rsid w:val="3F9A4CD2"/>
    <w:rsid w:val="3FA6282D"/>
    <w:rsid w:val="3FA95489"/>
    <w:rsid w:val="3FD37BD9"/>
    <w:rsid w:val="3FEB7AEB"/>
    <w:rsid w:val="3FEE7933"/>
    <w:rsid w:val="40510A2D"/>
    <w:rsid w:val="405E2183"/>
    <w:rsid w:val="406F5026"/>
    <w:rsid w:val="40B20C7B"/>
    <w:rsid w:val="40D1333F"/>
    <w:rsid w:val="415666C4"/>
    <w:rsid w:val="41F042AF"/>
    <w:rsid w:val="41F87936"/>
    <w:rsid w:val="42077E5C"/>
    <w:rsid w:val="42447784"/>
    <w:rsid w:val="424B5F1F"/>
    <w:rsid w:val="425275DA"/>
    <w:rsid w:val="42540C2F"/>
    <w:rsid w:val="425677DC"/>
    <w:rsid w:val="42BA10E0"/>
    <w:rsid w:val="430753ED"/>
    <w:rsid w:val="431805A4"/>
    <w:rsid w:val="434045A4"/>
    <w:rsid w:val="439B014E"/>
    <w:rsid w:val="43AB26E5"/>
    <w:rsid w:val="43D3678A"/>
    <w:rsid w:val="43DA68F3"/>
    <w:rsid w:val="43F3334F"/>
    <w:rsid w:val="441D0B59"/>
    <w:rsid w:val="44305C62"/>
    <w:rsid w:val="448A67A6"/>
    <w:rsid w:val="44914A02"/>
    <w:rsid w:val="45100E05"/>
    <w:rsid w:val="454E65FA"/>
    <w:rsid w:val="459814E1"/>
    <w:rsid w:val="45C014AB"/>
    <w:rsid w:val="46037DA8"/>
    <w:rsid w:val="46856BC1"/>
    <w:rsid w:val="46865F3D"/>
    <w:rsid w:val="46AC3AE4"/>
    <w:rsid w:val="47EE3268"/>
    <w:rsid w:val="48073992"/>
    <w:rsid w:val="48D841B7"/>
    <w:rsid w:val="493A274D"/>
    <w:rsid w:val="493D57A2"/>
    <w:rsid w:val="49B53CE7"/>
    <w:rsid w:val="4A0D7179"/>
    <w:rsid w:val="4ABF7448"/>
    <w:rsid w:val="4B210EC1"/>
    <w:rsid w:val="4B355159"/>
    <w:rsid w:val="4B5871CE"/>
    <w:rsid w:val="4B644667"/>
    <w:rsid w:val="4B990D99"/>
    <w:rsid w:val="4BBA0128"/>
    <w:rsid w:val="4BCE14DD"/>
    <w:rsid w:val="4BD741AC"/>
    <w:rsid w:val="4C0B0F6D"/>
    <w:rsid w:val="4D0F6747"/>
    <w:rsid w:val="4D20049B"/>
    <w:rsid w:val="4D355172"/>
    <w:rsid w:val="4D6635BD"/>
    <w:rsid w:val="4D7D7DE8"/>
    <w:rsid w:val="4D806B0E"/>
    <w:rsid w:val="4DB77786"/>
    <w:rsid w:val="4DBA49D4"/>
    <w:rsid w:val="4DF11D89"/>
    <w:rsid w:val="4EBF2A3C"/>
    <w:rsid w:val="4EC61076"/>
    <w:rsid w:val="4F0E4107"/>
    <w:rsid w:val="4F0E6295"/>
    <w:rsid w:val="4F232622"/>
    <w:rsid w:val="4F2C0817"/>
    <w:rsid w:val="4F90367A"/>
    <w:rsid w:val="4FD51E7F"/>
    <w:rsid w:val="4FFA6D90"/>
    <w:rsid w:val="50CA14DF"/>
    <w:rsid w:val="50E02504"/>
    <w:rsid w:val="50F91B9A"/>
    <w:rsid w:val="51142088"/>
    <w:rsid w:val="511712CC"/>
    <w:rsid w:val="511F0AE0"/>
    <w:rsid w:val="514C35D0"/>
    <w:rsid w:val="51752912"/>
    <w:rsid w:val="51C370F3"/>
    <w:rsid w:val="51D34799"/>
    <w:rsid w:val="51F353CF"/>
    <w:rsid w:val="524719CE"/>
    <w:rsid w:val="52481E5E"/>
    <w:rsid w:val="528E5578"/>
    <w:rsid w:val="531A46F9"/>
    <w:rsid w:val="53EF665E"/>
    <w:rsid w:val="5438774A"/>
    <w:rsid w:val="55375A25"/>
    <w:rsid w:val="555F6EB8"/>
    <w:rsid w:val="5606317F"/>
    <w:rsid w:val="564B433F"/>
    <w:rsid w:val="568828F0"/>
    <w:rsid w:val="56C04267"/>
    <w:rsid w:val="56C6791C"/>
    <w:rsid w:val="56D24C32"/>
    <w:rsid w:val="56FB398B"/>
    <w:rsid w:val="5731090B"/>
    <w:rsid w:val="57340315"/>
    <w:rsid w:val="57982B97"/>
    <w:rsid w:val="58371B97"/>
    <w:rsid w:val="58491100"/>
    <w:rsid w:val="58575D18"/>
    <w:rsid w:val="587364EF"/>
    <w:rsid w:val="58E9548E"/>
    <w:rsid w:val="595D621A"/>
    <w:rsid w:val="5964788E"/>
    <w:rsid w:val="5972697B"/>
    <w:rsid w:val="599447AF"/>
    <w:rsid w:val="59E06DB9"/>
    <w:rsid w:val="59EF0BEF"/>
    <w:rsid w:val="59F1740B"/>
    <w:rsid w:val="5A3E01E7"/>
    <w:rsid w:val="5A6D1F21"/>
    <w:rsid w:val="5A6E5C7B"/>
    <w:rsid w:val="5A813988"/>
    <w:rsid w:val="5BC522BB"/>
    <w:rsid w:val="5BFE3054"/>
    <w:rsid w:val="5C15705C"/>
    <w:rsid w:val="5C4F161D"/>
    <w:rsid w:val="5C716E94"/>
    <w:rsid w:val="5C7878B1"/>
    <w:rsid w:val="5CDF205A"/>
    <w:rsid w:val="5CF71228"/>
    <w:rsid w:val="5D0D7CA5"/>
    <w:rsid w:val="5D820C77"/>
    <w:rsid w:val="5D873A77"/>
    <w:rsid w:val="5DAF4C1B"/>
    <w:rsid w:val="5E2C0F7D"/>
    <w:rsid w:val="5E3117A7"/>
    <w:rsid w:val="5E403EE7"/>
    <w:rsid w:val="5E837E26"/>
    <w:rsid w:val="5ED03A93"/>
    <w:rsid w:val="5EF05598"/>
    <w:rsid w:val="5EF05CB7"/>
    <w:rsid w:val="5F155A25"/>
    <w:rsid w:val="5FB707AE"/>
    <w:rsid w:val="5FCE7FFE"/>
    <w:rsid w:val="601C7A90"/>
    <w:rsid w:val="60296DE8"/>
    <w:rsid w:val="60C62554"/>
    <w:rsid w:val="610C420E"/>
    <w:rsid w:val="61147339"/>
    <w:rsid w:val="611B7262"/>
    <w:rsid w:val="61571ABE"/>
    <w:rsid w:val="616816BC"/>
    <w:rsid w:val="61EA69A8"/>
    <w:rsid w:val="620D2908"/>
    <w:rsid w:val="62527017"/>
    <w:rsid w:val="62754D37"/>
    <w:rsid w:val="627F30FA"/>
    <w:rsid w:val="62AD2979"/>
    <w:rsid w:val="62D4066B"/>
    <w:rsid w:val="63336DF4"/>
    <w:rsid w:val="6357446E"/>
    <w:rsid w:val="63904276"/>
    <w:rsid w:val="63C17980"/>
    <w:rsid w:val="63E91966"/>
    <w:rsid w:val="642226D2"/>
    <w:rsid w:val="643E5790"/>
    <w:rsid w:val="64552344"/>
    <w:rsid w:val="64A51ECC"/>
    <w:rsid w:val="65527417"/>
    <w:rsid w:val="65A2617E"/>
    <w:rsid w:val="661E1587"/>
    <w:rsid w:val="664A62D0"/>
    <w:rsid w:val="666D1BC7"/>
    <w:rsid w:val="66882EA5"/>
    <w:rsid w:val="66A76E0C"/>
    <w:rsid w:val="66CB4B3F"/>
    <w:rsid w:val="66E70B06"/>
    <w:rsid w:val="66F741BB"/>
    <w:rsid w:val="67280BA1"/>
    <w:rsid w:val="67344AEB"/>
    <w:rsid w:val="674249B9"/>
    <w:rsid w:val="6755678B"/>
    <w:rsid w:val="680C4929"/>
    <w:rsid w:val="682C6B15"/>
    <w:rsid w:val="685E4524"/>
    <w:rsid w:val="686B3E4F"/>
    <w:rsid w:val="69083E29"/>
    <w:rsid w:val="699C4118"/>
    <w:rsid w:val="69C275FD"/>
    <w:rsid w:val="69F14D6B"/>
    <w:rsid w:val="6A0435BC"/>
    <w:rsid w:val="6A5F34F1"/>
    <w:rsid w:val="6A940DC6"/>
    <w:rsid w:val="6AC83272"/>
    <w:rsid w:val="6B0C5E52"/>
    <w:rsid w:val="6B5E5F82"/>
    <w:rsid w:val="6B8E2B91"/>
    <w:rsid w:val="6B9619A2"/>
    <w:rsid w:val="6B9D76F1"/>
    <w:rsid w:val="6BD37E20"/>
    <w:rsid w:val="6BD57D6A"/>
    <w:rsid w:val="6C4A261C"/>
    <w:rsid w:val="6C680DBD"/>
    <w:rsid w:val="6CA1689E"/>
    <w:rsid w:val="6CBA3E74"/>
    <w:rsid w:val="6D9263B7"/>
    <w:rsid w:val="6DA8190C"/>
    <w:rsid w:val="6DBF2DF8"/>
    <w:rsid w:val="6DC55031"/>
    <w:rsid w:val="6DEC705B"/>
    <w:rsid w:val="6E73497F"/>
    <w:rsid w:val="6F1137CB"/>
    <w:rsid w:val="6F753A7C"/>
    <w:rsid w:val="6F78332C"/>
    <w:rsid w:val="6FAF7A0A"/>
    <w:rsid w:val="6FB60DC4"/>
    <w:rsid w:val="6FFF3CAB"/>
    <w:rsid w:val="703419A7"/>
    <w:rsid w:val="70550B86"/>
    <w:rsid w:val="706627F5"/>
    <w:rsid w:val="70901081"/>
    <w:rsid w:val="709839A4"/>
    <w:rsid w:val="70C13093"/>
    <w:rsid w:val="70F67C10"/>
    <w:rsid w:val="70F773D5"/>
    <w:rsid w:val="713266F9"/>
    <w:rsid w:val="719D3FE2"/>
    <w:rsid w:val="71C169F5"/>
    <w:rsid w:val="720D0EBC"/>
    <w:rsid w:val="72146F60"/>
    <w:rsid w:val="72312865"/>
    <w:rsid w:val="727E170C"/>
    <w:rsid w:val="72893E0D"/>
    <w:rsid w:val="73005B71"/>
    <w:rsid w:val="733A64F8"/>
    <w:rsid w:val="739026A6"/>
    <w:rsid w:val="7418710E"/>
    <w:rsid w:val="7444425B"/>
    <w:rsid w:val="74591085"/>
    <w:rsid w:val="74957077"/>
    <w:rsid w:val="74A86015"/>
    <w:rsid w:val="74D213D3"/>
    <w:rsid w:val="74DA1695"/>
    <w:rsid w:val="74FC5A8F"/>
    <w:rsid w:val="753F43E4"/>
    <w:rsid w:val="75D424DA"/>
    <w:rsid w:val="76704907"/>
    <w:rsid w:val="76983EDE"/>
    <w:rsid w:val="77184FDD"/>
    <w:rsid w:val="77BB6C0B"/>
    <w:rsid w:val="77C6444D"/>
    <w:rsid w:val="78100640"/>
    <w:rsid w:val="799E319D"/>
    <w:rsid w:val="79AE6AFC"/>
    <w:rsid w:val="7A4E00D6"/>
    <w:rsid w:val="7A552871"/>
    <w:rsid w:val="7A654571"/>
    <w:rsid w:val="7A7379F6"/>
    <w:rsid w:val="7A7C0A63"/>
    <w:rsid w:val="7AB568B0"/>
    <w:rsid w:val="7AEB25EE"/>
    <w:rsid w:val="7B051D01"/>
    <w:rsid w:val="7B1C6EE2"/>
    <w:rsid w:val="7B2F3E35"/>
    <w:rsid w:val="7BB901D7"/>
    <w:rsid w:val="7C0E7AB8"/>
    <w:rsid w:val="7C1254FC"/>
    <w:rsid w:val="7C24529D"/>
    <w:rsid w:val="7C3B12BC"/>
    <w:rsid w:val="7C71038B"/>
    <w:rsid w:val="7CA3621D"/>
    <w:rsid w:val="7CB136AA"/>
    <w:rsid w:val="7CB16E84"/>
    <w:rsid w:val="7CE10334"/>
    <w:rsid w:val="7CEB0964"/>
    <w:rsid w:val="7D1F193A"/>
    <w:rsid w:val="7D9942C4"/>
    <w:rsid w:val="7DAA53AE"/>
    <w:rsid w:val="7E26070B"/>
    <w:rsid w:val="7E834226"/>
    <w:rsid w:val="7ECD6C86"/>
    <w:rsid w:val="7EF027CD"/>
    <w:rsid w:val="7F1E1C65"/>
    <w:rsid w:val="7F714251"/>
    <w:rsid w:val="7F8A44D2"/>
    <w:rsid w:val="7FCD7AE5"/>
    <w:rsid w:val="7FD94AE3"/>
    <w:rsid w:val="7FFC0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 w:type="character" w:customStyle="1" w:styleId="13">
    <w:name w:val="批注文字 Char"/>
    <w:basedOn w:val="9"/>
    <w:link w:val="2"/>
    <w:qFormat/>
    <w:uiPriority w:val="0"/>
    <w:rPr>
      <w:rFonts w:ascii="Calibri" w:hAnsi="Calibri"/>
      <w:kern w:val="2"/>
      <w:sz w:val="21"/>
      <w:szCs w:val="22"/>
    </w:rPr>
  </w:style>
  <w:style w:type="character" w:customStyle="1" w:styleId="14">
    <w:name w:val="批注主题 Char"/>
    <w:basedOn w:val="13"/>
    <w:link w:val="7"/>
    <w:qFormat/>
    <w:uiPriority w:val="0"/>
    <w:rPr>
      <w:rFonts w:ascii="Calibri" w:hAnsi="Calibri"/>
      <w:b/>
      <w:bCs/>
      <w:kern w:val="2"/>
      <w:sz w:val="21"/>
      <w:szCs w:val="22"/>
    </w:rPr>
  </w:style>
  <w:style w:type="character" w:customStyle="1" w:styleId="15">
    <w:name w:val="批注框文本 Char"/>
    <w:basedOn w:val="9"/>
    <w:link w:val="3"/>
    <w:qFormat/>
    <w:uiPriority w:val="0"/>
    <w:rPr>
      <w:rFonts w:ascii="Calibri" w:hAnsi="Calibri"/>
      <w:kern w:val="2"/>
      <w:sz w:val="18"/>
      <w:szCs w:val="18"/>
    </w:rPr>
  </w:style>
  <w:style w:type="paragraph" w:styleId="16">
    <w:name w:val="List Paragraph"/>
    <w:basedOn w:val="1"/>
    <w:qFormat/>
    <w:uiPriority w:val="34"/>
    <w:pPr>
      <w:ind w:firstLine="420" w:firstLineChars="200"/>
    </w:pPr>
  </w:style>
  <w:style w:type="paragraph" w:customStyle="1" w:styleId="17">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Geely.com</Company>
  <Pages>2</Pages>
  <Words>901</Words>
  <Characters>964</Characters>
  <Lines>11</Lines>
  <Paragraphs>3</Paragraphs>
  <TotalTime>105</TotalTime>
  <ScaleCrop>false</ScaleCrop>
  <LinksUpToDate>false</LinksUpToDate>
  <CharactersWithSpaces>1077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2023-02-02T04:23:00Z</dcterms:created>
  <dc:creator>xinxin.li</dc:creator>
  <cp:lastModifiedBy>xinxin.li</cp:lastModifiedBy>
  <cp:lastPrinted>2024-11-01T00:51:00Z</cp:lastPrinted>
  <dcterms:modified xsi:type="dcterms:W3CDTF">2024-11-29T10:33:53Z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EE7CA82E8310438CA94BCCD2FCC78925_13</vt:lpwstr>
  </property>
</Properties>
</file>