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CFFE6">
      <w:pPr>
        <w:jc w:val="center"/>
        <w:rPr>
          <w:sz w:val="28"/>
          <w:szCs w:val="28"/>
        </w:rPr>
      </w:pPr>
      <w:r>
        <w:rPr>
          <w:rFonts w:hint="eastAsia"/>
          <w:sz w:val="28"/>
          <w:szCs w:val="28"/>
        </w:rPr>
        <w:t>杭州柯林电气股份有限公司</w:t>
      </w:r>
    </w:p>
    <w:p w14:paraId="663111AB">
      <w:pPr>
        <w:jc w:val="center"/>
        <w:rPr>
          <w:sz w:val="28"/>
          <w:szCs w:val="28"/>
        </w:rPr>
      </w:pPr>
      <w:r>
        <w:rPr>
          <w:rFonts w:hint="eastAsia"/>
          <w:sz w:val="28"/>
          <w:szCs w:val="28"/>
        </w:rPr>
        <w:t>投资者关系活动记录表</w:t>
      </w:r>
    </w:p>
    <w:p w14:paraId="5D581614">
      <w:pPr>
        <w:rPr>
          <w:rFonts w:hint="eastAsia" w:eastAsia="宋体"/>
          <w:lang w:val="en-US" w:eastAsia="zh-CN"/>
        </w:rPr>
      </w:pPr>
      <w:r>
        <w:rPr>
          <w:rFonts w:hint="eastAsia"/>
        </w:rPr>
        <w:t xml:space="preserve">证券简称：杭州柯林 </w:t>
      </w:r>
      <w:r>
        <w:t xml:space="preserve">           </w:t>
      </w:r>
      <w:r>
        <w:rPr>
          <w:rFonts w:hint="eastAsia"/>
        </w:rPr>
        <w:t xml:space="preserve">证券代码：688611 </w:t>
      </w:r>
      <w:r>
        <w:t xml:space="preserve">      </w:t>
      </w:r>
      <w:r>
        <w:rPr>
          <w:rFonts w:hint="eastAsia"/>
        </w:rPr>
        <w:t>编号：2024-0</w:t>
      </w:r>
      <w:r>
        <w:rPr>
          <w:rFonts w:hint="eastAsia"/>
          <w:lang w:val="en-US" w:eastAsia="zh-CN"/>
        </w:rPr>
        <w:t>3</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6105"/>
      </w:tblGrid>
      <w:tr w14:paraId="12EC3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vAlign w:val="center"/>
          </w:tcPr>
          <w:p w14:paraId="5A4E0F49">
            <w:pPr>
              <w:jc w:val="center"/>
            </w:pPr>
            <w:r>
              <w:rPr>
                <w:rFonts w:hint="eastAsia"/>
              </w:rPr>
              <w:t>投资者关系活动</w:t>
            </w:r>
          </w:p>
          <w:p w14:paraId="4D87B986">
            <w:pPr>
              <w:jc w:val="center"/>
            </w:pPr>
            <w:r>
              <w:rPr>
                <w:rFonts w:hint="eastAsia"/>
              </w:rPr>
              <w:t>类别</w:t>
            </w:r>
          </w:p>
        </w:tc>
        <w:tc>
          <w:tcPr>
            <w:tcW w:w="6105" w:type="dxa"/>
          </w:tcPr>
          <w:p w14:paraId="43A8F6B7">
            <w:pPr>
              <w:rPr>
                <w:b w:val="0"/>
                <w:bCs w:val="0"/>
              </w:rPr>
            </w:pPr>
            <w:r>
              <w:rPr>
                <w:rFonts w:hint="eastAsia"/>
                <w:b w:val="0"/>
                <w:bCs w:val="0"/>
              </w:rPr>
              <w:sym w:font="Wingdings 2" w:char="0052"/>
            </w:r>
            <w:r>
              <w:rPr>
                <w:rFonts w:hint="eastAsia"/>
                <w:b w:val="0"/>
                <w:bCs w:val="0"/>
              </w:rPr>
              <w:t xml:space="preserve">特定对象调研 </w:t>
            </w:r>
            <w:r>
              <w:rPr>
                <w:b w:val="0"/>
                <w:bCs w:val="0"/>
              </w:rPr>
              <w:t xml:space="preserve">   </w:t>
            </w:r>
            <w:r>
              <w:rPr>
                <w:rFonts w:hint="eastAsia"/>
                <w:b w:val="0"/>
                <w:bCs w:val="0"/>
              </w:rPr>
              <w:t>□分析师会议</w:t>
            </w:r>
          </w:p>
          <w:p w14:paraId="6EC540FF">
            <w:pPr>
              <w:rPr>
                <w:b w:val="0"/>
                <w:bCs w:val="0"/>
              </w:rPr>
            </w:pPr>
            <w:r>
              <w:rPr>
                <w:rFonts w:hint="eastAsia"/>
                <w:b w:val="0"/>
                <w:bCs w:val="0"/>
              </w:rPr>
              <w:t xml:space="preserve">□媒体采访 </w:t>
            </w:r>
            <w:r>
              <w:rPr>
                <w:b w:val="0"/>
                <w:bCs w:val="0"/>
              </w:rPr>
              <w:t xml:space="preserve">       </w:t>
            </w:r>
            <w:r>
              <w:rPr>
                <w:rFonts w:hint="eastAsia"/>
                <w:b w:val="0"/>
                <w:bCs w:val="0"/>
              </w:rPr>
              <w:t>□业绩说明会</w:t>
            </w:r>
          </w:p>
          <w:p w14:paraId="4D3D2CE8">
            <w:pPr>
              <w:rPr>
                <w:b w:val="0"/>
                <w:bCs w:val="0"/>
              </w:rPr>
            </w:pPr>
            <w:r>
              <w:rPr>
                <w:rFonts w:hint="eastAsia"/>
                <w:b w:val="0"/>
                <w:bCs w:val="0"/>
              </w:rPr>
              <w:t xml:space="preserve">□新闻发布会 </w:t>
            </w:r>
            <w:r>
              <w:rPr>
                <w:b w:val="0"/>
                <w:bCs w:val="0"/>
              </w:rPr>
              <w:t xml:space="preserve">     </w:t>
            </w:r>
            <w:r>
              <w:rPr>
                <w:rFonts w:hint="eastAsia"/>
                <w:b w:val="0"/>
                <w:bCs w:val="0"/>
              </w:rPr>
              <w:t>□路演活动</w:t>
            </w:r>
          </w:p>
          <w:p w14:paraId="5DDD1D52">
            <w:pPr>
              <w:rPr>
                <w:b w:val="0"/>
                <w:bCs w:val="0"/>
              </w:rPr>
            </w:pPr>
            <w:r>
              <w:rPr>
                <w:rFonts w:hint="eastAsia"/>
                <w:b w:val="0"/>
                <w:bCs w:val="0"/>
                <w:lang w:eastAsia="zh-CN"/>
              </w:rPr>
              <w:t>☑</w:t>
            </w:r>
            <w:r>
              <w:rPr>
                <w:rFonts w:hint="eastAsia"/>
                <w:b w:val="0"/>
                <w:bCs w:val="0"/>
              </w:rPr>
              <w:t>现场参观□其他（</w:t>
            </w:r>
            <w:r>
              <w:rPr>
                <w:rFonts w:hint="eastAsia"/>
                <w:b w:val="0"/>
                <w:bCs w:val="0"/>
                <w:u w:val="thick"/>
              </w:rPr>
              <w:t>请文字说明其他活动内容</w:t>
            </w:r>
            <w:r>
              <w:rPr>
                <w:rFonts w:hint="eastAsia"/>
                <w:b w:val="0"/>
                <w:bCs w:val="0"/>
              </w:rPr>
              <w:t>）</w:t>
            </w:r>
          </w:p>
        </w:tc>
      </w:tr>
      <w:tr w14:paraId="61535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91" w:type="dxa"/>
            <w:vAlign w:val="center"/>
          </w:tcPr>
          <w:p w14:paraId="1D5EAF52">
            <w:pPr>
              <w:jc w:val="center"/>
            </w:pPr>
            <w:r>
              <w:rPr>
                <w:rFonts w:hint="eastAsia"/>
              </w:rPr>
              <w:t>参与单位名称</w:t>
            </w:r>
          </w:p>
          <w:p w14:paraId="386AFDD3">
            <w:pPr>
              <w:jc w:val="center"/>
            </w:pPr>
            <w:r>
              <w:rPr>
                <w:rFonts w:hint="eastAsia"/>
              </w:rPr>
              <w:t>（排名不分先后）</w:t>
            </w:r>
          </w:p>
        </w:tc>
        <w:tc>
          <w:tcPr>
            <w:tcW w:w="6105" w:type="dxa"/>
            <w:vAlign w:val="center"/>
          </w:tcPr>
          <w:p w14:paraId="7E0A8B64">
            <w:pPr>
              <w:widowControl/>
              <w:spacing w:before="150" w:after="150"/>
              <w:jc w:val="left"/>
              <w:rPr>
                <w:b w:val="0"/>
                <w:bCs w:val="0"/>
              </w:rPr>
            </w:pPr>
            <w:r>
              <w:rPr>
                <w:rFonts w:hint="eastAsia" w:ascii="宋体" w:hAnsi="宋体" w:eastAsia="宋体" w:cs="宋体"/>
                <w:b w:val="0"/>
                <w:bCs w:val="0"/>
                <w:color w:val="333333"/>
                <w:kern w:val="0"/>
                <w:sz w:val="24"/>
                <w:szCs w:val="24"/>
              </w:rPr>
              <w:t>线</w:t>
            </w:r>
            <w:r>
              <w:rPr>
                <w:rFonts w:hint="eastAsia" w:cs="宋体"/>
                <w:b w:val="0"/>
                <w:bCs w:val="0"/>
                <w:color w:val="333333"/>
                <w:kern w:val="0"/>
                <w:sz w:val="24"/>
                <w:szCs w:val="24"/>
                <w:lang w:val="en-US" w:eastAsia="zh-CN"/>
              </w:rPr>
              <w:t>下</w:t>
            </w:r>
            <w:r>
              <w:rPr>
                <w:rFonts w:hint="eastAsia" w:ascii="宋体" w:hAnsi="宋体" w:eastAsia="宋体" w:cs="宋体"/>
                <w:b w:val="0"/>
                <w:bCs w:val="0"/>
                <w:color w:val="333333"/>
                <w:kern w:val="0"/>
                <w:sz w:val="24"/>
                <w:szCs w:val="24"/>
              </w:rPr>
              <w:t>参与公司</w:t>
            </w:r>
            <w:r>
              <w:rPr>
                <w:rFonts w:hint="eastAsia" w:cs="宋体"/>
                <w:b w:val="0"/>
                <w:bCs w:val="0"/>
                <w:color w:val="333333"/>
                <w:kern w:val="0"/>
                <w:sz w:val="24"/>
                <w:szCs w:val="24"/>
                <w:lang w:val="en-US" w:eastAsia="zh-CN"/>
              </w:rPr>
              <w:t>100MW钙钛矿组件生产线投产仪式</w:t>
            </w:r>
            <w:r>
              <w:rPr>
                <w:rFonts w:ascii="宋体" w:hAnsi="宋体" w:eastAsia="宋体" w:cs="宋体"/>
                <w:b w:val="0"/>
                <w:bCs w:val="0"/>
                <w:color w:val="333333"/>
                <w:kern w:val="0"/>
                <w:sz w:val="24"/>
                <w:szCs w:val="24"/>
              </w:rPr>
              <w:t>投资者</w:t>
            </w:r>
            <w:r>
              <w:rPr>
                <w:rFonts w:hint="eastAsia" w:ascii="宋体" w:hAnsi="宋体" w:eastAsia="宋体" w:cs="宋体"/>
                <w:b w:val="0"/>
                <w:bCs w:val="0"/>
                <w:color w:val="333333"/>
                <w:kern w:val="0"/>
                <w:sz w:val="24"/>
                <w:szCs w:val="24"/>
              </w:rPr>
              <w:t>（具体名单见附件）</w:t>
            </w:r>
          </w:p>
        </w:tc>
      </w:tr>
      <w:tr w14:paraId="0847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191" w:type="dxa"/>
            <w:vAlign w:val="center"/>
          </w:tcPr>
          <w:p w14:paraId="00F95BDE">
            <w:pPr>
              <w:jc w:val="center"/>
            </w:pPr>
            <w:r>
              <w:rPr>
                <w:rFonts w:hint="eastAsia"/>
              </w:rPr>
              <w:t>时间</w:t>
            </w:r>
          </w:p>
        </w:tc>
        <w:tc>
          <w:tcPr>
            <w:tcW w:w="6105" w:type="dxa"/>
          </w:tcPr>
          <w:p w14:paraId="2DEDC3CD">
            <w:pPr>
              <w:jc w:val="center"/>
              <w:rPr>
                <w:b w:val="0"/>
                <w:bCs w:val="0"/>
              </w:rPr>
            </w:pPr>
            <w:r>
              <w:rPr>
                <w:rFonts w:hint="eastAsia"/>
                <w:b w:val="0"/>
                <w:bCs w:val="0"/>
              </w:rPr>
              <w:t>2024年</w:t>
            </w:r>
            <w:r>
              <w:rPr>
                <w:rFonts w:hint="eastAsia"/>
                <w:b w:val="0"/>
                <w:bCs w:val="0"/>
                <w:lang w:val="en-US" w:eastAsia="zh-CN"/>
              </w:rPr>
              <w:t>11</w:t>
            </w:r>
            <w:r>
              <w:rPr>
                <w:rFonts w:hint="eastAsia"/>
                <w:b w:val="0"/>
                <w:bCs w:val="0"/>
              </w:rPr>
              <w:t>月</w:t>
            </w:r>
            <w:r>
              <w:rPr>
                <w:rFonts w:hint="eastAsia"/>
                <w:b w:val="0"/>
                <w:bCs w:val="0"/>
                <w:lang w:val="en-US" w:eastAsia="zh-CN"/>
              </w:rPr>
              <w:t>29</w:t>
            </w:r>
            <w:r>
              <w:rPr>
                <w:rFonts w:hint="eastAsia"/>
                <w:b w:val="0"/>
                <w:bCs w:val="0"/>
              </w:rPr>
              <w:t>日</w:t>
            </w:r>
          </w:p>
        </w:tc>
      </w:tr>
      <w:tr w14:paraId="3052B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191" w:type="dxa"/>
            <w:vAlign w:val="center"/>
          </w:tcPr>
          <w:p w14:paraId="5F33EEF0">
            <w:pPr>
              <w:jc w:val="center"/>
            </w:pPr>
            <w:r>
              <w:rPr>
                <w:rFonts w:hint="eastAsia"/>
              </w:rPr>
              <w:t>地点</w:t>
            </w:r>
          </w:p>
        </w:tc>
        <w:tc>
          <w:tcPr>
            <w:tcW w:w="6105" w:type="dxa"/>
          </w:tcPr>
          <w:p w14:paraId="1D70145D">
            <w:pPr>
              <w:jc w:val="center"/>
              <w:rPr>
                <w:b w:val="0"/>
                <w:bCs w:val="0"/>
              </w:rPr>
            </w:pPr>
            <w:r>
              <w:rPr>
                <w:rFonts w:hint="eastAsia"/>
                <w:b w:val="0"/>
                <w:bCs w:val="0"/>
                <w:lang w:val="en-US" w:eastAsia="zh-CN"/>
              </w:rPr>
              <w:t>杭州柯能新能源有限公司</w:t>
            </w:r>
            <w:r>
              <w:rPr>
                <w:rFonts w:hint="eastAsia"/>
                <w:b w:val="0"/>
                <w:bCs w:val="0"/>
              </w:rPr>
              <w:t>会议室</w:t>
            </w:r>
          </w:p>
        </w:tc>
      </w:tr>
      <w:tr w14:paraId="59D3F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vAlign w:val="center"/>
          </w:tcPr>
          <w:p w14:paraId="0533D267">
            <w:pPr>
              <w:jc w:val="center"/>
            </w:pPr>
            <w:r>
              <w:rPr>
                <w:rFonts w:hint="eastAsia"/>
              </w:rPr>
              <w:t>上市公司接待人员</w:t>
            </w:r>
          </w:p>
          <w:p w14:paraId="062D896D">
            <w:pPr>
              <w:jc w:val="center"/>
            </w:pPr>
            <w:r>
              <w:rPr>
                <w:rFonts w:hint="eastAsia"/>
              </w:rPr>
              <w:t>姓名</w:t>
            </w:r>
          </w:p>
        </w:tc>
        <w:tc>
          <w:tcPr>
            <w:tcW w:w="6105" w:type="dxa"/>
          </w:tcPr>
          <w:p w14:paraId="32B518E1">
            <w:pPr>
              <w:jc w:val="left"/>
              <w:rPr>
                <w:rFonts w:hint="default"/>
                <w:b w:val="0"/>
                <w:bCs w:val="0"/>
                <w:lang w:val="en-US" w:eastAsia="zh-CN"/>
              </w:rPr>
            </w:pPr>
            <w:r>
              <w:rPr>
                <w:rFonts w:hint="eastAsia"/>
                <w:b w:val="0"/>
                <w:bCs w:val="0"/>
              </w:rPr>
              <w:t>董事长谢东</w:t>
            </w:r>
            <w:r>
              <w:rPr>
                <w:rFonts w:hint="eastAsia"/>
                <w:b w:val="0"/>
                <w:bCs w:val="0"/>
                <w:lang w:eastAsia="zh-CN"/>
              </w:rPr>
              <w:t>、</w:t>
            </w:r>
            <w:r>
              <w:rPr>
                <w:rFonts w:hint="eastAsia"/>
                <w:b w:val="0"/>
                <w:bCs w:val="0"/>
              </w:rPr>
              <w:t>董秘张艳萍</w:t>
            </w:r>
            <w:r>
              <w:rPr>
                <w:rFonts w:hint="eastAsia"/>
                <w:b w:val="0"/>
                <w:bCs w:val="0"/>
                <w:lang w:eastAsia="zh-CN"/>
              </w:rPr>
              <w:t>、</w:t>
            </w:r>
            <w:r>
              <w:rPr>
                <w:rFonts w:hint="eastAsia"/>
                <w:b w:val="0"/>
                <w:bCs w:val="0"/>
                <w:lang w:val="en-US" w:eastAsia="zh-CN"/>
              </w:rPr>
              <w:t>副总经理聂明军、副总经理郑宏、柯能新能源副总经理宋友、投资者关系总监潘文韬</w:t>
            </w:r>
          </w:p>
        </w:tc>
      </w:tr>
      <w:tr w14:paraId="1E9EE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0" w:hRule="atLeast"/>
        </w:trPr>
        <w:tc>
          <w:tcPr>
            <w:tcW w:w="2191" w:type="dxa"/>
            <w:vAlign w:val="center"/>
          </w:tcPr>
          <w:p w14:paraId="3D2293F5">
            <w:pPr>
              <w:jc w:val="center"/>
            </w:pPr>
          </w:p>
          <w:p w14:paraId="49DE7DDC">
            <w:pPr>
              <w:jc w:val="center"/>
            </w:pPr>
          </w:p>
          <w:p w14:paraId="47E98FD8">
            <w:pPr>
              <w:jc w:val="center"/>
            </w:pPr>
          </w:p>
          <w:p w14:paraId="2BB24168">
            <w:pPr>
              <w:jc w:val="center"/>
            </w:pPr>
            <w:r>
              <w:rPr>
                <w:rFonts w:hint="eastAsia"/>
              </w:rPr>
              <w:t>投资者关系活动主要内容介绍</w:t>
            </w:r>
          </w:p>
        </w:tc>
        <w:tc>
          <w:tcPr>
            <w:tcW w:w="6105" w:type="dxa"/>
          </w:tcPr>
          <w:p w14:paraId="6D6EA05E">
            <w:pPr>
              <w:pStyle w:val="12"/>
              <w:ind w:left="0" w:leftChars="0" w:firstLine="0" w:firstLineChars="0"/>
              <w:rPr>
                <w:b/>
                <w:bCs/>
              </w:rPr>
            </w:pPr>
            <w:r>
              <w:rPr>
                <w:b/>
                <w:bCs/>
              </w:rPr>
              <w:t>一、公司</w:t>
            </w:r>
            <w:r>
              <w:rPr>
                <w:rFonts w:hint="eastAsia"/>
                <w:b/>
                <w:bCs/>
              </w:rPr>
              <w:t>储能业务的进展情况</w:t>
            </w:r>
          </w:p>
          <w:p w14:paraId="09EBCD3B">
            <w:pPr>
              <w:ind w:firstLine="480" w:firstLineChars="200"/>
              <w:jc w:val="both"/>
              <w:rPr>
                <w:rFonts w:hint="eastAsia" w:eastAsia="宋体"/>
                <w:b w:val="0"/>
                <w:bCs w:val="0"/>
                <w:lang w:val="en-US" w:eastAsia="zh-CN"/>
              </w:rPr>
            </w:pPr>
            <w:r>
              <w:rPr>
                <w:rFonts w:hint="eastAsia"/>
                <w:b w:val="0"/>
                <w:bCs w:val="0"/>
              </w:rPr>
              <w:t>公司自2022年起开展储能业务，利用20余年在电力监测诊断和数智运营领域的技术积累，丰富的电气、机械系统集成经验，并结合杭州柯林的IoT物联网平台技术、AI智能及大数据分析技术，自主研发推出了新型储能模块（Pack）、智慧储能柜、5MWh储能预制舱、储能精益化安全效率管理系统、智慧能源管理平台等储能相关组件和产品，通过了UL9540A、GB36276等国内外认证，并实现了产业化应用。公司储能业务</w:t>
            </w:r>
            <w:r>
              <w:rPr>
                <w:rFonts w:hint="eastAsia"/>
                <w:b w:val="0"/>
                <w:bCs w:val="0"/>
                <w:lang w:val="en-US" w:eastAsia="zh-CN"/>
              </w:rPr>
              <w:t>发展势头良好，</w:t>
            </w:r>
            <w:r>
              <w:rPr>
                <w:rFonts w:hint="eastAsia"/>
                <w:b w:val="0"/>
                <w:bCs w:val="0"/>
              </w:rPr>
              <w:t>省内外</w:t>
            </w:r>
            <w:r>
              <w:rPr>
                <w:rFonts w:hint="eastAsia"/>
                <w:b w:val="0"/>
                <w:bCs w:val="0"/>
                <w:lang w:val="en-US" w:eastAsia="zh-CN"/>
              </w:rPr>
              <w:t>客户</w:t>
            </w:r>
            <w:r>
              <w:rPr>
                <w:rFonts w:hint="eastAsia"/>
                <w:b w:val="0"/>
                <w:bCs w:val="0"/>
              </w:rPr>
              <w:t>正在稳步</w:t>
            </w:r>
            <w:r>
              <w:rPr>
                <w:rFonts w:hint="eastAsia"/>
                <w:b w:val="0"/>
                <w:bCs w:val="0"/>
                <w:lang w:val="en-US" w:eastAsia="zh-CN"/>
              </w:rPr>
              <w:t>拓展</w:t>
            </w:r>
            <w:r>
              <w:rPr>
                <w:rFonts w:hint="eastAsia"/>
                <w:b w:val="0"/>
                <w:bCs w:val="0"/>
              </w:rPr>
              <w:t>，</w:t>
            </w:r>
            <w:r>
              <w:rPr>
                <w:rFonts w:hint="eastAsia"/>
                <w:b w:val="0"/>
                <w:bCs w:val="0"/>
                <w:lang w:val="en-US" w:eastAsia="zh-CN"/>
              </w:rPr>
              <w:t>2024年上半年已实现营收同比大幅增长，未来</w:t>
            </w:r>
            <w:r>
              <w:rPr>
                <w:rFonts w:hint="eastAsia"/>
                <w:b w:val="0"/>
                <w:bCs w:val="0"/>
              </w:rPr>
              <w:t>有望</w:t>
            </w:r>
            <w:r>
              <w:rPr>
                <w:rFonts w:hint="eastAsia"/>
                <w:b w:val="0"/>
                <w:bCs w:val="0"/>
                <w:lang w:val="en-US" w:eastAsia="zh-CN"/>
              </w:rPr>
              <w:t>持续</w:t>
            </w:r>
            <w:r>
              <w:rPr>
                <w:rFonts w:hint="eastAsia"/>
                <w:b w:val="0"/>
                <w:bCs w:val="0"/>
              </w:rPr>
              <w:t>实现增长。</w:t>
            </w:r>
          </w:p>
          <w:p w14:paraId="4EC2BD68">
            <w:pPr>
              <w:ind w:firstLine="480" w:firstLineChars="200"/>
              <w:jc w:val="both"/>
              <w:rPr>
                <w:rFonts w:hint="eastAsia"/>
                <w:b w:val="0"/>
                <w:bCs w:val="0"/>
              </w:rPr>
            </w:pPr>
          </w:p>
          <w:p w14:paraId="094F2660">
            <w:pPr>
              <w:pStyle w:val="12"/>
              <w:ind w:left="0" w:leftChars="0" w:firstLine="0" w:firstLineChars="0"/>
              <w:rPr>
                <w:b/>
                <w:bCs/>
              </w:rPr>
            </w:pPr>
            <w:r>
              <w:rPr>
                <w:rFonts w:hint="eastAsia"/>
                <w:b/>
                <w:bCs/>
              </w:rPr>
              <w:t>二、公司钙钛矿光伏业务的进展情况</w:t>
            </w:r>
          </w:p>
          <w:p w14:paraId="3CA80150">
            <w:pPr>
              <w:ind w:firstLine="480" w:firstLineChars="200"/>
              <w:jc w:val="both"/>
              <w:rPr>
                <w:rFonts w:hint="eastAsia"/>
                <w:b w:val="0"/>
                <w:bCs w:val="0"/>
                <w:sz w:val="24"/>
                <w:szCs w:val="32"/>
                <w:lang w:val="en-US" w:eastAsia="zh-CN"/>
              </w:rPr>
            </w:pPr>
            <w:r>
              <w:rPr>
                <w:rFonts w:hint="default"/>
                <w:b w:val="0"/>
                <w:bCs w:val="0"/>
              </w:rPr>
              <w:t>在国家提出“双碳”目标、能源革命的背景下，公司注重社会价值与商业价值的统一，以及实现高质量绿色可持续发展，因此公司立足现有业务，积极参与绿色能源、智能电网等建设，</w:t>
            </w:r>
            <w:r>
              <w:rPr>
                <w:rFonts w:hint="eastAsia"/>
                <w:b w:val="0"/>
                <w:bCs w:val="0"/>
              </w:rPr>
              <w:t>布局钙钛矿光伏业</w:t>
            </w:r>
            <w:r>
              <w:rPr>
                <w:rFonts w:hint="eastAsia"/>
                <w:b w:val="0"/>
                <w:bCs w:val="0"/>
                <w:lang w:bidi="ar"/>
              </w:rPr>
              <w:t>务，形成了覆盖“发电、输电、变电、配电”全链路产品，</w:t>
            </w:r>
            <w:r>
              <w:rPr>
                <w:b w:val="0"/>
                <w:bCs w:val="0"/>
              </w:rPr>
              <w:t>进一步推动公司产业链条的延展</w:t>
            </w:r>
            <w:r>
              <w:rPr>
                <w:rFonts w:hint="eastAsia"/>
                <w:b w:val="0"/>
                <w:bCs w:val="0"/>
              </w:rPr>
              <w:t>和</w:t>
            </w:r>
            <w:r>
              <w:rPr>
                <w:b w:val="0"/>
                <w:bCs w:val="0"/>
              </w:rPr>
              <w:t>完</w:t>
            </w:r>
            <w:r>
              <w:rPr>
                <w:rFonts w:hint="eastAsia"/>
                <w:b w:val="0"/>
                <w:bCs w:val="0"/>
              </w:rPr>
              <w:t>善。</w:t>
            </w:r>
            <w:r>
              <w:rPr>
                <w:rFonts w:hint="eastAsia"/>
                <w:b w:val="0"/>
                <w:bCs w:val="0"/>
                <w:sz w:val="24"/>
                <w:szCs w:val="32"/>
                <w:lang w:val="en-US" w:eastAsia="zh-CN"/>
              </w:rPr>
              <w:t>杭州柯林百兆瓦级钙钛矿组件生产线由公司控股公司杭州柯能新能源有限公司负责运营，</w:t>
            </w:r>
            <w:r>
              <w:rPr>
                <w:rFonts w:hint="eastAsia"/>
                <w:b w:val="0"/>
                <w:bCs w:val="0"/>
                <w:color w:val="auto"/>
                <w:sz w:val="24"/>
                <w:szCs w:val="32"/>
                <w:lang w:val="en-US" w:eastAsia="zh-CN"/>
              </w:rPr>
              <w:t>柯能新能源</w:t>
            </w:r>
            <w:r>
              <w:rPr>
                <w:rFonts w:hint="eastAsia"/>
                <w:b w:val="0"/>
                <w:bCs w:val="0"/>
                <w:sz w:val="24"/>
                <w:szCs w:val="32"/>
                <w:lang w:val="en-US" w:eastAsia="zh-CN"/>
              </w:rPr>
              <w:t>成立于2023年9月，是专注第三代光伏组件研发及产业化的科技型创新企业。</w:t>
            </w:r>
          </w:p>
          <w:p w14:paraId="4C2A34A0">
            <w:pPr>
              <w:ind w:firstLine="480" w:firstLineChars="200"/>
              <w:jc w:val="both"/>
              <w:rPr>
                <w:rFonts w:hint="eastAsia"/>
                <w:b w:val="0"/>
                <w:bCs w:val="0"/>
              </w:rPr>
            </w:pPr>
            <w:r>
              <w:rPr>
                <w:rFonts w:hint="eastAsia"/>
                <w:b w:val="0"/>
                <w:bCs w:val="0"/>
                <w:color w:val="auto"/>
                <w:sz w:val="24"/>
                <w:szCs w:val="32"/>
                <w:lang w:val="en-US" w:eastAsia="zh-CN"/>
              </w:rPr>
              <w:t>公司目前</w:t>
            </w:r>
            <w:r>
              <w:rPr>
                <w:rFonts w:hint="eastAsia"/>
                <w:b w:val="0"/>
                <w:bCs w:val="0"/>
                <w:color w:val="auto"/>
                <w:sz w:val="24"/>
                <w:szCs w:val="32"/>
                <w:highlight w:val="none"/>
                <w:lang w:val="en-US" w:eastAsia="zh-CN"/>
              </w:rPr>
              <w:t>已与中科院纳米所</w:t>
            </w:r>
            <w:r>
              <w:rPr>
                <w:rFonts w:hint="eastAsia"/>
                <w:b w:val="0"/>
                <w:bCs w:val="0"/>
                <w:color w:val="auto"/>
                <w:sz w:val="24"/>
                <w:szCs w:val="32"/>
                <w:lang w:val="en-US" w:eastAsia="zh-CN"/>
              </w:rPr>
              <w:t>、杭州电子科技大学、中国计量大学、众能光电等单位的钙钛矿领域核心科研团队进行了深度合作，为新技术开发及产业化提供有力支撑。</w:t>
            </w:r>
          </w:p>
          <w:p w14:paraId="422FE9E6">
            <w:pPr>
              <w:ind w:firstLine="480" w:firstLineChars="200"/>
              <w:jc w:val="both"/>
              <w:rPr>
                <w:rFonts w:hint="eastAsia"/>
                <w:b w:val="0"/>
                <w:bCs w:val="0"/>
                <w:color w:val="auto"/>
                <w:sz w:val="24"/>
                <w:szCs w:val="32"/>
                <w:lang w:val="en-US" w:eastAsia="zh-CN"/>
              </w:rPr>
            </w:pPr>
            <w:r>
              <w:rPr>
                <w:rFonts w:hint="eastAsia"/>
                <w:b w:val="0"/>
                <w:bCs w:val="0"/>
                <w:color w:val="auto"/>
                <w:sz w:val="24"/>
                <w:szCs w:val="32"/>
                <w:lang w:val="en-US" w:eastAsia="zh-CN"/>
              </w:rPr>
              <w:t>在现阶段，公司技术团队不仅成功推进百兆瓦级生产线的产业化落地，还致力于高效新型柔性钙钛矿薄膜光伏电池的关键技术研究，以及钙钛矿大面积柔性组件低温制备方法的探索，并承担浙江省科技厅重大科技专项“尖兵领雁+X”研发攻关计划（攻关计划名称：高效新型柔性钙钛矿薄膜光伏电池关键技术）。</w:t>
            </w:r>
          </w:p>
          <w:p w14:paraId="6A8D6DCA">
            <w:pPr>
              <w:ind w:firstLine="480" w:firstLineChars="200"/>
              <w:jc w:val="both"/>
              <w:rPr>
                <w:rFonts w:hint="eastAsia"/>
                <w:b w:val="0"/>
                <w:bCs w:val="0"/>
                <w:lang w:val="en-US" w:eastAsia="zh-CN"/>
              </w:rPr>
            </w:pPr>
            <w:r>
              <w:rPr>
                <w:rFonts w:hint="eastAsia"/>
                <w:b w:val="0"/>
                <w:bCs w:val="0"/>
                <w:lang w:val="en-US" w:eastAsia="zh-CN"/>
              </w:rPr>
              <w:t>公司100MW钙钛矿大面积组件产线于今日正式投产，标志着公司钙钛矿光伏组件向商业化进军迈出了坚实的一步。现阶段公司百兆瓦级钙钛矿组件产线的订单储备充裕，在当前下游客户需求推动下，公司需尽快启动吉瓦级量产线扩产。公司此次量产钙钛矿光伏组件的最大设计尺寸为1200X650mm，是业内公认最适合BIPV等应用场景的组件尺寸范围，光电转换效率达到行业先进水平，并已获</w:t>
            </w:r>
            <w:bookmarkStart w:id="0" w:name="_GoBack"/>
            <w:bookmarkEnd w:id="0"/>
            <w:r>
              <w:rPr>
                <w:rFonts w:hint="eastAsia"/>
                <w:b w:val="0"/>
                <w:bCs w:val="0"/>
                <w:lang w:val="en-US" w:eastAsia="zh-CN"/>
              </w:rPr>
              <w:t>得TUV（德国技术监督协会）认证。</w:t>
            </w:r>
          </w:p>
          <w:p w14:paraId="68474014">
            <w:pPr>
              <w:ind w:firstLine="480" w:firstLineChars="200"/>
              <w:jc w:val="both"/>
              <w:rPr>
                <w:rFonts w:hint="eastAsia"/>
                <w:b w:val="0"/>
                <w:bCs w:val="0"/>
                <w:lang w:bidi="ar"/>
              </w:rPr>
            </w:pPr>
          </w:p>
          <w:p w14:paraId="6706D0D1">
            <w:pPr>
              <w:pStyle w:val="4"/>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textAlignment w:val="auto"/>
              <w:rPr>
                <w:b w:val="0"/>
                <w:bCs w:val="0"/>
              </w:rPr>
            </w:pPr>
            <w:r>
              <w:rPr>
                <w:rFonts w:hint="eastAsia" w:ascii="宋体" w:hAnsi="宋体" w:eastAsia="宋体" w:cs="宋体"/>
                <w:b/>
                <w:bCs/>
                <w:sz w:val="24"/>
                <w:szCs w:val="24"/>
                <w:lang w:val="en-US" w:eastAsia="zh-CN" w:bidi="ar-SA"/>
              </w:rPr>
              <w:t xml:space="preserve">公司主营产品的市场情况     </w:t>
            </w:r>
            <w:r>
              <w:rPr>
                <w:rFonts w:hint="eastAsia"/>
                <w:b w:val="0"/>
                <w:bCs w:val="0"/>
              </w:rPr>
              <w:t xml:space="preserve">     </w:t>
            </w:r>
          </w:p>
          <w:p w14:paraId="161BC42F">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firstLine="480" w:firstLineChars="200"/>
              <w:jc w:val="both"/>
              <w:textAlignment w:val="auto"/>
            </w:pPr>
            <w:r>
              <w:rPr>
                <w:rFonts w:hint="eastAsia"/>
                <w:b w:val="0"/>
                <w:bCs w:val="0"/>
                <w:lang w:bidi="ar"/>
              </w:rPr>
              <w:t>为实现“双碳”目标</w:t>
            </w:r>
            <w:r>
              <w:rPr>
                <w:b w:val="0"/>
                <w:bCs w:val="0"/>
              </w:rPr>
              <w:t>，</w:t>
            </w:r>
            <w:r>
              <w:rPr>
                <w:rFonts w:hint="eastAsia"/>
                <w:b w:val="0"/>
                <w:bCs w:val="0"/>
                <w:lang w:bidi="ar"/>
              </w:rPr>
              <w:t>在构建新型电力系统的过程中，电力系统将从刚性向柔性发展，与数字化、信息化、智能化特征融合，逐步发展为全面可见、可知、可测、可控的电力系统。公司已经形成了覆盖“输电、变电、配电”全链路及“高压、超高压、特高压”全电压等级的数十种系列产品，是行业内少数具备物联网感知层、网络层、平台层、应用层设备及系统研发能力的领军企业。</w:t>
            </w:r>
            <w:r>
              <w:rPr>
                <w:rFonts w:hint="eastAsia"/>
                <w:b w:val="0"/>
                <w:bCs w:val="0"/>
                <w:lang w:val="en-US" w:eastAsia="zh-CN" w:bidi="ar"/>
              </w:rPr>
              <w:t>公司电网数智感知业务模块的领军产品包括激光声谱乙炔快速检测装置、变压器声纹振动监测装置、GIS特高频在线监测装置等，具备广阔的市场应用空间。</w:t>
            </w:r>
          </w:p>
        </w:tc>
      </w:tr>
      <w:tr w14:paraId="04DE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tcPr>
          <w:p w14:paraId="6548CD9A"/>
          <w:p w14:paraId="16718F88">
            <w:pPr>
              <w:jc w:val="center"/>
            </w:pPr>
            <w:r>
              <w:rPr>
                <w:rFonts w:hint="eastAsia"/>
              </w:rPr>
              <w:t>附件清单（如有）</w:t>
            </w:r>
          </w:p>
          <w:p w14:paraId="202B52DF"/>
        </w:tc>
        <w:tc>
          <w:tcPr>
            <w:tcW w:w="6105" w:type="dxa"/>
          </w:tcPr>
          <w:p w14:paraId="57523CAC"/>
          <w:p w14:paraId="0FD4B490">
            <w:pPr>
              <w:jc w:val="center"/>
              <w:rPr>
                <w:rFonts w:hint="eastAsia" w:eastAsia="宋体"/>
                <w:lang w:eastAsia="zh-CN"/>
              </w:rPr>
            </w:pPr>
            <w:r>
              <w:rPr>
                <w:rFonts w:hint="eastAsia"/>
                <w:b w:val="0"/>
                <w:bCs w:val="0"/>
                <w:lang w:val="en-US" w:eastAsia="zh-CN"/>
              </w:rPr>
              <w:t>见附件</w:t>
            </w:r>
          </w:p>
        </w:tc>
      </w:tr>
    </w:tbl>
    <w:p w14:paraId="71E1BE0E"/>
    <w:p w14:paraId="568A0DBF">
      <w:pPr>
        <w:rPr>
          <w:rFonts w:hint="eastAsia" w:ascii="宋体" w:hAnsi="宋体" w:eastAsia="宋体"/>
          <w:b/>
          <w:bCs/>
          <w:sz w:val="24"/>
          <w:szCs w:val="24"/>
        </w:rPr>
      </w:pPr>
      <w:r>
        <w:rPr>
          <w:rFonts w:hint="eastAsia" w:ascii="宋体" w:hAnsi="宋体" w:eastAsia="宋体"/>
          <w:b/>
          <w:bCs/>
          <w:sz w:val="24"/>
          <w:szCs w:val="24"/>
        </w:rPr>
        <w:t>附件：</w:t>
      </w:r>
    </w:p>
    <w:tbl>
      <w:tblPr>
        <w:tblStyle w:val="5"/>
        <w:tblW w:w="8209" w:type="dxa"/>
        <w:tblInd w:w="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510"/>
        <w:gridCol w:w="3616"/>
        <w:gridCol w:w="3083"/>
      </w:tblGrid>
      <w:tr w14:paraId="6DA16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37F7E30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序号</w:t>
            </w:r>
          </w:p>
        </w:tc>
        <w:tc>
          <w:tcPr>
            <w:tcW w:w="3616" w:type="dxa"/>
            <w:tcBorders>
              <w:tl2br w:val="nil"/>
              <w:tr2bl w:val="nil"/>
            </w:tcBorders>
            <w:shd w:val="clear" w:color="auto" w:fill="auto"/>
            <w:noWrap/>
            <w:vAlign w:val="center"/>
          </w:tcPr>
          <w:p w14:paraId="790461C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机构名称</w:t>
            </w:r>
          </w:p>
        </w:tc>
        <w:tc>
          <w:tcPr>
            <w:tcW w:w="3083" w:type="dxa"/>
            <w:tcBorders>
              <w:tl2br w:val="nil"/>
              <w:tr2bl w:val="nil"/>
            </w:tcBorders>
            <w:shd w:val="clear" w:color="auto" w:fill="auto"/>
            <w:noWrap/>
            <w:vAlign w:val="center"/>
          </w:tcPr>
          <w:p w14:paraId="793465C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姓名</w:t>
            </w:r>
          </w:p>
        </w:tc>
      </w:tr>
      <w:tr w14:paraId="71507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278CBF0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3616" w:type="dxa"/>
            <w:tcBorders>
              <w:tl2br w:val="nil"/>
              <w:tr2bl w:val="nil"/>
            </w:tcBorders>
            <w:shd w:val="clear" w:color="auto" w:fill="auto"/>
            <w:noWrap/>
            <w:vAlign w:val="center"/>
          </w:tcPr>
          <w:p w14:paraId="51B6163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浙商证券</w:t>
            </w:r>
          </w:p>
        </w:tc>
        <w:tc>
          <w:tcPr>
            <w:tcW w:w="3083" w:type="dxa"/>
            <w:tcBorders>
              <w:tl2br w:val="nil"/>
              <w:tr2bl w:val="nil"/>
            </w:tcBorders>
            <w:shd w:val="clear" w:color="auto" w:fill="auto"/>
            <w:noWrap/>
            <w:vAlign w:val="center"/>
          </w:tcPr>
          <w:p w14:paraId="7297292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邱世梁、陈明雨</w:t>
            </w:r>
          </w:p>
        </w:tc>
      </w:tr>
      <w:tr w14:paraId="18756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21991CA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w:t>
            </w:r>
          </w:p>
        </w:tc>
        <w:tc>
          <w:tcPr>
            <w:tcW w:w="3616" w:type="dxa"/>
            <w:tcBorders>
              <w:tl2br w:val="nil"/>
              <w:tr2bl w:val="nil"/>
            </w:tcBorders>
            <w:shd w:val="clear" w:color="auto" w:fill="auto"/>
            <w:noWrap/>
            <w:vAlign w:val="center"/>
          </w:tcPr>
          <w:p w14:paraId="498AE82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中泰证券</w:t>
            </w:r>
          </w:p>
        </w:tc>
        <w:tc>
          <w:tcPr>
            <w:tcW w:w="3083" w:type="dxa"/>
            <w:tcBorders>
              <w:tl2br w:val="nil"/>
              <w:tr2bl w:val="nil"/>
            </w:tcBorders>
            <w:shd w:val="clear" w:color="auto" w:fill="auto"/>
            <w:noWrap/>
            <w:vAlign w:val="center"/>
          </w:tcPr>
          <w:p w14:paraId="382C437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王可、邢博阳</w:t>
            </w:r>
          </w:p>
        </w:tc>
      </w:tr>
      <w:tr w14:paraId="7B34B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5EA126B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w:t>
            </w:r>
          </w:p>
        </w:tc>
        <w:tc>
          <w:tcPr>
            <w:tcW w:w="3616" w:type="dxa"/>
            <w:tcBorders>
              <w:tl2br w:val="nil"/>
              <w:tr2bl w:val="nil"/>
            </w:tcBorders>
            <w:shd w:val="clear" w:color="auto" w:fill="auto"/>
            <w:noWrap/>
            <w:vAlign w:val="center"/>
          </w:tcPr>
          <w:p w14:paraId="7F242A4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华福证券</w:t>
            </w:r>
          </w:p>
        </w:tc>
        <w:tc>
          <w:tcPr>
            <w:tcW w:w="3083" w:type="dxa"/>
            <w:tcBorders>
              <w:tl2br w:val="nil"/>
              <w:tr2bl w:val="nil"/>
            </w:tcBorders>
            <w:shd w:val="clear" w:color="auto" w:fill="auto"/>
            <w:noWrap/>
            <w:vAlign w:val="center"/>
          </w:tcPr>
          <w:p w14:paraId="7110660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邓伟、李康瑞</w:t>
            </w:r>
          </w:p>
        </w:tc>
      </w:tr>
      <w:tr w14:paraId="16BFC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06944C9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w:t>
            </w:r>
          </w:p>
        </w:tc>
        <w:tc>
          <w:tcPr>
            <w:tcW w:w="3616" w:type="dxa"/>
            <w:tcBorders>
              <w:tl2br w:val="nil"/>
              <w:tr2bl w:val="nil"/>
            </w:tcBorders>
            <w:shd w:val="clear" w:color="auto" w:fill="auto"/>
            <w:noWrap/>
            <w:vAlign w:val="center"/>
          </w:tcPr>
          <w:p w14:paraId="336C8F5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中航证券</w:t>
            </w:r>
          </w:p>
        </w:tc>
        <w:tc>
          <w:tcPr>
            <w:tcW w:w="3083" w:type="dxa"/>
            <w:tcBorders>
              <w:tl2br w:val="nil"/>
              <w:tr2bl w:val="nil"/>
            </w:tcBorders>
            <w:shd w:val="clear" w:color="auto" w:fill="auto"/>
            <w:noWrap/>
            <w:vAlign w:val="center"/>
          </w:tcPr>
          <w:p w14:paraId="6CAAE7D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曾帅、杜越</w:t>
            </w:r>
          </w:p>
        </w:tc>
      </w:tr>
      <w:tr w14:paraId="0A348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76884AD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3616" w:type="dxa"/>
            <w:tcBorders>
              <w:tl2br w:val="nil"/>
              <w:tr2bl w:val="nil"/>
            </w:tcBorders>
            <w:shd w:val="clear" w:color="auto" w:fill="auto"/>
            <w:noWrap/>
            <w:vAlign w:val="center"/>
          </w:tcPr>
          <w:p w14:paraId="504C502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信达证券</w:t>
            </w:r>
          </w:p>
        </w:tc>
        <w:tc>
          <w:tcPr>
            <w:tcW w:w="3083" w:type="dxa"/>
            <w:tcBorders>
              <w:tl2br w:val="nil"/>
              <w:tr2bl w:val="nil"/>
            </w:tcBorders>
            <w:shd w:val="clear" w:color="auto" w:fill="auto"/>
            <w:noWrap/>
            <w:vAlign w:val="center"/>
          </w:tcPr>
          <w:p w14:paraId="1716477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武浩</w:t>
            </w:r>
          </w:p>
        </w:tc>
      </w:tr>
      <w:tr w14:paraId="17B7F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5211DEE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w:t>
            </w:r>
          </w:p>
        </w:tc>
        <w:tc>
          <w:tcPr>
            <w:tcW w:w="3616" w:type="dxa"/>
            <w:tcBorders>
              <w:tl2br w:val="nil"/>
              <w:tr2bl w:val="nil"/>
            </w:tcBorders>
            <w:shd w:val="clear" w:color="auto" w:fill="auto"/>
            <w:noWrap/>
            <w:vAlign w:val="center"/>
          </w:tcPr>
          <w:p w14:paraId="2A7542C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方正证券</w:t>
            </w:r>
          </w:p>
        </w:tc>
        <w:tc>
          <w:tcPr>
            <w:tcW w:w="3083" w:type="dxa"/>
            <w:tcBorders>
              <w:tl2br w:val="nil"/>
              <w:tr2bl w:val="nil"/>
            </w:tcBorders>
            <w:shd w:val="clear" w:color="auto" w:fill="auto"/>
            <w:noWrap/>
            <w:vAlign w:val="center"/>
          </w:tcPr>
          <w:p w14:paraId="1B64A9F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黄昊</w:t>
            </w:r>
          </w:p>
        </w:tc>
      </w:tr>
      <w:tr w14:paraId="262B7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32AE9E6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w:t>
            </w:r>
          </w:p>
        </w:tc>
        <w:tc>
          <w:tcPr>
            <w:tcW w:w="3616" w:type="dxa"/>
            <w:tcBorders>
              <w:tl2br w:val="nil"/>
              <w:tr2bl w:val="nil"/>
            </w:tcBorders>
            <w:shd w:val="clear" w:color="auto" w:fill="auto"/>
            <w:noWrap/>
            <w:vAlign w:val="center"/>
          </w:tcPr>
          <w:p w14:paraId="2B09B43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银河证券</w:t>
            </w:r>
          </w:p>
        </w:tc>
        <w:tc>
          <w:tcPr>
            <w:tcW w:w="3083" w:type="dxa"/>
            <w:tcBorders>
              <w:tl2br w:val="nil"/>
              <w:tr2bl w:val="nil"/>
            </w:tcBorders>
            <w:shd w:val="clear" w:color="auto" w:fill="auto"/>
            <w:noWrap/>
            <w:vAlign w:val="center"/>
          </w:tcPr>
          <w:p w14:paraId="389005DA">
            <w:pPr>
              <w:keepNext w:val="0"/>
              <w:keepLines w:val="0"/>
              <w:widowControl/>
              <w:suppressLineNumbers w:val="0"/>
              <w:jc w:val="center"/>
              <w:textAlignment w:val="center"/>
              <w:rPr>
                <w:rFonts w:hint="default" w:ascii="宋体" w:hAnsi="宋体" w:eastAsia="宋体" w:cs="宋体"/>
                <w:b w:val="0"/>
                <w:bCs w:val="0"/>
                <w:i w:val="0"/>
                <w:iCs w:val="0"/>
                <w:color w:val="000000"/>
                <w:sz w:val="22"/>
                <w:szCs w:val="22"/>
                <w:u w:val="none"/>
                <w:lang w:val="en-US"/>
              </w:rPr>
            </w:pPr>
            <w:r>
              <w:rPr>
                <w:rFonts w:hint="eastAsia" w:ascii="宋体" w:hAnsi="宋体" w:eastAsia="宋体" w:cs="宋体"/>
                <w:b w:val="0"/>
                <w:bCs w:val="0"/>
                <w:i w:val="0"/>
                <w:iCs w:val="0"/>
                <w:color w:val="000000"/>
                <w:kern w:val="0"/>
                <w:sz w:val="22"/>
                <w:szCs w:val="22"/>
                <w:u w:val="none"/>
                <w:lang w:val="en-US" w:eastAsia="zh-CN" w:bidi="ar"/>
              </w:rPr>
              <w:t>段尚昌</w:t>
            </w:r>
            <w:r>
              <w:rPr>
                <w:rFonts w:hint="eastAsia" w:cs="宋体"/>
                <w:b w:val="0"/>
                <w:bCs w:val="0"/>
                <w:i w:val="0"/>
                <w:iCs w:val="0"/>
                <w:color w:val="000000"/>
                <w:kern w:val="0"/>
                <w:sz w:val="22"/>
                <w:szCs w:val="22"/>
                <w:u w:val="none"/>
                <w:lang w:val="en-US" w:eastAsia="zh-CN" w:bidi="ar"/>
              </w:rPr>
              <w:t>、贾新龙</w:t>
            </w:r>
          </w:p>
        </w:tc>
      </w:tr>
      <w:tr w14:paraId="49BA9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584C604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w:t>
            </w:r>
          </w:p>
        </w:tc>
        <w:tc>
          <w:tcPr>
            <w:tcW w:w="3616" w:type="dxa"/>
            <w:tcBorders>
              <w:tl2br w:val="nil"/>
              <w:tr2bl w:val="nil"/>
            </w:tcBorders>
            <w:shd w:val="clear" w:color="auto" w:fill="auto"/>
            <w:noWrap/>
            <w:vAlign w:val="center"/>
          </w:tcPr>
          <w:p w14:paraId="5789B90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东吴证券</w:t>
            </w:r>
          </w:p>
        </w:tc>
        <w:tc>
          <w:tcPr>
            <w:tcW w:w="3083" w:type="dxa"/>
            <w:tcBorders>
              <w:tl2br w:val="nil"/>
              <w:tr2bl w:val="nil"/>
            </w:tcBorders>
            <w:shd w:val="clear" w:color="auto" w:fill="auto"/>
            <w:noWrap/>
            <w:vAlign w:val="center"/>
          </w:tcPr>
          <w:p w14:paraId="7707067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徐铖嵘</w:t>
            </w:r>
          </w:p>
        </w:tc>
      </w:tr>
      <w:tr w14:paraId="5DB7B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7CD0FE0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w:t>
            </w:r>
          </w:p>
        </w:tc>
        <w:tc>
          <w:tcPr>
            <w:tcW w:w="3616" w:type="dxa"/>
            <w:tcBorders>
              <w:tl2br w:val="nil"/>
              <w:tr2bl w:val="nil"/>
            </w:tcBorders>
            <w:shd w:val="clear" w:color="auto" w:fill="auto"/>
            <w:noWrap/>
            <w:vAlign w:val="center"/>
          </w:tcPr>
          <w:p w14:paraId="7AC3D4A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国海证券</w:t>
            </w:r>
          </w:p>
        </w:tc>
        <w:tc>
          <w:tcPr>
            <w:tcW w:w="3083" w:type="dxa"/>
            <w:tcBorders>
              <w:tl2br w:val="nil"/>
              <w:tr2bl w:val="nil"/>
            </w:tcBorders>
            <w:shd w:val="clear" w:color="auto" w:fill="auto"/>
            <w:noWrap/>
            <w:vAlign w:val="center"/>
          </w:tcPr>
          <w:p w14:paraId="63E8BFE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严语韬</w:t>
            </w:r>
          </w:p>
        </w:tc>
      </w:tr>
      <w:tr w14:paraId="4BD34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63799F4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3616" w:type="dxa"/>
            <w:tcBorders>
              <w:tl2br w:val="nil"/>
              <w:tr2bl w:val="nil"/>
            </w:tcBorders>
            <w:shd w:val="clear" w:color="auto" w:fill="auto"/>
            <w:noWrap/>
            <w:vAlign w:val="center"/>
          </w:tcPr>
          <w:p w14:paraId="6CD900D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华创证券</w:t>
            </w:r>
          </w:p>
        </w:tc>
        <w:tc>
          <w:tcPr>
            <w:tcW w:w="3083" w:type="dxa"/>
            <w:tcBorders>
              <w:tl2br w:val="nil"/>
              <w:tr2bl w:val="nil"/>
            </w:tcBorders>
            <w:shd w:val="clear" w:color="auto" w:fill="auto"/>
            <w:noWrap/>
            <w:vAlign w:val="center"/>
          </w:tcPr>
          <w:p w14:paraId="0D1FFB4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蒋雨凯</w:t>
            </w:r>
          </w:p>
        </w:tc>
      </w:tr>
      <w:tr w14:paraId="343F1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773903F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w:t>
            </w:r>
          </w:p>
        </w:tc>
        <w:tc>
          <w:tcPr>
            <w:tcW w:w="3616" w:type="dxa"/>
            <w:tcBorders>
              <w:tl2br w:val="nil"/>
              <w:tr2bl w:val="nil"/>
            </w:tcBorders>
            <w:shd w:val="clear" w:color="auto" w:fill="auto"/>
            <w:noWrap/>
            <w:vAlign w:val="center"/>
          </w:tcPr>
          <w:p w14:paraId="1E7F729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民生证券</w:t>
            </w:r>
          </w:p>
        </w:tc>
        <w:tc>
          <w:tcPr>
            <w:tcW w:w="3083" w:type="dxa"/>
            <w:tcBorders>
              <w:tl2br w:val="nil"/>
              <w:tr2bl w:val="nil"/>
            </w:tcBorders>
            <w:shd w:val="clear" w:color="auto" w:fill="auto"/>
            <w:noWrap/>
            <w:vAlign w:val="center"/>
          </w:tcPr>
          <w:p w14:paraId="62D0FDB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林誉韬</w:t>
            </w:r>
          </w:p>
        </w:tc>
      </w:tr>
      <w:tr w14:paraId="31F05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246004D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w:t>
            </w:r>
          </w:p>
        </w:tc>
        <w:tc>
          <w:tcPr>
            <w:tcW w:w="3616" w:type="dxa"/>
            <w:tcBorders>
              <w:tl2br w:val="nil"/>
              <w:tr2bl w:val="nil"/>
            </w:tcBorders>
            <w:shd w:val="clear" w:color="auto" w:fill="auto"/>
            <w:noWrap/>
            <w:vAlign w:val="center"/>
          </w:tcPr>
          <w:p w14:paraId="57064F6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中信建投证券</w:t>
            </w:r>
          </w:p>
        </w:tc>
        <w:tc>
          <w:tcPr>
            <w:tcW w:w="3083" w:type="dxa"/>
            <w:tcBorders>
              <w:tl2br w:val="nil"/>
              <w:tr2bl w:val="nil"/>
            </w:tcBorders>
            <w:shd w:val="clear" w:color="auto" w:fill="auto"/>
            <w:noWrap/>
            <w:vAlign w:val="center"/>
          </w:tcPr>
          <w:p w14:paraId="3957DD7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沈晓瑜</w:t>
            </w:r>
          </w:p>
        </w:tc>
      </w:tr>
      <w:tr w14:paraId="5B87E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6D4262B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w:t>
            </w:r>
          </w:p>
        </w:tc>
        <w:tc>
          <w:tcPr>
            <w:tcW w:w="3616" w:type="dxa"/>
            <w:tcBorders>
              <w:tl2br w:val="nil"/>
              <w:tr2bl w:val="nil"/>
            </w:tcBorders>
            <w:shd w:val="clear" w:color="auto" w:fill="auto"/>
            <w:noWrap/>
            <w:vAlign w:val="center"/>
          </w:tcPr>
          <w:p w14:paraId="5FBEF5B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国金证券</w:t>
            </w:r>
          </w:p>
        </w:tc>
        <w:tc>
          <w:tcPr>
            <w:tcW w:w="3083" w:type="dxa"/>
            <w:tcBorders>
              <w:tl2br w:val="nil"/>
              <w:tr2bl w:val="nil"/>
            </w:tcBorders>
            <w:shd w:val="clear" w:color="auto" w:fill="auto"/>
            <w:noWrap/>
            <w:vAlign w:val="center"/>
          </w:tcPr>
          <w:p w14:paraId="74EC208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曾爽</w:t>
            </w:r>
          </w:p>
        </w:tc>
      </w:tr>
      <w:tr w14:paraId="4D68A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6A62478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w:t>
            </w:r>
          </w:p>
        </w:tc>
        <w:tc>
          <w:tcPr>
            <w:tcW w:w="3616" w:type="dxa"/>
            <w:tcBorders>
              <w:tl2br w:val="nil"/>
              <w:tr2bl w:val="nil"/>
            </w:tcBorders>
            <w:shd w:val="clear" w:color="auto" w:fill="auto"/>
            <w:noWrap/>
            <w:vAlign w:val="center"/>
          </w:tcPr>
          <w:p w14:paraId="7A4FE67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富国基金</w:t>
            </w:r>
          </w:p>
        </w:tc>
        <w:tc>
          <w:tcPr>
            <w:tcW w:w="3083" w:type="dxa"/>
            <w:tcBorders>
              <w:tl2br w:val="nil"/>
              <w:tr2bl w:val="nil"/>
            </w:tcBorders>
            <w:shd w:val="clear" w:color="auto" w:fill="auto"/>
            <w:noWrap/>
            <w:vAlign w:val="center"/>
          </w:tcPr>
          <w:p w14:paraId="3F915C0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吴栋栋</w:t>
            </w:r>
          </w:p>
        </w:tc>
      </w:tr>
      <w:tr w14:paraId="5B52C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10D7E8F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w:t>
            </w:r>
          </w:p>
        </w:tc>
        <w:tc>
          <w:tcPr>
            <w:tcW w:w="3616" w:type="dxa"/>
            <w:tcBorders>
              <w:tl2br w:val="nil"/>
              <w:tr2bl w:val="nil"/>
            </w:tcBorders>
            <w:shd w:val="clear" w:color="auto" w:fill="auto"/>
            <w:noWrap/>
            <w:vAlign w:val="center"/>
          </w:tcPr>
          <w:p w14:paraId="0E962B1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浦银安盛基金</w:t>
            </w:r>
          </w:p>
        </w:tc>
        <w:tc>
          <w:tcPr>
            <w:tcW w:w="3083" w:type="dxa"/>
            <w:tcBorders>
              <w:tl2br w:val="nil"/>
              <w:tr2bl w:val="nil"/>
            </w:tcBorders>
            <w:shd w:val="clear" w:color="auto" w:fill="auto"/>
            <w:noWrap/>
            <w:vAlign w:val="center"/>
          </w:tcPr>
          <w:p w14:paraId="3517616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杨达伟</w:t>
            </w:r>
          </w:p>
        </w:tc>
      </w:tr>
      <w:tr w14:paraId="5B051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256F6E7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w:t>
            </w:r>
          </w:p>
        </w:tc>
        <w:tc>
          <w:tcPr>
            <w:tcW w:w="3616" w:type="dxa"/>
            <w:tcBorders>
              <w:tl2br w:val="nil"/>
              <w:tr2bl w:val="nil"/>
            </w:tcBorders>
            <w:shd w:val="clear" w:color="auto" w:fill="auto"/>
            <w:noWrap/>
            <w:vAlign w:val="center"/>
          </w:tcPr>
          <w:p w14:paraId="17F83F6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万家基金</w:t>
            </w:r>
          </w:p>
        </w:tc>
        <w:tc>
          <w:tcPr>
            <w:tcW w:w="3083" w:type="dxa"/>
            <w:tcBorders>
              <w:tl2br w:val="nil"/>
              <w:tr2bl w:val="nil"/>
            </w:tcBorders>
            <w:shd w:val="clear" w:color="auto" w:fill="auto"/>
            <w:noWrap/>
            <w:vAlign w:val="center"/>
          </w:tcPr>
          <w:p w14:paraId="3E17791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王立晟</w:t>
            </w:r>
          </w:p>
        </w:tc>
      </w:tr>
      <w:tr w14:paraId="101C4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494ACCF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w:t>
            </w:r>
          </w:p>
        </w:tc>
        <w:tc>
          <w:tcPr>
            <w:tcW w:w="3616" w:type="dxa"/>
            <w:tcBorders>
              <w:tl2br w:val="nil"/>
              <w:tr2bl w:val="nil"/>
            </w:tcBorders>
            <w:shd w:val="clear" w:color="auto" w:fill="auto"/>
            <w:noWrap/>
            <w:vAlign w:val="center"/>
          </w:tcPr>
          <w:p w14:paraId="542ACA3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鹏扬基金</w:t>
            </w:r>
          </w:p>
        </w:tc>
        <w:tc>
          <w:tcPr>
            <w:tcW w:w="3083" w:type="dxa"/>
            <w:tcBorders>
              <w:tl2br w:val="nil"/>
              <w:tr2bl w:val="nil"/>
            </w:tcBorders>
            <w:shd w:val="clear" w:color="auto" w:fill="auto"/>
            <w:noWrap/>
            <w:vAlign w:val="center"/>
          </w:tcPr>
          <w:p w14:paraId="256B3E6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李婉箐</w:t>
            </w:r>
          </w:p>
        </w:tc>
      </w:tr>
      <w:tr w14:paraId="62AEC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15DED6A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w:t>
            </w:r>
          </w:p>
        </w:tc>
        <w:tc>
          <w:tcPr>
            <w:tcW w:w="3616" w:type="dxa"/>
            <w:tcBorders>
              <w:tl2br w:val="nil"/>
              <w:tr2bl w:val="nil"/>
            </w:tcBorders>
            <w:shd w:val="clear" w:color="auto" w:fill="auto"/>
            <w:noWrap/>
            <w:vAlign w:val="center"/>
          </w:tcPr>
          <w:p w14:paraId="2CF56CD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诺德基金</w:t>
            </w:r>
          </w:p>
        </w:tc>
        <w:tc>
          <w:tcPr>
            <w:tcW w:w="3083" w:type="dxa"/>
            <w:tcBorders>
              <w:tl2br w:val="nil"/>
              <w:tr2bl w:val="nil"/>
            </w:tcBorders>
            <w:shd w:val="clear" w:color="auto" w:fill="auto"/>
            <w:noWrap/>
            <w:vAlign w:val="center"/>
          </w:tcPr>
          <w:p w14:paraId="2BA52C3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牛致远</w:t>
            </w:r>
          </w:p>
        </w:tc>
      </w:tr>
      <w:tr w14:paraId="54A52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2202749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19</w:t>
            </w:r>
          </w:p>
        </w:tc>
        <w:tc>
          <w:tcPr>
            <w:tcW w:w="3616" w:type="dxa"/>
            <w:tcBorders>
              <w:tl2br w:val="nil"/>
              <w:tr2bl w:val="nil"/>
            </w:tcBorders>
            <w:shd w:val="clear" w:color="auto" w:fill="auto"/>
            <w:noWrap/>
            <w:vAlign w:val="center"/>
          </w:tcPr>
          <w:p w14:paraId="2E2B5C0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国寿安保基金</w:t>
            </w:r>
          </w:p>
        </w:tc>
        <w:tc>
          <w:tcPr>
            <w:tcW w:w="3083" w:type="dxa"/>
            <w:tcBorders>
              <w:tl2br w:val="nil"/>
              <w:tr2bl w:val="nil"/>
            </w:tcBorders>
            <w:shd w:val="clear" w:color="auto" w:fill="auto"/>
            <w:noWrap/>
            <w:vAlign w:val="center"/>
          </w:tcPr>
          <w:p w14:paraId="6553581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祁善斌</w:t>
            </w:r>
          </w:p>
        </w:tc>
      </w:tr>
      <w:tr w14:paraId="6B42F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2FE71C7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3616" w:type="dxa"/>
            <w:tcBorders>
              <w:tl2br w:val="nil"/>
              <w:tr2bl w:val="nil"/>
            </w:tcBorders>
            <w:shd w:val="clear" w:color="auto" w:fill="auto"/>
            <w:noWrap/>
            <w:vAlign w:val="center"/>
          </w:tcPr>
          <w:p w14:paraId="2554F20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泰康资产</w:t>
            </w:r>
          </w:p>
        </w:tc>
        <w:tc>
          <w:tcPr>
            <w:tcW w:w="3083" w:type="dxa"/>
            <w:tcBorders>
              <w:tl2br w:val="nil"/>
              <w:tr2bl w:val="nil"/>
            </w:tcBorders>
            <w:shd w:val="clear" w:color="auto" w:fill="auto"/>
            <w:noWrap/>
            <w:vAlign w:val="center"/>
          </w:tcPr>
          <w:p w14:paraId="65F1AA0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陈正策</w:t>
            </w:r>
          </w:p>
        </w:tc>
      </w:tr>
      <w:tr w14:paraId="516D8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1ED3375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21</w:t>
            </w:r>
          </w:p>
        </w:tc>
        <w:tc>
          <w:tcPr>
            <w:tcW w:w="3616" w:type="dxa"/>
            <w:tcBorders>
              <w:tl2br w:val="nil"/>
              <w:tr2bl w:val="nil"/>
            </w:tcBorders>
            <w:shd w:val="clear" w:color="auto" w:fill="auto"/>
            <w:noWrap/>
            <w:vAlign w:val="center"/>
          </w:tcPr>
          <w:p w14:paraId="5820C3B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汐泰投资</w:t>
            </w:r>
          </w:p>
        </w:tc>
        <w:tc>
          <w:tcPr>
            <w:tcW w:w="3083" w:type="dxa"/>
            <w:tcBorders>
              <w:tl2br w:val="nil"/>
              <w:tr2bl w:val="nil"/>
            </w:tcBorders>
            <w:shd w:val="clear" w:color="auto" w:fill="auto"/>
            <w:noWrap/>
            <w:vAlign w:val="center"/>
          </w:tcPr>
          <w:p w14:paraId="12DACB1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黄泽阳</w:t>
            </w:r>
          </w:p>
        </w:tc>
      </w:tr>
      <w:tr w14:paraId="5F52F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4BD8AD1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22</w:t>
            </w:r>
          </w:p>
        </w:tc>
        <w:tc>
          <w:tcPr>
            <w:tcW w:w="3616" w:type="dxa"/>
            <w:tcBorders>
              <w:tl2br w:val="nil"/>
              <w:tr2bl w:val="nil"/>
            </w:tcBorders>
            <w:shd w:val="clear" w:color="auto" w:fill="auto"/>
            <w:noWrap/>
            <w:vAlign w:val="center"/>
          </w:tcPr>
          <w:p w14:paraId="2CC477E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汇映投资</w:t>
            </w:r>
          </w:p>
        </w:tc>
        <w:tc>
          <w:tcPr>
            <w:tcW w:w="3083" w:type="dxa"/>
            <w:tcBorders>
              <w:tl2br w:val="nil"/>
              <w:tr2bl w:val="nil"/>
            </w:tcBorders>
            <w:shd w:val="clear" w:color="auto" w:fill="auto"/>
            <w:noWrap/>
            <w:vAlign w:val="center"/>
          </w:tcPr>
          <w:p w14:paraId="1D21F3C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吴昊</w:t>
            </w:r>
          </w:p>
        </w:tc>
      </w:tr>
      <w:tr w14:paraId="7DC4F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154DCA4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23</w:t>
            </w:r>
          </w:p>
        </w:tc>
        <w:tc>
          <w:tcPr>
            <w:tcW w:w="3616" w:type="dxa"/>
            <w:tcBorders>
              <w:tl2br w:val="nil"/>
              <w:tr2bl w:val="nil"/>
            </w:tcBorders>
            <w:shd w:val="clear" w:color="auto" w:fill="auto"/>
            <w:noWrap/>
            <w:vAlign w:val="center"/>
          </w:tcPr>
          <w:p w14:paraId="35FCBA7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利幄基金</w:t>
            </w:r>
          </w:p>
        </w:tc>
        <w:tc>
          <w:tcPr>
            <w:tcW w:w="3083" w:type="dxa"/>
            <w:tcBorders>
              <w:tl2br w:val="nil"/>
              <w:tr2bl w:val="nil"/>
            </w:tcBorders>
            <w:shd w:val="clear" w:color="auto" w:fill="auto"/>
            <w:noWrap/>
            <w:vAlign w:val="center"/>
          </w:tcPr>
          <w:p w14:paraId="66CA5F3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蒋雨轩</w:t>
            </w:r>
          </w:p>
        </w:tc>
      </w:tr>
      <w:tr w14:paraId="3DA06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6E38E8B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24</w:t>
            </w:r>
          </w:p>
        </w:tc>
        <w:tc>
          <w:tcPr>
            <w:tcW w:w="3616" w:type="dxa"/>
            <w:tcBorders>
              <w:tl2br w:val="nil"/>
              <w:tr2bl w:val="nil"/>
            </w:tcBorders>
            <w:shd w:val="clear" w:color="auto" w:fill="auto"/>
            <w:noWrap/>
            <w:vAlign w:val="center"/>
          </w:tcPr>
          <w:p w14:paraId="0D00382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隆象资本</w:t>
            </w:r>
          </w:p>
        </w:tc>
        <w:tc>
          <w:tcPr>
            <w:tcW w:w="3083" w:type="dxa"/>
            <w:tcBorders>
              <w:tl2br w:val="nil"/>
              <w:tr2bl w:val="nil"/>
            </w:tcBorders>
            <w:shd w:val="clear" w:color="auto" w:fill="auto"/>
            <w:noWrap/>
            <w:vAlign w:val="center"/>
          </w:tcPr>
          <w:p w14:paraId="0C9559A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管亚</w:t>
            </w:r>
          </w:p>
        </w:tc>
      </w:tr>
      <w:tr w14:paraId="3DBAF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5FBA7F6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25</w:t>
            </w:r>
          </w:p>
        </w:tc>
        <w:tc>
          <w:tcPr>
            <w:tcW w:w="3616" w:type="dxa"/>
            <w:tcBorders>
              <w:tl2br w:val="nil"/>
              <w:tr2bl w:val="nil"/>
            </w:tcBorders>
            <w:shd w:val="clear" w:color="auto" w:fill="auto"/>
            <w:noWrap/>
            <w:vAlign w:val="center"/>
          </w:tcPr>
          <w:p w14:paraId="511A867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星火投资</w:t>
            </w:r>
          </w:p>
        </w:tc>
        <w:tc>
          <w:tcPr>
            <w:tcW w:w="3083" w:type="dxa"/>
            <w:tcBorders>
              <w:tl2br w:val="nil"/>
              <w:tr2bl w:val="nil"/>
            </w:tcBorders>
            <w:shd w:val="clear" w:color="auto" w:fill="auto"/>
            <w:noWrap/>
            <w:vAlign w:val="center"/>
          </w:tcPr>
          <w:p w14:paraId="700B2E8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解文杰</w:t>
            </w:r>
          </w:p>
        </w:tc>
      </w:tr>
      <w:tr w14:paraId="76315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69D7B1B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26</w:t>
            </w:r>
          </w:p>
        </w:tc>
        <w:tc>
          <w:tcPr>
            <w:tcW w:w="3616" w:type="dxa"/>
            <w:tcBorders>
              <w:tl2br w:val="nil"/>
              <w:tr2bl w:val="nil"/>
            </w:tcBorders>
            <w:shd w:val="clear" w:color="auto" w:fill="auto"/>
            <w:noWrap/>
            <w:vAlign w:val="center"/>
          </w:tcPr>
          <w:p w14:paraId="63C3C54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四叶草资产</w:t>
            </w:r>
          </w:p>
        </w:tc>
        <w:tc>
          <w:tcPr>
            <w:tcW w:w="3083" w:type="dxa"/>
            <w:tcBorders>
              <w:tl2br w:val="nil"/>
              <w:tr2bl w:val="nil"/>
            </w:tcBorders>
            <w:shd w:val="clear" w:color="auto" w:fill="auto"/>
            <w:noWrap/>
            <w:vAlign w:val="center"/>
          </w:tcPr>
          <w:p w14:paraId="52BEEF5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林海伦</w:t>
            </w:r>
          </w:p>
        </w:tc>
      </w:tr>
      <w:tr w14:paraId="75B79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65FBDD2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27</w:t>
            </w:r>
          </w:p>
        </w:tc>
        <w:tc>
          <w:tcPr>
            <w:tcW w:w="3616" w:type="dxa"/>
            <w:tcBorders>
              <w:tl2br w:val="nil"/>
              <w:tr2bl w:val="nil"/>
            </w:tcBorders>
            <w:shd w:val="clear" w:color="auto" w:fill="auto"/>
            <w:noWrap/>
            <w:vAlign w:val="center"/>
          </w:tcPr>
          <w:p w14:paraId="46D15D2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域秀资本</w:t>
            </w:r>
          </w:p>
        </w:tc>
        <w:tc>
          <w:tcPr>
            <w:tcW w:w="3083" w:type="dxa"/>
            <w:tcBorders>
              <w:tl2br w:val="nil"/>
              <w:tr2bl w:val="nil"/>
            </w:tcBorders>
            <w:shd w:val="clear" w:color="auto" w:fill="auto"/>
            <w:noWrap/>
            <w:vAlign w:val="center"/>
          </w:tcPr>
          <w:p w14:paraId="38132FA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李磊</w:t>
            </w:r>
          </w:p>
        </w:tc>
      </w:tr>
      <w:tr w14:paraId="3E701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5B76E23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28</w:t>
            </w:r>
          </w:p>
        </w:tc>
        <w:tc>
          <w:tcPr>
            <w:tcW w:w="3616" w:type="dxa"/>
            <w:tcBorders>
              <w:tl2br w:val="nil"/>
              <w:tr2bl w:val="nil"/>
            </w:tcBorders>
            <w:shd w:val="clear" w:color="auto" w:fill="auto"/>
            <w:noWrap/>
            <w:vAlign w:val="center"/>
          </w:tcPr>
          <w:p w14:paraId="61C049F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岭澜投资</w:t>
            </w:r>
          </w:p>
        </w:tc>
        <w:tc>
          <w:tcPr>
            <w:tcW w:w="3083" w:type="dxa"/>
            <w:tcBorders>
              <w:tl2br w:val="nil"/>
              <w:tr2bl w:val="nil"/>
            </w:tcBorders>
            <w:shd w:val="clear" w:color="auto" w:fill="auto"/>
            <w:noWrap/>
            <w:vAlign w:val="center"/>
          </w:tcPr>
          <w:p w14:paraId="51520AF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cs="宋体"/>
                <w:b w:val="0"/>
                <w:bCs w:val="0"/>
                <w:i w:val="0"/>
                <w:iCs w:val="0"/>
                <w:color w:val="000000"/>
                <w:kern w:val="0"/>
                <w:sz w:val="22"/>
                <w:szCs w:val="22"/>
                <w:u w:val="none"/>
                <w:lang w:val="en-US" w:eastAsia="zh-CN" w:bidi="ar"/>
              </w:rPr>
              <w:t>甄晓春、</w:t>
            </w:r>
            <w:r>
              <w:rPr>
                <w:rFonts w:hint="eastAsia" w:ascii="宋体" w:hAnsi="宋体" w:eastAsia="宋体" w:cs="宋体"/>
                <w:b w:val="0"/>
                <w:bCs w:val="0"/>
                <w:i w:val="0"/>
                <w:iCs w:val="0"/>
                <w:color w:val="000000"/>
                <w:kern w:val="0"/>
                <w:sz w:val="22"/>
                <w:szCs w:val="22"/>
                <w:u w:val="none"/>
                <w:lang w:val="en-US" w:eastAsia="zh-CN" w:bidi="ar"/>
              </w:rPr>
              <w:t>王棋</w:t>
            </w:r>
          </w:p>
        </w:tc>
      </w:tr>
      <w:tr w14:paraId="670BB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281F293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29</w:t>
            </w:r>
          </w:p>
        </w:tc>
        <w:tc>
          <w:tcPr>
            <w:tcW w:w="3616" w:type="dxa"/>
            <w:tcBorders>
              <w:tl2br w:val="nil"/>
              <w:tr2bl w:val="nil"/>
            </w:tcBorders>
            <w:shd w:val="clear" w:color="auto" w:fill="auto"/>
            <w:noWrap/>
            <w:vAlign w:val="center"/>
          </w:tcPr>
          <w:p w14:paraId="1145F5E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泽泉投资</w:t>
            </w:r>
          </w:p>
        </w:tc>
        <w:tc>
          <w:tcPr>
            <w:tcW w:w="3083" w:type="dxa"/>
            <w:tcBorders>
              <w:tl2br w:val="nil"/>
              <w:tr2bl w:val="nil"/>
            </w:tcBorders>
            <w:shd w:val="clear" w:color="auto" w:fill="auto"/>
            <w:noWrap/>
            <w:vAlign w:val="center"/>
          </w:tcPr>
          <w:p w14:paraId="3023A2D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马海华</w:t>
            </w:r>
          </w:p>
        </w:tc>
      </w:tr>
      <w:tr w14:paraId="2E15F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0986656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w:t>
            </w:r>
          </w:p>
        </w:tc>
        <w:tc>
          <w:tcPr>
            <w:tcW w:w="3616" w:type="dxa"/>
            <w:tcBorders>
              <w:tl2br w:val="nil"/>
              <w:tr2bl w:val="nil"/>
            </w:tcBorders>
            <w:shd w:val="clear" w:color="auto" w:fill="auto"/>
            <w:noWrap/>
            <w:vAlign w:val="center"/>
          </w:tcPr>
          <w:p w14:paraId="10C1008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沃金资产</w:t>
            </w:r>
          </w:p>
        </w:tc>
        <w:tc>
          <w:tcPr>
            <w:tcW w:w="3083" w:type="dxa"/>
            <w:tcBorders>
              <w:tl2br w:val="nil"/>
              <w:tr2bl w:val="nil"/>
            </w:tcBorders>
            <w:shd w:val="clear" w:color="auto" w:fill="auto"/>
            <w:noWrap/>
            <w:vAlign w:val="center"/>
          </w:tcPr>
          <w:p w14:paraId="29FA014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王剑敏</w:t>
            </w:r>
          </w:p>
        </w:tc>
      </w:tr>
      <w:tr w14:paraId="7B39A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311D952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31</w:t>
            </w:r>
          </w:p>
        </w:tc>
        <w:tc>
          <w:tcPr>
            <w:tcW w:w="3616" w:type="dxa"/>
            <w:tcBorders>
              <w:tl2br w:val="nil"/>
              <w:tr2bl w:val="nil"/>
            </w:tcBorders>
            <w:shd w:val="clear" w:color="auto" w:fill="auto"/>
            <w:noWrap/>
            <w:vAlign w:val="center"/>
          </w:tcPr>
          <w:p w14:paraId="5A391A2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鹏泰投资</w:t>
            </w:r>
          </w:p>
        </w:tc>
        <w:tc>
          <w:tcPr>
            <w:tcW w:w="3083" w:type="dxa"/>
            <w:tcBorders>
              <w:tl2br w:val="nil"/>
              <w:tr2bl w:val="nil"/>
            </w:tcBorders>
            <w:shd w:val="clear" w:color="auto" w:fill="auto"/>
            <w:noWrap/>
            <w:vAlign w:val="center"/>
          </w:tcPr>
          <w:p w14:paraId="59B8544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祝凯伦</w:t>
            </w:r>
          </w:p>
        </w:tc>
      </w:tr>
      <w:tr w14:paraId="1138F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59479A4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32</w:t>
            </w:r>
          </w:p>
        </w:tc>
        <w:tc>
          <w:tcPr>
            <w:tcW w:w="3616" w:type="dxa"/>
            <w:tcBorders>
              <w:tl2br w:val="nil"/>
              <w:tr2bl w:val="nil"/>
            </w:tcBorders>
            <w:shd w:val="clear" w:color="auto" w:fill="auto"/>
            <w:noWrap/>
            <w:vAlign w:val="center"/>
          </w:tcPr>
          <w:p w14:paraId="10B4417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国诚投资</w:t>
            </w:r>
          </w:p>
        </w:tc>
        <w:tc>
          <w:tcPr>
            <w:tcW w:w="3083" w:type="dxa"/>
            <w:tcBorders>
              <w:tl2br w:val="nil"/>
              <w:tr2bl w:val="nil"/>
            </w:tcBorders>
            <w:shd w:val="clear" w:color="auto" w:fill="auto"/>
            <w:noWrap/>
            <w:vAlign w:val="center"/>
          </w:tcPr>
          <w:p w14:paraId="2A46925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朱显东</w:t>
            </w:r>
          </w:p>
        </w:tc>
      </w:tr>
      <w:tr w14:paraId="30018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3071007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33</w:t>
            </w:r>
          </w:p>
        </w:tc>
        <w:tc>
          <w:tcPr>
            <w:tcW w:w="3616" w:type="dxa"/>
            <w:tcBorders>
              <w:tl2br w:val="nil"/>
              <w:tr2bl w:val="nil"/>
            </w:tcBorders>
            <w:shd w:val="clear" w:color="auto" w:fill="auto"/>
            <w:noWrap/>
            <w:vAlign w:val="center"/>
          </w:tcPr>
          <w:p w14:paraId="04FE2DD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盛熙基金</w:t>
            </w:r>
          </w:p>
        </w:tc>
        <w:tc>
          <w:tcPr>
            <w:tcW w:w="3083" w:type="dxa"/>
            <w:tcBorders>
              <w:tl2br w:val="nil"/>
              <w:tr2bl w:val="nil"/>
            </w:tcBorders>
            <w:shd w:val="clear" w:color="auto" w:fill="auto"/>
            <w:noWrap/>
            <w:vAlign w:val="center"/>
          </w:tcPr>
          <w:p w14:paraId="5F4F751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谢丙东</w:t>
            </w:r>
          </w:p>
        </w:tc>
      </w:tr>
      <w:tr w14:paraId="6B456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5F85CCE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34</w:t>
            </w:r>
          </w:p>
        </w:tc>
        <w:tc>
          <w:tcPr>
            <w:tcW w:w="3616" w:type="dxa"/>
            <w:tcBorders>
              <w:tl2br w:val="nil"/>
              <w:tr2bl w:val="nil"/>
            </w:tcBorders>
            <w:shd w:val="clear" w:color="auto" w:fill="auto"/>
            <w:noWrap/>
            <w:vAlign w:val="center"/>
          </w:tcPr>
          <w:p w14:paraId="3243095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志禾投资</w:t>
            </w:r>
          </w:p>
        </w:tc>
        <w:tc>
          <w:tcPr>
            <w:tcW w:w="3083" w:type="dxa"/>
            <w:tcBorders>
              <w:tl2br w:val="nil"/>
              <w:tr2bl w:val="nil"/>
            </w:tcBorders>
            <w:shd w:val="clear" w:color="auto" w:fill="auto"/>
            <w:noWrap/>
            <w:vAlign w:val="center"/>
          </w:tcPr>
          <w:p w14:paraId="5102130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张晨光</w:t>
            </w:r>
          </w:p>
        </w:tc>
      </w:tr>
      <w:tr w14:paraId="5C9AA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2DB1B13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35</w:t>
            </w:r>
          </w:p>
        </w:tc>
        <w:tc>
          <w:tcPr>
            <w:tcW w:w="3616" w:type="dxa"/>
            <w:tcBorders>
              <w:tl2br w:val="nil"/>
              <w:tr2bl w:val="nil"/>
            </w:tcBorders>
            <w:shd w:val="clear" w:color="auto" w:fill="auto"/>
            <w:noWrap/>
            <w:vAlign w:val="center"/>
          </w:tcPr>
          <w:p w14:paraId="4CF489E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希瓦资产</w:t>
            </w:r>
          </w:p>
        </w:tc>
        <w:tc>
          <w:tcPr>
            <w:tcW w:w="3083" w:type="dxa"/>
            <w:tcBorders>
              <w:tl2br w:val="nil"/>
              <w:tr2bl w:val="nil"/>
            </w:tcBorders>
            <w:shd w:val="clear" w:color="auto" w:fill="auto"/>
            <w:noWrap/>
            <w:vAlign w:val="center"/>
          </w:tcPr>
          <w:p w14:paraId="32E0D29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芦苇</w:t>
            </w:r>
          </w:p>
        </w:tc>
      </w:tr>
      <w:tr w14:paraId="6165F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1652218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36</w:t>
            </w:r>
          </w:p>
        </w:tc>
        <w:tc>
          <w:tcPr>
            <w:tcW w:w="3616" w:type="dxa"/>
            <w:tcBorders>
              <w:tl2br w:val="nil"/>
              <w:tr2bl w:val="nil"/>
            </w:tcBorders>
            <w:shd w:val="clear" w:color="auto" w:fill="auto"/>
            <w:noWrap/>
            <w:vAlign w:val="center"/>
          </w:tcPr>
          <w:p w14:paraId="747A529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昱奕资产</w:t>
            </w:r>
          </w:p>
        </w:tc>
        <w:tc>
          <w:tcPr>
            <w:tcW w:w="3083" w:type="dxa"/>
            <w:tcBorders>
              <w:tl2br w:val="nil"/>
              <w:tr2bl w:val="nil"/>
            </w:tcBorders>
            <w:shd w:val="clear" w:color="auto" w:fill="auto"/>
            <w:noWrap/>
            <w:vAlign w:val="center"/>
          </w:tcPr>
          <w:p w14:paraId="6EF03CE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李奕霖</w:t>
            </w:r>
          </w:p>
        </w:tc>
      </w:tr>
      <w:tr w14:paraId="2BD83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68D7776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37</w:t>
            </w:r>
          </w:p>
        </w:tc>
        <w:tc>
          <w:tcPr>
            <w:tcW w:w="3616" w:type="dxa"/>
            <w:tcBorders>
              <w:tl2br w:val="nil"/>
              <w:tr2bl w:val="nil"/>
            </w:tcBorders>
            <w:shd w:val="clear" w:color="auto" w:fill="auto"/>
            <w:noWrap/>
            <w:vAlign w:val="center"/>
          </w:tcPr>
          <w:p w14:paraId="5E14969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鑫元基金</w:t>
            </w:r>
          </w:p>
        </w:tc>
        <w:tc>
          <w:tcPr>
            <w:tcW w:w="3083" w:type="dxa"/>
            <w:tcBorders>
              <w:tl2br w:val="nil"/>
              <w:tr2bl w:val="nil"/>
            </w:tcBorders>
            <w:shd w:val="clear" w:color="auto" w:fill="auto"/>
            <w:noWrap/>
            <w:vAlign w:val="center"/>
          </w:tcPr>
          <w:p w14:paraId="7F2B119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李彪</w:t>
            </w:r>
          </w:p>
        </w:tc>
      </w:tr>
      <w:tr w14:paraId="69F93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704FFCF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38</w:t>
            </w:r>
          </w:p>
        </w:tc>
        <w:tc>
          <w:tcPr>
            <w:tcW w:w="3616" w:type="dxa"/>
            <w:tcBorders>
              <w:tl2br w:val="nil"/>
              <w:tr2bl w:val="nil"/>
            </w:tcBorders>
            <w:shd w:val="clear" w:color="auto" w:fill="auto"/>
            <w:noWrap/>
            <w:vAlign w:val="center"/>
          </w:tcPr>
          <w:p w14:paraId="530D008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远信投资</w:t>
            </w:r>
          </w:p>
        </w:tc>
        <w:tc>
          <w:tcPr>
            <w:tcW w:w="3083" w:type="dxa"/>
            <w:tcBorders>
              <w:tl2br w:val="nil"/>
              <w:tr2bl w:val="nil"/>
            </w:tcBorders>
            <w:shd w:val="clear" w:color="auto" w:fill="auto"/>
            <w:noWrap/>
            <w:vAlign w:val="center"/>
          </w:tcPr>
          <w:p w14:paraId="4476EC5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刘广旭</w:t>
            </w:r>
          </w:p>
        </w:tc>
      </w:tr>
      <w:tr w14:paraId="5CECB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25C56DC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39</w:t>
            </w:r>
          </w:p>
        </w:tc>
        <w:tc>
          <w:tcPr>
            <w:tcW w:w="3616" w:type="dxa"/>
            <w:tcBorders>
              <w:tl2br w:val="nil"/>
              <w:tr2bl w:val="nil"/>
            </w:tcBorders>
            <w:shd w:val="clear" w:color="auto" w:fill="auto"/>
            <w:noWrap/>
            <w:vAlign w:val="center"/>
          </w:tcPr>
          <w:p w14:paraId="0E71D94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华安资产</w:t>
            </w:r>
          </w:p>
        </w:tc>
        <w:tc>
          <w:tcPr>
            <w:tcW w:w="3083" w:type="dxa"/>
            <w:tcBorders>
              <w:tl2br w:val="nil"/>
              <w:tr2bl w:val="nil"/>
            </w:tcBorders>
            <w:shd w:val="clear" w:color="auto" w:fill="auto"/>
            <w:noWrap/>
            <w:vAlign w:val="center"/>
          </w:tcPr>
          <w:p w14:paraId="74CAC11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朱瑶琪</w:t>
            </w:r>
          </w:p>
        </w:tc>
      </w:tr>
      <w:tr w14:paraId="0A109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5AC9669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w:t>
            </w:r>
          </w:p>
        </w:tc>
        <w:tc>
          <w:tcPr>
            <w:tcW w:w="3616" w:type="dxa"/>
            <w:tcBorders>
              <w:tl2br w:val="nil"/>
              <w:tr2bl w:val="nil"/>
            </w:tcBorders>
            <w:shd w:val="clear" w:color="auto" w:fill="auto"/>
            <w:noWrap/>
            <w:vAlign w:val="center"/>
          </w:tcPr>
          <w:p w14:paraId="167FEE4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国联证券资管</w:t>
            </w:r>
          </w:p>
        </w:tc>
        <w:tc>
          <w:tcPr>
            <w:tcW w:w="3083" w:type="dxa"/>
            <w:tcBorders>
              <w:tl2br w:val="nil"/>
              <w:tr2bl w:val="nil"/>
            </w:tcBorders>
            <w:shd w:val="clear" w:color="auto" w:fill="auto"/>
            <w:noWrap/>
            <w:vAlign w:val="center"/>
          </w:tcPr>
          <w:p w14:paraId="088EE3E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傅锦涛</w:t>
            </w:r>
          </w:p>
        </w:tc>
      </w:tr>
      <w:tr w14:paraId="651D8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1A149E8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41</w:t>
            </w:r>
          </w:p>
        </w:tc>
        <w:tc>
          <w:tcPr>
            <w:tcW w:w="3616" w:type="dxa"/>
            <w:tcBorders>
              <w:tl2br w:val="nil"/>
              <w:tr2bl w:val="nil"/>
            </w:tcBorders>
            <w:shd w:val="clear" w:color="auto" w:fill="auto"/>
            <w:noWrap/>
            <w:vAlign w:val="center"/>
          </w:tcPr>
          <w:p w14:paraId="389736F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英大保险资管</w:t>
            </w:r>
          </w:p>
        </w:tc>
        <w:tc>
          <w:tcPr>
            <w:tcW w:w="3083" w:type="dxa"/>
            <w:tcBorders>
              <w:tl2br w:val="nil"/>
              <w:tr2bl w:val="nil"/>
            </w:tcBorders>
            <w:shd w:val="clear" w:color="auto" w:fill="auto"/>
            <w:noWrap/>
            <w:vAlign w:val="center"/>
          </w:tcPr>
          <w:p w14:paraId="28712ED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张成</w:t>
            </w:r>
          </w:p>
        </w:tc>
      </w:tr>
      <w:tr w14:paraId="02EC4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005C36F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42</w:t>
            </w:r>
          </w:p>
        </w:tc>
        <w:tc>
          <w:tcPr>
            <w:tcW w:w="3616" w:type="dxa"/>
            <w:tcBorders>
              <w:tl2br w:val="nil"/>
              <w:tr2bl w:val="nil"/>
            </w:tcBorders>
            <w:shd w:val="clear" w:color="auto" w:fill="auto"/>
            <w:noWrap/>
            <w:vAlign w:val="center"/>
          </w:tcPr>
          <w:p w14:paraId="0C8F572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中金公司</w:t>
            </w:r>
          </w:p>
        </w:tc>
        <w:tc>
          <w:tcPr>
            <w:tcW w:w="3083" w:type="dxa"/>
            <w:tcBorders>
              <w:tl2br w:val="nil"/>
              <w:tr2bl w:val="nil"/>
            </w:tcBorders>
            <w:shd w:val="clear" w:color="auto" w:fill="auto"/>
            <w:noWrap/>
            <w:vAlign w:val="center"/>
          </w:tcPr>
          <w:p w14:paraId="6A5E7EF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胡子慧</w:t>
            </w:r>
          </w:p>
        </w:tc>
      </w:tr>
      <w:tr w14:paraId="41393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466C44C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43</w:t>
            </w:r>
          </w:p>
        </w:tc>
        <w:tc>
          <w:tcPr>
            <w:tcW w:w="3616" w:type="dxa"/>
            <w:tcBorders>
              <w:tl2br w:val="nil"/>
              <w:tr2bl w:val="nil"/>
            </w:tcBorders>
            <w:shd w:val="clear" w:color="auto" w:fill="auto"/>
            <w:noWrap/>
            <w:vAlign w:val="center"/>
          </w:tcPr>
          <w:p w14:paraId="3CF9F59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中信证券</w:t>
            </w:r>
          </w:p>
        </w:tc>
        <w:tc>
          <w:tcPr>
            <w:tcW w:w="3083" w:type="dxa"/>
            <w:tcBorders>
              <w:tl2br w:val="nil"/>
              <w:tr2bl w:val="nil"/>
            </w:tcBorders>
            <w:shd w:val="clear" w:color="auto" w:fill="auto"/>
            <w:noWrap/>
            <w:vAlign w:val="center"/>
          </w:tcPr>
          <w:p w14:paraId="0C80D29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邵振方</w:t>
            </w:r>
          </w:p>
        </w:tc>
      </w:tr>
      <w:tr w14:paraId="5DA28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5BDDE58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44</w:t>
            </w:r>
          </w:p>
        </w:tc>
        <w:tc>
          <w:tcPr>
            <w:tcW w:w="3616" w:type="dxa"/>
            <w:tcBorders>
              <w:tl2br w:val="nil"/>
              <w:tr2bl w:val="nil"/>
            </w:tcBorders>
            <w:shd w:val="clear" w:color="auto" w:fill="auto"/>
            <w:noWrap/>
            <w:vAlign w:val="center"/>
          </w:tcPr>
          <w:p w14:paraId="158FF96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腾远投资</w:t>
            </w:r>
          </w:p>
        </w:tc>
        <w:tc>
          <w:tcPr>
            <w:tcW w:w="3083" w:type="dxa"/>
            <w:tcBorders>
              <w:tl2br w:val="nil"/>
              <w:tr2bl w:val="nil"/>
            </w:tcBorders>
            <w:shd w:val="clear" w:color="auto" w:fill="auto"/>
            <w:noWrap/>
            <w:vAlign w:val="center"/>
          </w:tcPr>
          <w:p w14:paraId="418FC55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张展硕</w:t>
            </w:r>
          </w:p>
        </w:tc>
      </w:tr>
      <w:tr w14:paraId="40658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36C8297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45</w:t>
            </w:r>
          </w:p>
        </w:tc>
        <w:tc>
          <w:tcPr>
            <w:tcW w:w="3616" w:type="dxa"/>
            <w:tcBorders>
              <w:tl2br w:val="nil"/>
              <w:tr2bl w:val="nil"/>
            </w:tcBorders>
            <w:shd w:val="clear" w:color="auto" w:fill="auto"/>
            <w:noWrap/>
            <w:vAlign w:val="center"/>
          </w:tcPr>
          <w:p w14:paraId="59A83CB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归德投资</w:t>
            </w:r>
          </w:p>
        </w:tc>
        <w:tc>
          <w:tcPr>
            <w:tcW w:w="3083" w:type="dxa"/>
            <w:tcBorders>
              <w:tl2br w:val="nil"/>
              <w:tr2bl w:val="nil"/>
            </w:tcBorders>
            <w:shd w:val="clear" w:color="auto" w:fill="auto"/>
            <w:noWrap/>
            <w:vAlign w:val="center"/>
          </w:tcPr>
          <w:p w14:paraId="14E5E24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李纲领</w:t>
            </w:r>
          </w:p>
        </w:tc>
      </w:tr>
      <w:tr w14:paraId="31C2D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050D4FC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46</w:t>
            </w:r>
          </w:p>
        </w:tc>
        <w:tc>
          <w:tcPr>
            <w:tcW w:w="3616" w:type="dxa"/>
            <w:tcBorders>
              <w:tl2br w:val="nil"/>
              <w:tr2bl w:val="nil"/>
            </w:tcBorders>
            <w:shd w:val="clear" w:color="auto" w:fill="auto"/>
            <w:noWrap/>
            <w:vAlign w:val="center"/>
          </w:tcPr>
          <w:p w14:paraId="14D103B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泽添基金</w:t>
            </w:r>
          </w:p>
        </w:tc>
        <w:tc>
          <w:tcPr>
            <w:tcW w:w="3083" w:type="dxa"/>
            <w:tcBorders>
              <w:tl2br w:val="nil"/>
              <w:tr2bl w:val="nil"/>
            </w:tcBorders>
            <w:shd w:val="clear" w:color="auto" w:fill="auto"/>
            <w:noWrap/>
            <w:vAlign w:val="center"/>
          </w:tcPr>
          <w:p w14:paraId="1969AB7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戎君君</w:t>
            </w:r>
          </w:p>
        </w:tc>
      </w:tr>
      <w:tr w14:paraId="49DE1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55A028D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47</w:t>
            </w:r>
          </w:p>
        </w:tc>
        <w:tc>
          <w:tcPr>
            <w:tcW w:w="3616" w:type="dxa"/>
            <w:tcBorders>
              <w:tl2br w:val="nil"/>
              <w:tr2bl w:val="nil"/>
            </w:tcBorders>
            <w:shd w:val="clear" w:color="auto" w:fill="auto"/>
            <w:noWrap/>
            <w:vAlign w:val="center"/>
          </w:tcPr>
          <w:p w14:paraId="50AE8F6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cs="宋体"/>
                <w:b w:val="0"/>
                <w:bCs w:val="0"/>
                <w:i w:val="0"/>
                <w:iCs w:val="0"/>
                <w:color w:val="000000"/>
                <w:kern w:val="0"/>
                <w:sz w:val="22"/>
                <w:szCs w:val="22"/>
                <w:u w:val="none"/>
                <w:lang w:val="en-US" w:eastAsia="zh-CN" w:bidi="ar"/>
              </w:rPr>
              <w:t>固禾基金</w:t>
            </w:r>
          </w:p>
        </w:tc>
        <w:tc>
          <w:tcPr>
            <w:tcW w:w="3083" w:type="dxa"/>
            <w:tcBorders>
              <w:tl2br w:val="nil"/>
              <w:tr2bl w:val="nil"/>
            </w:tcBorders>
            <w:shd w:val="clear" w:color="auto" w:fill="auto"/>
            <w:noWrap/>
            <w:vAlign w:val="center"/>
          </w:tcPr>
          <w:p w14:paraId="0C88B52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cs="宋体"/>
                <w:b w:val="0"/>
                <w:bCs w:val="0"/>
                <w:i w:val="0"/>
                <w:iCs w:val="0"/>
                <w:color w:val="000000"/>
                <w:kern w:val="0"/>
                <w:sz w:val="22"/>
                <w:szCs w:val="22"/>
                <w:u w:val="none"/>
                <w:lang w:val="en-US" w:eastAsia="zh-CN" w:bidi="ar"/>
              </w:rPr>
              <w:t>纪双陆</w:t>
            </w:r>
          </w:p>
        </w:tc>
      </w:tr>
      <w:tr w14:paraId="61EF3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1DAEE282">
            <w:pPr>
              <w:keepNext w:val="0"/>
              <w:keepLines w:val="0"/>
              <w:widowControl/>
              <w:suppressLineNumbers w:val="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cs="宋体"/>
                <w:b w:val="0"/>
                <w:bCs w:val="0"/>
                <w:i w:val="0"/>
                <w:iCs w:val="0"/>
                <w:color w:val="000000"/>
                <w:kern w:val="0"/>
                <w:sz w:val="22"/>
                <w:szCs w:val="22"/>
                <w:u w:val="none"/>
                <w:lang w:val="en-US" w:eastAsia="zh-CN" w:bidi="ar"/>
              </w:rPr>
              <w:t>48</w:t>
            </w:r>
          </w:p>
        </w:tc>
        <w:tc>
          <w:tcPr>
            <w:tcW w:w="3616" w:type="dxa"/>
            <w:tcBorders>
              <w:tl2br w:val="nil"/>
              <w:tr2bl w:val="nil"/>
            </w:tcBorders>
            <w:shd w:val="clear" w:color="auto" w:fill="auto"/>
            <w:noWrap/>
            <w:vAlign w:val="center"/>
          </w:tcPr>
          <w:p w14:paraId="25C5F3BD">
            <w:pPr>
              <w:keepNext w:val="0"/>
              <w:keepLines w:val="0"/>
              <w:widowControl/>
              <w:suppressLineNumbers w:val="0"/>
              <w:jc w:val="center"/>
              <w:textAlignment w:val="center"/>
              <w:rPr>
                <w:rFonts w:hint="default"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福创投</w:t>
            </w:r>
          </w:p>
        </w:tc>
        <w:tc>
          <w:tcPr>
            <w:tcW w:w="3083" w:type="dxa"/>
            <w:tcBorders>
              <w:tl2br w:val="nil"/>
              <w:tr2bl w:val="nil"/>
            </w:tcBorders>
            <w:shd w:val="clear" w:color="auto" w:fill="auto"/>
            <w:noWrap/>
            <w:vAlign w:val="center"/>
          </w:tcPr>
          <w:p w14:paraId="523095B5">
            <w:pPr>
              <w:keepNext w:val="0"/>
              <w:keepLines w:val="0"/>
              <w:widowControl/>
              <w:suppressLineNumbers w:val="0"/>
              <w:jc w:val="center"/>
              <w:textAlignment w:val="center"/>
              <w:rPr>
                <w:rFonts w:hint="default" w:ascii="宋体" w:hAnsi="宋体" w:eastAsia="宋体" w:cs="宋体"/>
                <w:b w:val="0"/>
                <w:bCs w:val="0"/>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黄胤强</w:t>
            </w:r>
          </w:p>
        </w:tc>
      </w:tr>
      <w:tr w14:paraId="69939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5" w:hRule="atLeast"/>
        </w:trPr>
        <w:tc>
          <w:tcPr>
            <w:tcW w:w="1510" w:type="dxa"/>
            <w:tcBorders>
              <w:tl2br w:val="nil"/>
              <w:tr2bl w:val="nil"/>
            </w:tcBorders>
            <w:shd w:val="clear" w:color="auto" w:fill="auto"/>
            <w:noWrap/>
            <w:vAlign w:val="center"/>
          </w:tcPr>
          <w:p w14:paraId="2E9519F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w:t>
            </w:r>
            <w:r>
              <w:rPr>
                <w:rFonts w:hint="eastAsia" w:cs="宋体"/>
                <w:b w:val="0"/>
                <w:bCs w:val="0"/>
                <w:i w:val="0"/>
                <w:iCs w:val="0"/>
                <w:color w:val="000000"/>
                <w:kern w:val="0"/>
                <w:sz w:val="22"/>
                <w:szCs w:val="22"/>
                <w:u w:val="none"/>
                <w:lang w:val="en-US" w:eastAsia="zh-CN" w:bidi="ar"/>
              </w:rPr>
              <w:t>9</w:t>
            </w:r>
          </w:p>
        </w:tc>
        <w:tc>
          <w:tcPr>
            <w:tcW w:w="3616" w:type="dxa"/>
            <w:tcBorders>
              <w:tl2br w:val="nil"/>
              <w:tr2bl w:val="nil"/>
            </w:tcBorders>
            <w:shd w:val="clear" w:color="auto" w:fill="auto"/>
            <w:noWrap/>
            <w:vAlign w:val="center"/>
          </w:tcPr>
          <w:p w14:paraId="00281F7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cs="宋体"/>
                <w:b w:val="0"/>
                <w:bCs w:val="0"/>
                <w:i w:val="0"/>
                <w:iCs w:val="0"/>
                <w:color w:val="000000"/>
                <w:kern w:val="0"/>
                <w:sz w:val="22"/>
                <w:szCs w:val="22"/>
                <w:u w:val="none"/>
                <w:lang w:val="en-US" w:eastAsia="zh-CN" w:bidi="ar"/>
              </w:rPr>
              <w:t>中泰资本</w:t>
            </w:r>
          </w:p>
        </w:tc>
        <w:tc>
          <w:tcPr>
            <w:tcW w:w="3083" w:type="dxa"/>
            <w:tcBorders>
              <w:tl2br w:val="nil"/>
              <w:tr2bl w:val="nil"/>
            </w:tcBorders>
            <w:shd w:val="clear" w:color="auto" w:fill="auto"/>
            <w:noWrap/>
            <w:vAlign w:val="center"/>
          </w:tcPr>
          <w:p w14:paraId="5D69F1B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cs="宋体"/>
                <w:b w:val="0"/>
                <w:bCs w:val="0"/>
                <w:i w:val="0"/>
                <w:iCs w:val="0"/>
                <w:color w:val="000000"/>
                <w:kern w:val="0"/>
                <w:sz w:val="22"/>
                <w:szCs w:val="22"/>
                <w:u w:val="none"/>
                <w:lang w:val="en-US" w:eastAsia="zh-CN" w:bidi="ar"/>
              </w:rPr>
              <w:t>林法彤</w:t>
            </w:r>
          </w:p>
        </w:tc>
      </w:tr>
    </w:tbl>
    <w:p w14:paraId="3DB7681C">
      <w:pPr>
        <w:rPr>
          <w:rFonts w:hint="eastAsia" w:ascii="宋体" w:hAnsi="宋体" w:eastAsia="宋体"/>
          <w:b/>
          <w:bCs/>
          <w:sz w:val="24"/>
          <w:szCs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4344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3B59C">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02DB6">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DF246">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CFCCC">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C8F9B">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98F5C"/>
    <w:multiLevelType w:val="singleLevel"/>
    <w:tmpl w:val="96398F5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kMmFiZWRhMzg2OGZjZGE1NjY1NTBiYzJjNzE0ZjUifQ=="/>
  </w:docVars>
  <w:rsids>
    <w:rsidRoot w:val="327E2C66"/>
    <w:rsid w:val="002A0DEB"/>
    <w:rsid w:val="002E6122"/>
    <w:rsid w:val="00393736"/>
    <w:rsid w:val="006B5764"/>
    <w:rsid w:val="00914FEC"/>
    <w:rsid w:val="00B748FD"/>
    <w:rsid w:val="00CA6A2D"/>
    <w:rsid w:val="00D34B42"/>
    <w:rsid w:val="00E62A63"/>
    <w:rsid w:val="00EF0EE4"/>
    <w:rsid w:val="00FE4A72"/>
    <w:rsid w:val="015C2B68"/>
    <w:rsid w:val="01C5371D"/>
    <w:rsid w:val="02447CCE"/>
    <w:rsid w:val="024B006E"/>
    <w:rsid w:val="02AB6B02"/>
    <w:rsid w:val="02CB3B34"/>
    <w:rsid w:val="030412EA"/>
    <w:rsid w:val="030C6B52"/>
    <w:rsid w:val="03337A53"/>
    <w:rsid w:val="04012683"/>
    <w:rsid w:val="04DD475E"/>
    <w:rsid w:val="05355B4E"/>
    <w:rsid w:val="05AB0EC8"/>
    <w:rsid w:val="066D30A1"/>
    <w:rsid w:val="06F40BF0"/>
    <w:rsid w:val="07CE20B8"/>
    <w:rsid w:val="07D4787B"/>
    <w:rsid w:val="07D81106"/>
    <w:rsid w:val="08B1198F"/>
    <w:rsid w:val="08B259B8"/>
    <w:rsid w:val="08FD5EAF"/>
    <w:rsid w:val="093440B6"/>
    <w:rsid w:val="096B1B3E"/>
    <w:rsid w:val="09756E61"/>
    <w:rsid w:val="0A60366D"/>
    <w:rsid w:val="0A785D64"/>
    <w:rsid w:val="0A936117"/>
    <w:rsid w:val="0C13446A"/>
    <w:rsid w:val="0C3F6366"/>
    <w:rsid w:val="0D2564A8"/>
    <w:rsid w:val="0D33389B"/>
    <w:rsid w:val="0D7F4286"/>
    <w:rsid w:val="0DA7097E"/>
    <w:rsid w:val="0DAC6774"/>
    <w:rsid w:val="10246EEB"/>
    <w:rsid w:val="10D27640"/>
    <w:rsid w:val="11731BDE"/>
    <w:rsid w:val="12883C5B"/>
    <w:rsid w:val="12FE1C75"/>
    <w:rsid w:val="13DA7FEC"/>
    <w:rsid w:val="141816DF"/>
    <w:rsid w:val="14641FAC"/>
    <w:rsid w:val="157E0D4E"/>
    <w:rsid w:val="16064179"/>
    <w:rsid w:val="17D962EE"/>
    <w:rsid w:val="17EA00F4"/>
    <w:rsid w:val="1807600E"/>
    <w:rsid w:val="18212D82"/>
    <w:rsid w:val="183E1CE1"/>
    <w:rsid w:val="1887223C"/>
    <w:rsid w:val="192F786F"/>
    <w:rsid w:val="1A485FE9"/>
    <w:rsid w:val="1A645525"/>
    <w:rsid w:val="1B65731F"/>
    <w:rsid w:val="1C1C4F1A"/>
    <w:rsid w:val="1C765283"/>
    <w:rsid w:val="1CE1063D"/>
    <w:rsid w:val="1D1D0F4A"/>
    <w:rsid w:val="1DC15D79"/>
    <w:rsid w:val="1E1E13BD"/>
    <w:rsid w:val="1E3D5D47"/>
    <w:rsid w:val="1E75484C"/>
    <w:rsid w:val="1EF06F2C"/>
    <w:rsid w:val="1EFB52BB"/>
    <w:rsid w:val="1F0E3225"/>
    <w:rsid w:val="201C0B94"/>
    <w:rsid w:val="20274347"/>
    <w:rsid w:val="204131A1"/>
    <w:rsid w:val="20673947"/>
    <w:rsid w:val="2092539E"/>
    <w:rsid w:val="20B10327"/>
    <w:rsid w:val="20D66357"/>
    <w:rsid w:val="20E37279"/>
    <w:rsid w:val="21507EA2"/>
    <w:rsid w:val="22104A63"/>
    <w:rsid w:val="22CE3412"/>
    <w:rsid w:val="230403D0"/>
    <w:rsid w:val="23487B36"/>
    <w:rsid w:val="24816090"/>
    <w:rsid w:val="24A24717"/>
    <w:rsid w:val="24CE2E10"/>
    <w:rsid w:val="24DE6929"/>
    <w:rsid w:val="25474D05"/>
    <w:rsid w:val="261F5D33"/>
    <w:rsid w:val="26445E86"/>
    <w:rsid w:val="26E53C36"/>
    <w:rsid w:val="26EC20B9"/>
    <w:rsid w:val="27737014"/>
    <w:rsid w:val="27D56D0C"/>
    <w:rsid w:val="2818512F"/>
    <w:rsid w:val="287B72E4"/>
    <w:rsid w:val="2919177D"/>
    <w:rsid w:val="29361D11"/>
    <w:rsid w:val="29853C64"/>
    <w:rsid w:val="29AE3DA5"/>
    <w:rsid w:val="2B0E4E20"/>
    <w:rsid w:val="2B39491E"/>
    <w:rsid w:val="2B735DB0"/>
    <w:rsid w:val="2B880676"/>
    <w:rsid w:val="2C0757B9"/>
    <w:rsid w:val="2C554170"/>
    <w:rsid w:val="2CA040F4"/>
    <w:rsid w:val="2CA4748E"/>
    <w:rsid w:val="2CB52A72"/>
    <w:rsid w:val="2CEA7B7C"/>
    <w:rsid w:val="2DF16206"/>
    <w:rsid w:val="2E2D611F"/>
    <w:rsid w:val="2E4E3659"/>
    <w:rsid w:val="2E7F119A"/>
    <w:rsid w:val="2EA70BA4"/>
    <w:rsid w:val="2EC07802"/>
    <w:rsid w:val="2ED01317"/>
    <w:rsid w:val="2F171C9D"/>
    <w:rsid w:val="2FD460D0"/>
    <w:rsid w:val="2FEF23E8"/>
    <w:rsid w:val="30210369"/>
    <w:rsid w:val="308710A4"/>
    <w:rsid w:val="315E3BB3"/>
    <w:rsid w:val="31C41D31"/>
    <w:rsid w:val="322143AE"/>
    <w:rsid w:val="32386D67"/>
    <w:rsid w:val="327E2C66"/>
    <w:rsid w:val="344E4DCD"/>
    <w:rsid w:val="34586FDF"/>
    <w:rsid w:val="34806536"/>
    <w:rsid w:val="358D0F0B"/>
    <w:rsid w:val="360311CD"/>
    <w:rsid w:val="36186FF2"/>
    <w:rsid w:val="368932F1"/>
    <w:rsid w:val="36E0506A"/>
    <w:rsid w:val="36F73B5A"/>
    <w:rsid w:val="3702724B"/>
    <w:rsid w:val="37533DA9"/>
    <w:rsid w:val="37661DC4"/>
    <w:rsid w:val="389B36C8"/>
    <w:rsid w:val="39680F90"/>
    <w:rsid w:val="398B5761"/>
    <w:rsid w:val="39EC60DB"/>
    <w:rsid w:val="39FA5894"/>
    <w:rsid w:val="39FC3B01"/>
    <w:rsid w:val="3B586B87"/>
    <w:rsid w:val="3BF8362B"/>
    <w:rsid w:val="3C337FBC"/>
    <w:rsid w:val="3C4542ED"/>
    <w:rsid w:val="3C9D4F78"/>
    <w:rsid w:val="3DAC19F0"/>
    <w:rsid w:val="3E240A3D"/>
    <w:rsid w:val="3E2B5CE5"/>
    <w:rsid w:val="3E4A1584"/>
    <w:rsid w:val="3F0652EA"/>
    <w:rsid w:val="3F11495A"/>
    <w:rsid w:val="3F1E16E9"/>
    <w:rsid w:val="3F4A6C0D"/>
    <w:rsid w:val="3F7C2962"/>
    <w:rsid w:val="3FF4176F"/>
    <w:rsid w:val="409808A7"/>
    <w:rsid w:val="41540B2E"/>
    <w:rsid w:val="41BD6F89"/>
    <w:rsid w:val="44395496"/>
    <w:rsid w:val="44782D86"/>
    <w:rsid w:val="452A1AC1"/>
    <w:rsid w:val="45874AE4"/>
    <w:rsid w:val="45D83B28"/>
    <w:rsid w:val="46071C2E"/>
    <w:rsid w:val="463471E6"/>
    <w:rsid w:val="463A00C2"/>
    <w:rsid w:val="464D6CFE"/>
    <w:rsid w:val="46BD4880"/>
    <w:rsid w:val="46CD36BA"/>
    <w:rsid w:val="471F14FB"/>
    <w:rsid w:val="474A2312"/>
    <w:rsid w:val="478D4D9A"/>
    <w:rsid w:val="47DC666D"/>
    <w:rsid w:val="487A3351"/>
    <w:rsid w:val="48AC684B"/>
    <w:rsid w:val="49094E01"/>
    <w:rsid w:val="4BAA387E"/>
    <w:rsid w:val="4C1C493F"/>
    <w:rsid w:val="4C2648F2"/>
    <w:rsid w:val="4E884C63"/>
    <w:rsid w:val="4F520AEE"/>
    <w:rsid w:val="50583839"/>
    <w:rsid w:val="50FD51B3"/>
    <w:rsid w:val="51B756E2"/>
    <w:rsid w:val="51CF680C"/>
    <w:rsid w:val="52554706"/>
    <w:rsid w:val="53513120"/>
    <w:rsid w:val="540C22D9"/>
    <w:rsid w:val="541C6AA5"/>
    <w:rsid w:val="542A2E83"/>
    <w:rsid w:val="54D67D81"/>
    <w:rsid w:val="54F83D4E"/>
    <w:rsid w:val="5652654A"/>
    <w:rsid w:val="56774770"/>
    <w:rsid w:val="571906CE"/>
    <w:rsid w:val="573112CB"/>
    <w:rsid w:val="579F7601"/>
    <w:rsid w:val="57A43D49"/>
    <w:rsid w:val="57BC2B32"/>
    <w:rsid w:val="58073097"/>
    <w:rsid w:val="58166B6B"/>
    <w:rsid w:val="58E10F36"/>
    <w:rsid w:val="592C523A"/>
    <w:rsid w:val="59753799"/>
    <w:rsid w:val="5A0B7781"/>
    <w:rsid w:val="5A1A1B46"/>
    <w:rsid w:val="5A6279C1"/>
    <w:rsid w:val="5B38256F"/>
    <w:rsid w:val="5B5D2ABD"/>
    <w:rsid w:val="5B7025B1"/>
    <w:rsid w:val="5B962018"/>
    <w:rsid w:val="5C2B3727"/>
    <w:rsid w:val="5C3763C0"/>
    <w:rsid w:val="5C781391"/>
    <w:rsid w:val="5CAF2C65"/>
    <w:rsid w:val="5D0E5BDE"/>
    <w:rsid w:val="5D4E6B41"/>
    <w:rsid w:val="5D851588"/>
    <w:rsid w:val="5DEE422E"/>
    <w:rsid w:val="5E593FAD"/>
    <w:rsid w:val="5EC66316"/>
    <w:rsid w:val="5F9A6199"/>
    <w:rsid w:val="60395667"/>
    <w:rsid w:val="604455F7"/>
    <w:rsid w:val="604F09E7"/>
    <w:rsid w:val="60536509"/>
    <w:rsid w:val="61F10511"/>
    <w:rsid w:val="633C57D2"/>
    <w:rsid w:val="6368414E"/>
    <w:rsid w:val="638B0A31"/>
    <w:rsid w:val="63A81987"/>
    <w:rsid w:val="63EF49BB"/>
    <w:rsid w:val="64DE2339"/>
    <w:rsid w:val="64E42046"/>
    <w:rsid w:val="64FA7C6B"/>
    <w:rsid w:val="657149B6"/>
    <w:rsid w:val="66CF63DE"/>
    <w:rsid w:val="6716225F"/>
    <w:rsid w:val="67874F0A"/>
    <w:rsid w:val="689C4889"/>
    <w:rsid w:val="696C452C"/>
    <w:rsid w:val="699E02E9"/>
    <w:rsid w:val="69F20458"/>
    <w:rsid w:val="6BF1329A"/>
    <w:rsid w:val="6C983E38"/>
    <w:rsid w:val="6D6B2A55"/>
    <w:rsid w:val="6DAC56CB"/>
    <w:rsid w:val="6E2754E8"/>
    <w:rsid w:val="6E3C0816"/>
    <w:rsid w:val="6FB31400"/>
    <w:rsid w:val="70120640"/>
    <w:rsid w:val="70C30A24"/>
    <w:rsid w:val="718D23EA"/>
    <w:rsid w:val="72A66B62"/>
    <w:rsid w:val="72DA47EE"/>
    <w:rsid w:val="73FF7401"/>
    <w:rsid w:val="74296D84"/>
    <w:rsid w:val="74ED1831"/>
    <w:rsid w:val="750B717B"/>
    <w:rsid w:val="755A5A0C"/>
    <w:rsid w:val="779B3F53"/>
    <w:rsid w:val="77AE0291"/>
    <w:rsid w:val="77E36B50"/>
    <w:rsid w:val="77EE0AA7"/>
    <w:rsid w:val="782F67D1"/>
    <w:rsid w:val="785030F6"/>
    <w:rsid w:val="78F55F34"/>
    <w:rsid w:val="79452EDF"/>
    <w:rsid w:val="7AF40436"/>
    <w:rsid w:val="7BEA2AE3"/>
    <w:rsid w:val="7C9F06E9"/>
    <w:rsid w:val="7CC45B4F"/>
    <w:rsid w:val="7D162B61"/>
    <w:rsid w:val="7DAF2DE2"/>
    <w:rsid w:val="7E8F6955"/>
    <w:rsid w:val="7F2E22C5"/>
    <w:rsid w:val="7F7C5019"/>
    <w:rsid w:val="7F8F7296"/>
    <w:rsid w:val="7FBB5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auto"/>
    </w:pPr>
    <w:rPr>
      <w:rFonts w:ascii="宋体" w:hAnsi="宋体" w:eastAsia="宋体" w:cs="宋体"/>
      <w:b/>
      <w:bCs/>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qFormat/>
    <w:uiPriority w:val="0"/>
    <w:pPr>
      <w:tabs>
        <w:tab w:val="center" w:pos="4153"/>
        <w:tab w:val="right" w:pos="8306"/>
      </w:tabs>
      <w:snapToGrid w:val="0"/>
      <w:spacing w:line="240" w:lineRule="auto"/>
    </w:pPr>
    <w:rPr>
      <w:sz w:val="18"/>
      <w:szCs w:val="18"/>
    </w:rPr>
  </w:style>
  <w:style w:type="paragraph" w:styleId="3">
    <w:name w:val="header"/>
    <w:basedOn w:val="1"/>
    <w:link w:val="13"/>
    <w:qFormat/>
    <w:uiPriority w:val="0"/>
    <w:pPr>
      <w:tabs>
        <w:tab w:val="center" w:pos="4153"/>
        <w:tab w:val="right" w:pos="8306"/>
      </w:tabs>
      <w:snapToGrid w:val="0"/>
      <w:spacing w:line="240" w:lineRule="auto"/>
      <w:jc w:val="center"/>
    </w:pPr>
    <w:rPr>
      <w:sz w:val="18"/>
      <w:szCs w:val="18"/>
    </w:rPr>
  </w:style>
  <w:style w:type="paragraph" w:styleId="4">
    <w:name w:val="Normal (Web)"/>
    <w:basedOn w:val="1"/>
    <w:autoRedefine/>
    <w:qFormat/>
    <w:uiPriority w:val="99"/>
    <w:pPr>
      <w:spacing w:before="100" w:beforeAutospacing="1" w:after="100" w:afterAutospacing="1"/>
    </w:p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004四级标题"/>
    <w:basedOn w:val="9"/>
    <w:autoRedefine/>
    <w:qFormat/>
    <w:uiPriority w:val="0"/>
    <w:pPr>
      <w:ind w:firstLine="200" w:firstLineChars="200"/>
      <w:outlineLvl w:val="3"/>
    </w:pPr>
    <w:rPr>
      <w:rFonts w:eastAsia="宋体"/>
      <w:sz w:val="24"/>
    </w:rPr>
  </w:style>
  <w:style w:type="paragraph" w:customStyle="1" w:styleId="9">
    <w:name w:val="002二级标题"/>
    <w:autoRedefine/>
    <w:qFormat/>
    <w:uiPriority w:val="0"/>
    <w:pPr>
      <w:keepNext/>
      <w:keepLines/>
      <w:spacing w:beforeLines="50" w:line="360" w:lineRule="auto"/>
      <w:jc w:val="both"/>
      <w:outlineLvl w:val="1"/>
    </w:pPr>
    <w:rPr>
      <w:rFonts w:ascii="Times New Roman" w:hAnsi="Times New Roman" w:eastAsia="黑体" w:cs="Times New Roman"/>
      <w:b/>
      <w:bCs/>
      <w:kern w:val="2"/>
      <w:sz w:val="28"/>
      <w:szCs w:val="28"/>
      <w:lang w:val="en-US" w:eastAsia="zh-CN" w:bidi="ar-SA"/>
    </w:rPr>
  </w:style>
  <w:style w:type="paragraph" w:customStyle="1" w:styleId="10">
    <w:name w:val="005正文"/>
    <w:basedOn w:val="1"/>
    <w:autoRedefine/>
    <w:qFormat/>
    <w:uiPriority w:val="0"/>
    <w:pPr>
      <w:widowControl w:val="0"/>
      <w:ind w:firstLine="200"/>
      <w:jc w:val="both"/>
    </w:pPr>
    <w:rPr>
      <w:rFonts w:ascii="Times New Roman" w:hAnsi="Times New Roman" w:cs="Times New Roman"/>
      <w:kern w:val="2"/>
      <w:szCs w:val="22"/>
    </w:rPr>
  </w:style>
  <w:style w:type="paragraph" w:customStyle="1" w:styleId="11">
    <w:name w:val="修订1"/>
    <w:autoRedefine/>
    <w:hidden/>
    <w:unhideWhenUsed/>
    <w:qFormat/>
    <w:uiPriority w:val="99"/>
    <w:rPr>
      <w:rFonts w:ascii="宋体" w:hAnsi="宋体" w:eastAsia="宋体" w:cs="宋体"/>
      <w:sz w:val="24"/>
      <w:szCs w:val="24"/>
      <w:lang w:val="en-US" w:eastAsia="zh-CN" w:bidi="ar-SA"/>
    </w:rPr>
  </w:style>
  <w:style w:type="paragraph" w:styleId="12">
    <w:name w:val="List Paragraph"/>
    <w:basedOn w:val="1"/>
    <w:autoRedefine/>
    <w:unhideWhenUsed/>
    <w:qFormat/>
    <w:uiPriority w:val="99"/>
    <w:pPr>
      <w:ind w:firstLine="420"/>
    </w:pPr>
  </w:style>
  <w:style w:type="character" w:customStyle="1" w:styleId="13">
    <w:name w:val="页眉 字符"/>
    <w:basedOn w:val="7"/>
    <w:link w:val="3"/>
    <w:qFormat/>
    <w:uiPriority w:val="0"/>
    <w:rPr>
      <w:rFonts w:ascii="宋体" w:hAnsi="宋体" w:cs="宋体"/>
      <w:sz w:val="18"/>
      <w:szCs w:val="18"/>
    </w:rPr>
  </w:style>
  <w:style w:type="character" w:customStyle="1" w:styleId="14">
    <w:name w:val="页脚 字符"/>
    <w:basedOn w:val="7"/>
    <w:link w:val="2"/>
    <w:qFormat/>
    <w:uiPriority w:val="0"/>
    <w:rPr>
      <w:rFonts w:ascii="宋体" w:hAnsi="宋体" w:cs="宋体"/>
      <w:sz w:val="18"/>
      <w:szCs w:val="18"/>
    </w:rPr>
  </w:style>
  <w:style w:type="paragraph" w:customStyle="1" w:styleId="15">
    <w:name w:val="Revision"/>
    <w:hidden/>
    <w:unhideWhenUsed/>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1747</Words>
  <Characters>1855</Characters>
  <Lines>6</Lines>
  <Paragraphs>1</Paragraphs>
  <TotalTime>12</TotalTime>
  <ScaleCrop>false</ScaleCrop>
  <LinksUpToDate>false</LinksUpToDate>
  <CharactersWithSpaces>1902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2024-03-18T08:17:00Z</dcterms:created>
  <dc:creator>Administrator</dc:creator>
  <cp:lastModifiedBy>梨呀</cp:lastModifiedBy>
  <cp:lastPrinted>2024-03-04T05:29:00Z</cp:lastPrinted>
  <dcterms:modified xsi:type="dcterms:W3CDTF">2024-12-02T08:41:28Z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DB9B1774D6DF4F4EA72459A38F5ADC6C_13</vt:lpwstr>
  </property>
</Properties>
</file>