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证券代码：6</w:t>
      </w:r>
      <w:r>
        <w:rPr>
          <w:rFonts w:ascii="宋体" w:hAnsi="宋体" w:eastAsia="宋体"/>
          <w:color w:val="000000"/>
          <w:sz w:val="24"/>
        </w:rPr>
        <w:t>03004</w:t>
      </w:r>
      <w:r>
        <w:rPr>
          <w:rFonts w:hint="eastAsia" w:ascii="宋体" w:hAnsi="宋体" w:eastAsia="宋体"/>
          <w:color w:val="000000"/>
          <w:sz w:val="24"/>
        </w:rPr>
        <w:t xml:space="preserve">                              </w:t>
      </w:r>
      <w:r>
        <w:rPr>
          <w:rFonts w:ascii="宋体" w:hAnsi="宋体" w:eastAsia="宋体"/>
          <w:color w:val="000000"/>
          <w:sz w:val="24"/>
        </w:rPr>
        <w:t xml:space="preserve">     </w:t>
      </w:r>
      <w:r>
        <w:rPr>
          <w:rFonts w:hint="eastAsia" w:ascii="宋体" w:hAnsi="宋体" w:eastAsia="宋体"/>
          <w:color w:val="000000"/>
          <w:sz w:val="24"/>
        </w:rPr>
        <w:t>证券简称：鼎龙科技</w:t>
      </w:r>
    </w:p>
    <w:p>
      <w:pPr>
        <w:spacing w:before="156" w:beforeLines="50" w:after="156" w:afterLines="50" w:line="400" w:lineRule="exact"/>
        <w:jc w:val="center"/>
        <w:rPr>
          <w:rFonts w:ascii="宋体" w:hAnsi="宋体" w:eastAsia="宋体"/>
          <w:b/>
          <w:color w:val="000000"/>
          <w:sz w:val="32"/>
        </w:rPr>
      </w:pPr>
      <w:r>
        <w:rPr>
          <w:rFonts w:hint="eastAsia" w:ascii="宋体" w:hAnsi="宋体" w:eastAsia="宋体"/>
          <w:b/>
          <w:color w:val="000000"/>
          <w:sz w:val="32"/>
        </w:rPr>
        <w:t>浙江鼎龙科技股份有限公司</w:t>
      </w:r>
    </w:p>
    <w:p>
      <w:pPr>
        <w:spacing w:before="156" w:beforeLines="50" w:after="156" w:afterLines="50" w:line="400" w:lineRule="exact"/>
        <w:jc w:val="center"/>
        <w:rPr>
          <w:rFonts w:ascii="宋体" w:hAnsi="宋体" w:eastAsia="宋体"/>
          <w:b/>
          <w:color w:val="000000"/>
          <w:sz w:val="32"/>
        </w:rPr>
      </w:pPr>
      <w:r>
        <w:rPr>
          <w:rFonts w:hint="eastAsia" w:ascii="宋体" w:hAnsi="宋体" w:eastAsia="宋体"/>
          <w:b/>
          <w:color w:val="000000"/>
          <w:sz w:val="32"/>
        </w:rPr>
        <w:t>投资者关系活动记录表</w:t>
      </w:r>
    </w:p>
    <w:p>
      <w:pPr>
        <w:spacing w:line="40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                                                 </w:t>
      </w:r>
      <w:r>
        <w:rPr>
          <w:rFonts w:ascii="宋体" w:hAnsi="宋体" w:eastAsia="宋体"/>
          <w:color w:val="000000"/>
          <w:sz w:val="24"/>
        </w:rPr>
        <w:t xml:space="preserve">    </w:t>
      </w:r>
      <w:r>
        <w:rPr>
          <w:rFonts w:hint="eastAsia" w:ascii="宋体" w:hAnsi="宋体" w:eastAsia="宋体"/>
          <w:color w:val="000000"/>
          <w:sz w:val="24"/>
        </w:rPr>
        <w:t>编号：2</w:t>
      </w:r>
      <w:r>
        <w:rPr>
          <w:rFonts w:ascii="宋体" w:hAnsi="宋体" w:eastAsia="宋体"/>
          <w:color w:val="000000"/>
          <w:sz w:val="24"/>
        </w:rPr>
        <w:t>024-013</w:t>
      </w:r>
      <w:r>
        <w:rPr>
          <w:rFonts w:hint="eastAsia" w:ascii="宋体" w:hAnsi="宋体" w:eastAsia="宋体"/>
          <w:color w:val="000000"/>
          <w:sz w:val="24"/>
        </w:rPr>
        <w:t xml:space="preserve">      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6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投资者关系活动类别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分析师会议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业绩说明会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路演活动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现场参观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其他 （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参与单位名称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华福证券 孙范彦卿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中信建投证券 周舟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华安证券 王强峰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国联安基金 王栋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</w:rPr>
              <w:t>024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  <w:r>
              <w:rPr>
                <w:rFonts w:ascii="宋体" w:hAnsi="宋体" w:eastAsia="宋体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日、2</w:t>
            </w: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地点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公司会议室、外部会议室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上市公司接待人员姓名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董事会秘书周菡语、证券事务代表周能传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投资者关系活动主要内容介绍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1、公司</w:t>
            </w:r>
            <w:bookmarkStart w:id="0" w:name="OLE_LINK4"/>
            <w:bookmarkStart w:id="1" w:name="OLE_LINK5"/>
            <w:r>
              <w:rPr>
                <w:rFonts w:hint="eastAsia" w:ascii="宋体" w:hAnsi="宋体" w:eastAsia="宋体"/>
                <w:b/>
                <w:szCs w:val="21"/>
              </w:rPr>
              <w:t>P</w:t>
            </w:r>
            <w:bookmarkEnd w:id="0"/>
            <w:bookmarkEnd w:id="1"/>
            <w:r>
              <w:rPr>
                <w:rFonts w:hint="eastAsia" w:ascii="宋体" w:hAnsi="宋体" w:eastAsia="宋体"/>
                <w:b/>
                <w:szCs w:val="21"/>
              </w:rPr>
              <w:t>I材料具体有什么？应用领域？价格？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：公司目前生产多种PI单体，用于合成热塑型聚酰亚胺（TPI，主要为树脂形态）的单体是主要品种，TPI应用领域包括电机绝缘材料、机械设备电线涂层、密封圈等领域，具体应用细节以下游及终端厂商披露信息为准。PI单体主要供应国外。价格整体上比较稳定，近期有一定下调。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2、公司PBO单体的价格如何？产量如何？是否是成都新晨等客户的独供？终端客户的产业链认证是否会涉及到公司这一环？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答：目前公司PBO单体价格和产量都比较稳定，没有大幅波动。公司是国内少数实现PBO单体产业化的企业，是否独供尚不清楚。公司未涉及终端客户认证。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3、公司新材料</w:t>
            </w:r>
            <w:bookmarkStart w:id="2" w:name="_Hlk182837571"/>
            <w:r>
              <w:rPr>
                <w:rFonts w:hint="eastAsia" w:ascii="宋体" w:hAnsi="宋体" w:eastAsia="宋体"/>
                <w:b/>
                <w:szCs w:val="21"/>
              </w:rPr>
              <w:t>单体产品订单周期</w:t>
            </w:r>
            <w:bookmarkEnd w:id="2"/>
            <w:r>
              <w:rPr>
                <w:rFonts w:hint="eastAsia" w:ascii="宋体" w:hAnsi="宋体" w:eastAsia="宋体"/>
                <w:b/>
                <w:szCs w:val="21"/>
              </w:rPr>
              <w:t>？</w:t>
            </w:r>
            <w:bookmarkStart w:id="3" w:name="_Hlk182837647"/>
            <w:r>
              <w:rPr>
                <w:rFonts w:hint="eastAsia" w:ascii="宋体" w:hAnsi="宋体" w:eastAsia="宋体"/>
                <w:b/>
                <w:szCs w:val="21"/>
              </w:rPr>
              <w:t>除了</w:t>
            </w:r>
            <w:bookmarkStart w:id="4" w:name="_Hlk182837703"/>
            <w:r>
              <w:rPr>
                <w:rFonts w:hint="eastAsia" w:ascii="宋体" w:hAnsi="宋体" w:eastAsia="宋体"/>
                <w:b/>
                <w:szCs w:val="21"/>
              </w:rPr>
              <w:t>PI单体、PBO单体</w:t>
            </w:r>
            <w:bookmarkEnd w:id="3"/>
            <w:bookmarkEnd w:id="4"/>
            <w:r>
              <w:rPr>
                <w:rFonts w:hint="eastAsia" w:ascii="宋体" w:hAnsi="宋体" w:eastAsia="宋体"/>
                <w:b/>
                <w:szCs w:val="21"/>
              </w:rPr>
              <w:t>，公司还有哪些新材料？价格如何？应用领域？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：订单周期一般一年两到三次，具体略有差异。特种工程材料方面除了PI单体、PBO单体之外主要的还有杂环芳纶单体，杂环芳纶单体具有轻质、高强高模、高耐热、耐溶剂等优异性能，价值较高，主要用于消防用品。其他储备高纯电子单体等，还待市场进一步拓展。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4、公司特种工程材料单体业务的增速？</w:t>
            </w:r>
            <w:r>
              <w:rPr>
                <w:rFonts w:ascii="宋体" w:hAnsi="宋体" w:eastAsia="宋体"/>
                <w:b/>
                <w:szCs w:val="21"/>
              </w:rPr>
              <w:cr/>
            </w:r>
            <w:r>
              <w:rPr>
                <w:rFonts w:hint="eastAsia" w:ascii="宋体" w:hAnsi="宋体" w:eastAsia="宋体"/>
                <w:szCs w:val="21"/>
              </w:rPr>
              <w:t>答：公司的特种工程材料单体技术门槛高、附加值较高，终端产品应用上可能会以复合材料使用，</w:t>
            </w:r>
            <w:r>
              <w:rPr>
                <w:rFonts w:hint="default" w:ascii="宋体" w:hAnsi="宋体" w:eastAsia="宋体"/>
                <w:szCs w:val="21"/>
                <w:woUserID w:val="1"/>
              </w:rPr>
              <w:t>需要一定验证周期，</w:t>
            </w:r>
            <w:r>
              <w:rPr>
                <w:rFonts w:hint="eastAsia" w:ascii="宋体" w:hAnsi="宋体" w:eastAsia="宋体"/>
                <w:szCs w:val="21"/>
              </w:rPr>
              <w:t>从目前客户订单来看量都比较稳定。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5、下游客户的去库存情况？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答：去年上半年因刚从疫情中走出，又叠加地缘、国际局势等因素，大客户对于稳定的供应链信心不足，为保证安全库存进行了一些囤货。预计明年会从这个周期中走出，目前处于去库存尾声。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8、染发剂原料在现有客户市占率较高，是否有进一步提升空间？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答：公司会继续扩充染发剂原料产品线，更好地覆盖客户需求，同时持续进行迭代升级。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9、植保产品主要是哪些种类？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答：植保产品主要是</w:t>
            </w:r>
            <w:r>
              <w:rPr>
                <w:rFonts w:hint="default" w:ascii="宋体" w:hAnsi="宋体" w:eastAsia="宋体"/>
                <w:szCs w:val="21"/>
                <w:woUserID w:val="1"/>
              </w:rPr>
              <w:t>CDMO形式</w:t>
            </w:r>
            <w:r>
              <w:rPr>
                <w:rFonts w:hint="eastAsia" w:ascii="宋体" w:hAnsi="宋体" w:eastAsia="宋体"/>
                <w:szCs w:val="21"/>
              </w:rPr>
              <w:t>比较小众的添加剂，供给下游</w:t>
            </w:r>
            <w:r>
              <w:rPr>
                <w:rFonts w:hint="default" w:ascii="宋体" w:hAnsi="宋体" w:eastAsia="宋体"/>
                <w:szCs w:val="21"/>
                <w:woUserID w:val="1"/>
              </w:rPr>
              <w:t>植保</w:t>
            </w:r>
            <w:bookmarkStart w:id="5" w:name="_GoBack"/>
            <w:bookmarkEnd w:id="5"/>
            <w:r>
              <w:rPr>
                <w:rFonts w:hint="eastAsia" w:ascii="宋体" w:hAnsi="宋体" w:eastAsia="宋体"/>
                <w:szCs w:val="21"/>
              </w:rPr>
              <w:t>企业客户做配方。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1</w:t>
            </w:r>
            <w:r>
              <w:rPr>
                <w:rFonts w:ascii="宋体" w:hAnsi="宋体" w:eastAsia="宋体"/>
                <w:b/>
                <w:szCs w:val="21"/>
              </w:rPr>
              <w:t>0.</w:t>
            </w:r>
            <w:r>
              <w:rPr>
                <w:rFonts w:hint="eastAsia" w:ascii="宋体" w:hAnsi="宋体" w:eastAsia="宋体"/>
                <w:b/>
                <w:szCs w:val="21"/>
              </w:rPr>
              <w:t>公司产品出口美国的多吗？关税层面影响？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答：美国几乎没有，产品是送到客户在全球的工厂，基本都在美国之外，欧洲、亚洲、美洲其他国家如加拿大、墨西哥等。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附件清单（如有）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ascii="宋体" w:hAnsi="宋体" w:eastAsia="宋体"/>
        </w:rPr>
      </w:pPr>
    </w:p>
    <w:sectPr>
      <w:pgSz w:w="11905" w:h="16837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42"/>
    <w:rsid w:val="00001E89"/>
    <w:rsid w:val="00012DDB"/>
    <w:rsid w:val="00024917"/>
    <w:rsid w:val="0003057A"/>
    <w:rsid w:val="000658BB"/>
    <w:rsid w:val="00067C0F"/>
    <w:rsid w:val="00071B87"/>
    <w:rsid w:val="00083332"/>
    <w:rsid w:val="000862C2"/>
    <w:rsid w:val="000A51CD"/>
    <w:rsid w:val="000B22BB"/>
    <w:rsid w:val="000B4754"/>
    <w:rsid w:val="000B4F92"/>
    <w:rsid w:val="000C1E8F"/>
    <w:rsid w:val="000D2FFF"/>
    <w:rsid w:val="000D4720"/>
    <w:rsid w:val="000D69D6"/>
    <w:rsid w:val="000E31E9"/>
    <w:rsid w:val="0010055C"/>
    <w:rsid w:val="00117514"/>
    <w:rsid w:val="001271FE"/>
    <w:rsid w:val="001418B2"/>
    <w:rsid w:val="00170DFB"/>
    <w:rsid w:val="00186E8B"/>
    <w:rsid w:val="00197FCC"/>
    <w:rsid w:val="001C22E0"/>
    <w:rsid w:val="001C2AC8"/>
    <w:rsid w:val="001D3A4A"/>
    <w:rsid w:val="001E0B0C"/>
    <w:rsid w:val="0020419A"/>
    <w:rsid w:val="00226914"/>
    <w:rsid w:val="002345F9"/>
    <w:rsid w:val="002368E8"/>
    <w:rsid w:val="00280A39"/>
    <w:rsid w:val="00282153"/>
    <w:rsid w:val="00283A5E"/>
    <w:rsid w:val="002917C7"/>
    <w:rsid w:val="002A1CB9"/>
    <w:rsid w:val="002D2F63"/>
    <w:rsid w:val="002E69B2"/>
    <w:rsid w:val="002F4A13"/>
    <w:rsid w:val="00351E2F"/>
    <w:rsid w:val="00351FA7"/>
    <w:rsid w:val="00362585"/>
    <w:rsid w:val="003709B3"/>
    <w:rsid w:val="00387837"/>
    <w:rsid w:val="00396CCE"/>
    <w:rsid w:val="003A4163"/>
    <w:rsid w:val="003A7AF2"/>
    <w:rsid w:val="003B5CF1"/>
    <w:rsid w:val="003C7BD2"/>
    <w:rsid w:val="0042317A"/>
    <w:rsid w:val="00427965"/>
    <w:rsid w:val="00471152"/>
    <w:rsid w:val="004D1C8D"/>
    <w:rsid w:val="004F2224"/>
    <w:rsid w:val="004F4BCE"/>
    <w:rsid w:val="005200FB"/>
    <w:rsid w:val="00547A5A"/>
    <w:rsid w:val="00552184"/>
    <w:rsid w:val="00554AF0"/>
    <w:rsid w:val="0058063D"/>
    <w:rsid w:val="005851C3"/>
    <w:rsid w:val="005A2874"/>
    <w:rsid w:val="005C3896"/>
    <w:rsid w:val="005D5727"/>
    <w:rsid w:val="005D5D42"/>
    <w:rsid w:val="005E4742"/>
    <w:rsid w:val="00621E97"/>
    <w:rsid w:val="006338BF"/>
    <w:rsid w:val="00637C07"/>
    <w:rsid w:val="00676382"/>
    <w:rsid w:val="006844A1"/>
    <w:rsid w:val="00685609"/>
    <w:rsid w:val="00695C02"/>
    <w:rsid w:val="006A6758"/>
    <w:rsid w:val="006F47DD"/>
    <w:rsid w:val="00712D4A"/>
    <w:rsid w:val="007145A2"/>
    <w:rsid w:val="00717F04"/>
    <w:rsid w:val="00725570"/>
    <w:rsid w:val="007470C3"/>
    <w:rsid w:val="007536CE"/>
    <w:rsid w:val="00763483"/>
    <w:rsid w:val="007738E2"/>
    <w:rsid w:val="00775EEA"/>
    <w:rsid w:val="007A6A03"/>
    <w:rsid w:val="007B6078"/>
    <w:rsid w:val="007E1B91"/>
    <w:rsid w:val="007F319A"/>
    <w:rsid w:val="008017A4"/>
    <w:rsid w:val="008463B4"/>
    <w:rsid w:val="008629FE"/>
    <w:rsid w:val="0086428E"/>
    <w:rsid w:val="008763B1"/>
    <w:rsid w:val="008C36FC"/>
    <w:rsid w:val="008E36A6"/>
    <w:rsid w:val="009135DE"/>
    <w:rsid w:val="00916C12"/>
    <w:rsid w:val="00935E0D"/>
    <w:rsid w:val="00993A7C"/>
    <w:rsid w:val="0099432C"/>
    <w:rsid w:val="00996F52"/>
    <w:rsid w:val="009A5ACD"/>
    <w:rsid w:val="009B0976"/>
    <w:rsid w:val="009D78B0"/>
    <w:rsid w:val="00A2151D"/>
    <w:rsid w:val="00A62215"/>
    <w:rsid w:val="00A6323F"/>
    <w:rsid w:val="00A917B7"/>
    <w:rsid w:val="00A91A1A"/>
    <w:rsid w:val="00A93237"/>
    <w:rsid w:val="00AC5C62"/>
    <w:rsid w:val="00AD7D78"/>
    <w:rsid w:val="00AE11D7"/>
    <w:rsid w:val="00B14FA5"/>
    <w:rsid w:val="00B26E04"/>
    <w:rsid w:val="00B40263"/>
    <w:rsid w:val="00B45716"/>
    <w:rsid w:val="00B55F96"/>
    <w:rsid w:val="00B677DA"/>
    <w:rsid w:val="00B75149"/>
    <w:rsid w:val="00B84136"/>
    <w:rsid w:val="00B861B8"/>
    <w:rsid w:val="00B91893"/>
    <w:rsid w:val="00BC7EA6"/>
    <w:rsid w:val="00BE3C48"/>
    <w:rsid w:val="00BE3EA5"/>
    <w:rsid w:val="00BF3556"/>
    <w:rsid w:val="00BF389B"/>
    <w:rsid w:val="00C23691"/>
    <w:rsid w:val="00C40921"/>
    <w:rsid w:val="00C66694"/>
    <w:rsid w:val="00C75E9C"/>
    <w:rsid w:val="00CA54B4"/>
    <w:rsid w:val="00CE4306"/>
    <w:rsid w:val="00D0264D"/>
    <w:rsid w:val="00D47696"/>
    <w:rsid w:val="00D524A4"/>
    <w:rsid w:val="00D537CE"/>
    <w:rsid w:val="00D60FDB"/>
    <w:rsid w:val="00D63F4F"/>
    <w:rsid w:val="00D72FC3"/>
    <w:rsid w:val="00D74C2A"/>
    <w:rsid w:val="00DA345A"/>
    <w:rsid w:val="00DA4F4A"/>
    <w:rsid w:val="00DC47BE"/>
    <w:rsid w:val="00DC627F"/>
    <w:rsid w:val="00DE21C8"/>
    <w:rsid w:val="00E10EE3"/>
    <w:rsid w:val="00E27DD9"/>
    <w:rsid w:val="00E368A4"/>
    <w:rsid w:val="00E65272"/>
    <w:rsid w:val="00E93357"/>
    <w:rsid w:val="00E94DFD"/>
    <w:rsid w:val="00EA4974"/>
    <w:rsid w:val="00EB7128"/>
    <w:rsid w:val="00ED7639"/>
    <w:rsid w:val="00EE1F6D"/>
    <w:rsid w:val="00F00371"/>
    <w:rsid w:val="00F2242B"/>
    <w:rsid w:val="00F23B21"/>
    <w:rsid w:val="00F568BB"/>
    <w:rsid w:val="00F7344C"/>
    <w:rsid w:val="00F804B2"/>
    <w:rsid w:val="00F86713"/>
    <w:rsid w:val="00F9742E"/>
    <w:rsid w:val="00F97567"/>
    <w:rsid w:val="00FA2C79"/>
    <w:rsid w:val="00FD1C26"/>
    <w:rsid w:val="00FD651C"/>
    <w:rsid w:val="00FE6894"/>
    <w:rsid w:val="00FF27DA"/>
    <w:rsid w:val="1E5F37B7"/>
    <w:rsid w:val="3BAF3706"/>
    <w:rsid w:val="8B6E9B8E"/>
    <w:rsid w:val="8EAECAA3"/>
    <w:rsid w:val="D37D3322"/>
    <w:rsid w:val="DFFF6F3E"/>
    <w:rsid w:val="FC42FCF2"/>
    <w:rsid w:val="FDC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8" w:after="210"/>
      <w:outlineLvl w:val="0"/>
    </w:pPr>
    <w:rPr>
      <w:rFonts w:asciiTheme="minorHAnsi" w:hAnsiTheme="minorHAnsi" w:eastAsiaTheme="minorEastAsia" w:cstheme="minorBidi"/>
      <w:b/>
      <w:kern w:val="2"/>
      <w:sz w:val="3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qFormat/>
    <w:uiPriority w:val="0"/>
    <w:rPr>
      <w:sz w:val="18"/>
    </w:rPr>
  </w:style>
  <w:style w:type="paragraph" w:styleId="6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7">
    <w:name w:val="Normal (Web)"/>
    <w:basedOn w:val="1"/>
    <w:uiPriority w:val="0"/>
    <w:pPr>
      <w:widowControl/>
      <w:spacing w:before="100" w:after="100"/>
    </w:pPr>
    <w:rPr>
      <w:rFonts w:ascii="宋体" w:hAnsi="宋体" w:cs="宋体"/>
      <w:kern w:val="0"/>
      <w:sz w:val="24"/>
    </w:rPr>
  </w:style>
  <w:style w:type="table" w:styleId="9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纯文本 字符"/>
    <w:basedOn w:val="10"/>
    <w:uiPriority w:val="0"/>
    <w:rPr>
      <w:rFonts w:ascii="宋体" w:hAnsi="Courier New"/>
    </w:rPr>
  </w:style>
  <w:style w:type="character" w:customStyle="1" w:styleId="12">
    <w:name w:val="批注框文本 字符"/>
    <w:basedOn w:val="10"/>
    <w:uiPriority w:val="0"/>
    <w:rPr>
      <w:kern w:val="2"/>
      <w:sz w:val="18"/>
    </w:rPr>
  </w:style>
  <w:style w:type="character" w:customStyle="1" w:styleId="13">
    <w:name w:val="页脚 字符"/>
    <w:basedOn w:val="10"/>
    <w:uiPriority w:val="0"/>
    <w:rPr>
      <w:sz w:val="18"/>
    </w:rPr>
  </w:style>
  <w:style w:type="character" w:customStyle="1" w:styleId="14">
    <w:name w:val="页眉 字符"/>
    <w:basedOn w:val="10"/>
    <w:uiPriority w:val="0"/>
    <w:rPr>
      <w:sz w:val="18"/>
    </w:rPr>
  </w:style>
  <w:style w:type="paragraph" w:styleId="15">
    <w:name w:val="List Paragraph"/>
    <w:basedOn w:val="1"/>
    <w:uiPriority w:val="0"/>
    <w:pPr>
      <w:ind w:firstLine="420" w:firstLineChars="200"/>
    </w:pPr>
  </w:style>
  <w:style w:type="character" w:customStyle="1" w:styleId="16">
    <w:name w:val="hightlight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185</Words>
  <Characters>1058</Characters>
  <Lines>8</Lines>
  <Paragraphs>2</Paragraphs>
  <TotalTime>651</TotalTime>
  <ScaleCrop>false</ScaleCrop>
  <LinksUpToDate>false</LinksUpToDate>
  <CharactersWithSpaces>1241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2024-09-07T17:41:00Z</dcterms:created>
  <dc:creator>DingTalk</dc:creator>
  <dc:description>DingTalk Document</dc:description>
  <cp:lastModifiedBy>z</cp:lastModifiedBy>
  <dcterms:modified xsi:type="dcterms:W3CDTF">2024-12-02T15:13:00Z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