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AEC5C">
      <w:pPr>
        <w:spacing w:before="156" w:beforeLines="50" w:after="156" w:afterLines="50" w:line="400" w:lineRule="exact"/>
        <w:rPr>
          <w:rFonts w:ascii="宋体" w:hAnsi="宋体"/>
          <w:bCs/>
          <w:iCs/>
          <w:color w:val="000000"/>
          <w:sz w:val="24"/>
        </w:rPr>
      </w:pPr>
      <w:bookmarkStart w:id="0" w:name="_GoBack"/>
      <w:bookmarkEnd w:id="0"/>
      <w:r>
        <w:rPr>
          <w:rFonts w:hint="eastAsia" w:ascii="宋体" w:hAnsi="宋体" w:eastAsia="宋体"/>
          <w:bCs/>
          <w:iCs/>
          <w:color w:val="000000"/>
          <w:sz w:val="24"/>
        </w:rPr>
        <w:t>证券代码：688</w:t>
      </w:r>
      <w:r>
        <w:rPr>
          <w:rFonts w:ascii="宋体" w:hAnsi="宋体" w:eastAsia="宋体"/>
          <w:bCs/>
          <w:iCs/>
          <w:color w:val="000000"/>
          <w:sz w:val="24"/>
        </w:rPr>
        <w:t>717</w:t>
      </w:r>
      <w:r>
        <w:rPr>
          <w:rFonts w:hint="eastAsia" w:ascii="宋体" w:hAnsi="宋体" w:eastAsia="宋体"/>
          <w:bCs/>
          <w:iCs/>
          <w:color w:val="000000"/>
          <w:sz w:val="24"/>
        </w:rPr>
        <w:t xml:space="preserve"> </w:t>
      </w:r>
      <w:r>
        <w:rPr>
          <w:rFonts w:hint="eastAsia" w:ascii="宋体" w:hAnsi="宋体"/>
          <w:bCs/>
          <w:iCs/>
          <w:color w:val="000000"/>
          <w:sz w:val="24"/>
        </w:rPr>
        <w:t xml:space="preserve">                                </w:t>
      </w:r>
      <w:r>
        <w:rPr>
          <w:rFonts w:hint="eastAsia" w:ascii="宋体" w:hAnsi="宋体" w:eastAsia="宋体"/>
          <w:bCs/>
          <w:iCs/>
          <w:color w:val="000000"/>
          <w:sz w:val="24"/>
        </w:rPr>
        <w:t xml:space="preserve">  证券简称：艾罗能源</w:t>
      </w:r>
    </w:p>
    <w:p w14:paraId="702CA7F1">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浙江艾罗网络能源技术股份有限公司</w:t>
      </w:r>
    </w:p>
    <w:p w14:paraId="2E26A963">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29B86FE6">
      <w:pPr>
        <w:spacing w:line="400" w:lineRule="exact"/>
        <w:rPr>
          <w:rFonts w:ascii="宋体" w:hAnsi="宋体"/>
          <w:bCs/>
          <w:iCs/>
          <w:color w:val="000000"/>
          <w:sz w:val="24"/>
        </w:rPr>
      </w:pPr>
      <w:r>
        <w:rPr>
          <w:rFonts w:hint="eastAsia" w:ascii="宋体" w:hAnsi="宋体"/>
          <w:bCs/>
          <w:iCs/>
          <w:color w:val="000000"/>
          <w:sz w:val="24"/>
        </w:rPr>
        <w:t xml:space="preserve">                                                      编号：202</w:t>
      </w:r>
      <w:r>
        <w:rPr>
          <w:rFonts w:ascii="宋体" w:hAnsi="宋体"/>
          <w:bCs/>
          <w:iCs/>
          <w:color w:val="000000"/>
          <w:sz w:val="24"/>
        </w:rPr>
        <w:t>4</w:t>
      </w:r>
      <w:r>
        <w:rPr>
          <w:rFonts w:hint="eastAsia" w:ascii="宋体" w:hAnsi="宋体"/>
          <w:bCs/>
          <w:iCs/>
          <w:color w:val="000000"/>
          <w:sz w:val="24"/>
        </w:rPr>
        <w:t>-</w:t>
      </w:r>
      <w:r>
        <w:rPr>
          <w:rFonts w:ascii="宋体" w:hAnsi="宋体"/>
          <w:bCs/>
          <w:iCs/>
          <w:color w:val="000000"/>
          <w:sz w:val="24"/>
        </w:rPr>
        <w:t>00</w:t>
      </w:r>
      <w:r>
        <w:rPr>
          <w:rFonts w:hint="eastAsia" w:ascii="宋体" w:hAnsi="宋体"/>
          <w:bCs/>
          <w:iCs/>
          <w:color w:val="000000"/>
          <w:sz w:val="24"/>
        </w:rPr>
        <w:t>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03DE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4B357DEC">
            <w:pPr>
              <w:spacing w:line="480" w:lineRule="atLeast"/>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投资者关系活动类别</w:t>
            </w:r>
          </w:p>
        </w:tc>
        <w:tc>
          <w:tcPr>
            <w:tcW w:w="6614" w:type="dxa"/>
          </w:tcPr>
          <w:p w14:paraId="19D732FD">
            <w:pPr>
              <w:spacing w:line="360" w:lineRule="auto"/>
              <w:ind w:firstLine="480"/>
              <w:rPr>
                <w:rFonts w:ascii="Times New Roman" w:hAnsi="Times New Roman" w:eastAsia="宋体" w:cs="Times New Roman"/>
                <w:bCs/>
                <w:iCs/>
                <w:sz w:val="24"/>
                <w:szCs w:val="24"/>
              </w:rPr>
            </w:pPr>
            <w:r>
              <w:rPr>
                <w:rFonts w:ascii="Times New Roman" w:hAnsi="Times New Roman" w:eastAsia="宋体" w:cs="Times New Roman"/>
                <w:bCs/>
                <w:iCs/>
                <w:sz w:val="24"/>
                <w:szCs w:val="24"/>
              </w:rPr>
              <w:sym w:font="Wingdings 2" w:char="00A3"/>
            </w:r>
            <w:r>
              <w:rPr>
                <w:rFonts w:ascii="Times New Roman" w:hAnsi="Times New Roman" w:eastAsia="宋体" w:cs="Times New Roman"/>
                <w:sz w:val="24"/>
                <w:szCs w:val="24"/>
              </w:rPr>
              <w:t xml:space="preserve">特定对象调研        </w:t>
            </w:r>
            <w:r>
              <w:rPr>
                <w:rFonts w:hint="eastAsia" w:ascii="Times New Roman" w:hAnsi="Times New Roman" w:eastAsia="宋体" w:cs="Times New Roman"/>
                <w:sz w:val="24"/>
                <w:szCs w:val="24"/>
              </w:rPr>
              <w:t xml:space="preserve"> </w:t>
            </w:r>
            <w:r>
              <w:rPr>
                <w:rFonts w:hint="eastAsia" w:ascii="宋体" w:hAnsi="宋体" w:eastAsia="宋体"/>
                <w:bCs/>
                <w:iCs/>
                <w:sz w:val="24"/>
                <w:szCs w:val="24"/>
              </w:rPr>
              <w:t>□</w:t>
            </w:r>
            <w:r>
              <w:rPr>
                <w:rFonts w:ascii="Times New Roman" w:hAnsi="Times New Roman" w:eastAsia="宋体" w:cs="Times New Roman"/>
                <w:sz w:val="24"/>
                <w:szCs w:val="24"/>
              </w:rPr>
              <w:t>分析师会议</w:t>
            </w:r>
          </w:p>
          <w:p w14:paraId="2BC8E4A7">
            <w:pPr>
              <w:spacing w:line="360" w:lineRule="auto"/>
              <w:ind w:firstLine="480"/>
              <w:rPr>
                <w:rFonts w:ascii="Times New Roman" w:hAnsi="Times New Roman" w:eastAsia="宋体" w:cs="Times New Roman"/>
                <w:bCs/>
                <w:iCs/>
                <w:sz w:val="24"/>
                <w:szCs w:val="24"/>
              </w:rPr>
            </w:pPr>
            <w:r>
              <w:rPr>
                <w:rFonts w:hint="eastAsia" w:ascii="宋体" w:hAnsi="宋体" w:eastAsia="宋体"/>
                <w:bCs/>
                <w:iCs/>
                <w:sz w:val="24"/>
                <w:szCs w:val="24"/>
              </w:rPr>
              <w:t>□</w:t>
            </w:r>
            <w:r>
              <w:rPr>
                <w:rFonts w:ascii="Times New Roman" w:hAnsi="Times New Roman" w:eastAsia="宋体" w:cs="Times New Roman"/>
                <w:sz w:val="24"/>
                <w:szCs w:val="24"/>
              </w:rPr>
              <w:t xml:space="preserve">媒体采访             </w:t>
            </w:r>
            <w:r>
              <w:rPr>
                <w:rFonts w:hint="eastAsia" w:ascii="宋体" w:hAnsi="宋体" w:eastAsia="宋体"/>
                <w:bCs/>
                <w:iCs/>
                <w:sz w:val="24"/>
                <w:szCs w:val="24"/>
              </w:rPr>
              <w:t>☑</w:t>
            </w:r>
            <w:r>
              <w:rPr>
                <w:rFonts w:ascii="Times New Roman" w:hAnsi="Times New Roman" w:eastAsia="宋体" w:cs="Times New Roman"/>
                <w:sz w:val="24"/>
                <w:szCs w:val="24"/>
              </w:rPr>
              <w:t>业绩说明会</w:t>
            </w:r>
          </w:p>
          <w:p w14:paraId="5E637D8D">
            <w:pPr>
              <w:spacing w:line="360" w:lineRule="auto"/>
              <w:ind w:firstLine="480"/>
              <w:rPr>
                <w:rFonts w:ascii="Times New Roman" w:hAnsi="Times New Roman" w:eastAsia="宋体" w:cs="Times New Roman"/>
                <w:bCs/>
                <w:iCs/>
                <w:sz w:val="24"/>
                <w:szCs w:val="24"/>
              </w:rPr>
            </w:pPr>
            <w:r>
              <w:rPr>
                <w:rFonts w:hint="eastAsia" w:ascii="宋体" w:hAnsi="宋体" w:eastAsia="宋体"/>
                <w:bCs/>
                <w:iCs/>
                <w:sz w:val="24"/>
                <w:szCs w:val="24"/>
              </w:rPr>
              <w:t>□</w:t>
            </w:r>
            <w:r>
              <w:rPr>
                <w:rFonts w:ascii="Times New Roman" w:hAnsi="Times New Roman" w:eastAsia="宋体" w:cs="Times New Roman"/>
                <w:sz w:val="24"/>
                <w:szCs w:val="24"/>
              </w:rPr>
              <w:t xml:space="preserve">新闻发布会           </w:t>
            </w:r>
            <w:r>
              <w:rPr>
                <w:rFonts w:hint="eastAsia" w:ascii="宋体" w:hAnsi="宋体" w:eastAsia="宋体"/>
                <w:bCs/>
                <w:iCs/>
                <w:sz w:val="24"/>
                <w:szCs w:val="24"/>
              </w:rPr>
              <w:t>□</w:t>
            </w:r>
            <w:r>
              <w:rPr>
                <w:rFonts w:ascii="Times New Roman" w:hAnsi="Times New Roman" w:eastAsia="宋体" w:cs="Times New Roman"/>
                <w:sz w:val="24"/>
                <w:szCs w:val="24"/>
              </w:rPr>
              <w:t>路演活动</w:t>
            </w:r>
          </w:p>
          <w:p w14:paraId="20D866B8">
            <w:pPr>
              <w:tabs>
                <w:tab w:val="left" w:pos="2690"/>
                <w:tab w:val="center" w:pos="3199"/>
              </w:tabs>
              <w:spacing w:line="360" w:lineRule="auto"/>
              <w:ind w:firstLine="480"/>
              <w:rPr>
                <w:rFonts w:ascii="Times New Roman" w:hAnsi="Times New Roman" w:eastAsia="宋体" w:cs="Times New Roman"/>
                <w:bCs/>
                <w:iCs/>
                <w:sz w:val="24"/>
                <w:szCs w:val="24"/>
              </w:rPr>
            </w:pPr>
            <w:r>
              <w:rPr>
                <w:rFonts w:ascii="Times New Roman" w:hAnsi="Times New Roman" w:eastAsia="宋体" w:cs="Times New Roman"/>
                <w:bCs/>
                <w:iCs/>
                <w:sz w:val="24"/>
                <w:szCs w:val="24"/>
              </w:rPr>
              <w:sym w:font="Wingdings 2" w:char="00A3"/>
            </w:r>
            <w:r>
              <w:rPr>
                <w:rFonts w:ascii="Times New Roman" w:hAnsi="Times New Roman" w:eastAsia="宋体" w:cs="Times New Roman"/>
                <w:sz w:val="24"/>
                <w:szCs w:val="24"/>
              </w:rPr>
              <w:t xml:space="preserve">现场参观             </w:t>
            </w:r>
            <w:r>
              <w:rPr>
                <w:rFonts w:hint="eastAsia" w:ascii="宋体" w:hAnsi="宋体" w:eastAsia="宋体"/>
                <w:bCs/>
                <w:iCs/>
                <w:sz w:val="24"/>
                <w:szCs w:val="24"/>
              </w:rPr>
              <w:t>□</w:t>
            </w:r>
            <w:r>
              <w:rPr>
                <w:rFonts w:ascii="Times New Roman" w:hAnsi="Times New Roman" w:eastAsia="宋体" w:cs="Times New Roman"/>
                <w:sz w:val="24"/>
                <w:szCs w:val="24"/>
              </w:rPr>
              <w:t>电话会议</w:t>
            </w:r>
          </w:p>
          <w:p w14:paraId="423DC6A0">
            <w:pPr>
              <w:spacing w:line="360" w:lineRule="auto"/>
              <w:ind w:firstLine="480"/>
              <w:rPr>
                <w:rFonts w:ascii="Times New Roman" w:hAnsi="Times New Roman" w:eastAsia="宋体" w:cs="Times New Roman"/>
                <w:bCs/>
                <w:iCs/>
                <w:color w:val="000000"/>
                <w:sz w:val="24"/>
              </w:rPr>
            </w:pPr>
            <w:r>
              <w:rPr>
                <w:rFonts w:hint="eastAsia" w:ascii="宋体" w:hAnsi="宋体" w:eastAsia="宋体"/>
                <w:bCs/>
                <w:iCs/>
                <w:sz w:val="24"/>
                <w:szCs w:val="24"/>
              </w:rPr>
              <w:t>□</w:t>
            </w:r>
            <w:r>
              <w:rPr>
                <w:rFonts w:ascii="Times New Roman" w:hAnsi="Times New Roman" w:eastAsia="宋体" w:cs="Times New Roman"/>
                <w:bCs/>
                <w:iCs/>
                <w:sz w:val="24"/>
                <w:szCs w:val="24"/>
              </w:rPr>
              <w:t>其他 （请文字说明其他活动内容）</w:t>
            </w:r>
          </w:p>
        </w:tc>
      </w:tr>
      <w:tr w14:paraId="76B7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08" w:type="dxa"/>
            <w:vAlign w:val="center"/>
          </w:tcPr>
          <w:p w14:paraId="3757E0A3">
            <w:pPr>
              <w:spacing w:line="480" w:lineRule="atLeast"/>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参与单位名称</w:t>
            </w:r>
            <w:r>
              <w:rPr>
                <w:rFonts w:hint="eastAsia" w:ascii="Times New Roman" w:hAnsi="Times New Roman" w:eastAsia="宋体" w:cs="Times New Roman"/>
                <w:bCs/>
                <w:iCs/>
                <w:color w:val="000000"/>
                <w:sz w:val="24"/>
              </w:rPr>
              <w:t>及人员姓名</w:t>
            </w:r>
          </w:p>
        </w:tc>
        <w:tc>
          <w:tcPr>
            <w:tcW w:w="6614" w:type="dxa"/>
            <w:vAlign w:val="center"/>
          </w:tcPr>
          <w:p w14:paraId="059FD7CC">
            <w:pPr>
              <w:spacing w:line="360" w:lineRule="auto"/>
              <w:rPr>
                <w:rFonts w:ascii="Times New Roman" w:hAnsi="Times New Roman" w:eastAsia="宋体" w:cs="Times New Roman"/>
                <w:sz w:val="24"/>
                <w:szCs w:val="21"/>
              </w:rPr>
            </w:pPr>
            <w:r>
              <w:rPr>
                <w:rFonts w:ascii="Times New Roman" w:hAnsi="Times New Roman" w:eastAsia="宋体" w:cs="Times New Roman"/>
                <w:sz w:val="24"/>
                <w:szCs w:val="21"/>
              </w:rPr>
              <w:t>通过上海证券交易所上证路演中心参与公司2024年</w:t>
            </w:r>
            <w:r>
              <w:rPr>
                <w:rFonts w:hint="eastAsia" w:ascii="Times New Roman" w:hAnsi="Times New Roman" w:eastAsia="宋体" w:cs="Times New Roman"/>
                <w:sz w:val="24"/>
                <w:szCs w:val="21"/>
              </w:rPr>
              <w:t>第三季度</w:t>
            </w:r>
            <w:r>
              <w:rPr>
                <w:rFonts w:ascii="Times New Roman" w:hAnsi="Times New Roman" w:eastAsia="宋体" w:cs="Times New Roman"/>
                <w:sz w:val="24"/>
                <w:szCs w:val="21"/>
              </w:rPr>
              <w:t>业绩说明会的投资者</w:t>
            </w:r>
          </w:p>
        </w:tc>
      </w:tr>
      <w:tr w14:paraId="3AAD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908" w:type="dxa"/>
            <w:vAlign w:val="center"/>
          </w:tcPr>
          <w:p w14:paraId="5D386762">
            <w:pPr>
              <w:spacing w:line="480" w:lineRule="atLeast"/>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时间</w:t>
            </w:r>
          </w:p>
        </w:tc>
        <w:tc>
          <w:tcPr>
            <w:tcW w:w="6614" w:type="dxa"/>
          </w:tcPr>
          <w:p w14:paraId="2A962428">
            <w:pPr>
              <w:spacing w:line="480" w:lineRule="atLeast"/>
              <w:rPr>
                <w:rFonts w:ascii="Times New Roman" w:hAnsi="Times New Roman" w:eastAsia="宋体" w:cs="Times New Roman"/>
                <w:bCs/>
                <w:iCs/>
                <w:color w:val="000000"/>
                <w:sz w:val="24"/>
              </w:rPr>
            </w:pPr>
            <w:r>
              <w:rPr>
                <w:rFonts w:hint="eastAsia" w:ascii="Times New Roman" w:hAnsi="Times New Roman" w:eastAsia="宋体" w:cs="Times New Roman"/>
                <w:bCs/>
                <w:iCs/>
                <w:color w:val="000000"/>
                <w:sz w:val="24"/>
              </w:rPr>
              <w:t>2024年12月04日</w:t>
            </w:r>
            <w:r>
              <w:rPr>
                <w:rFonts w:ascii="Times New Roman" w:hAnsi="Times New Roman" w:eastAsia="宋体" w:cs="Times New Roman"/>
                <w:bCs/>
                <w:iCs/>
                <w:color w:val="000000"/>
                <w:sz w:val="24"/>
              </w:rPr>
              <w:t>（</w:t>
            </w:r>
            <w:r>
              <w:rPr>
                <w:rFonts w:hint="eastAsia" w:ascii="Times New Roman" w:hAnsi="Times New Roman" w:eastAsia="宋体" w:cs="Times New Roman"/>
                <w:bCs/>
                <w:iCs/>
                <w:color w:val="000000"/>
                <w:sz w:val="24"/>
              </w:rPr>
              <w:t>星期三</w:t>
            </w:r>
            <w:r>
              <w:rPr>
                <w:rFonts w:ascii="Times New Roman" w:hAnsi="Times New Roman" w:eastAsia="宋体" w:cs="Times New Roman"/>
                <w:bCs/>
                <w:iCs/>
                <w:color w:val="000000"/>
                <w:sz w:val="24"/>
              </w:rPr>
              <w:t>）</w:t>
            </w:r>
            <w:r>
              <w:rPr>
                <w:rFonts w:hint="eastAsia" w:ascii="Times New Roman" w:hAnsi="Times New Roman" w:eastAsia="宋体" w:cs="Times New Roman"/>
                <w:bCs/>
                <w:iCs/>
                <w:color w:val="000000"/>
                <w:sz w:val="24"/>
              </w:rPr>
              <w:t xml:space="preserve"> 下午 13:00-14:00</w:t>
            </w:r>
          </w:p>
        </w:tc>
      </w:tr>
      <w:tr w14:paraId="0E27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1908" w:type="dxa"/>
            <w:vAlign w:val="center"/>
          </w:tcPr>
          <w:p w14:paraId="0CA22949">
            <w:pPr>
              <w:spacing w:line="360" w:lineRule="auto"/>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地点</w:t>
            </w:r>
          </w:p>
        </w:tc>
        <w:tc>
          <w:tcPr>
            <w:tcW w:w="6614" w:type="dxa"/>
            <w:vAlign w:val="center"/>
          </w:tcPr>
          <w:p w14:paraId="0A2F1C16">
            <w:pPr>
              <w:spacing w:line="360" w:lineRule="auto"/>
              <w:rPr>
                <w:rFonts w:ascii="Times New Roman" w:hAnsi="Times New Roman" w:eastAsia="宋体" w:cs="Times New Roman"/>
                <w:bCs/>
                <w:iCs/>
                <w:color w:val="000000"/>
                <w:sz w:val="24"/>
              </w:rPr>
            </w:pPr>
            <w:r>
              <w:rPr>
                <w:rFonts w:hint="eastAsia" w:ascii="Times New Roman" w:hAnsi="Times New Roman" w:eastAsia="宋体" w:cs="Times New Roman"/>
                <w:bCs/>
                <w:iCs/>
                <w:color w:val="000000"/>
                <w:sz w:val="24"/>
              </w:rPr>
              <w:t>上海证券</w:t>
            </w:r>
            <w:r>
              <w:rPr>
                <w:rFonts w:ascii="Times New Roman" w:hAnsi="Times New Roman" w:eastAsia="宋体" w:cs="Times New Roman"/>
                <w:bCs/>
                <w:iCs/>
                <w:color w:val="000000"/>
                <w:sz w:val="24"/>
              </w:rPr>
              <w:t>交易所上证路演中心</w:t>
            </w:r>
          </w:p>
          <w:p w14:paraId="59190B8F">
            <w:pPr>
              <w:spacing w:line="360" w:lineRule="auto"/>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w:t>
            </w:r>
            <w:r>
              <w:rPr>
                <w:rFonts w:hint="eastAsia" w:ascii="Times New Roman" w:hAnsi="Times New Roman" w:eastAsia="宋体" w:cs="Times New Roman"/>
                <w:bCs/>
                <w:iCs/>
                <w:color w:val="000000"/>
                <w:sz w:val="24"/>
              </w:rPr>
              <w:t>网址</w:t>
            </w:r>
            <w:r>
              <w:rPr>
                <w:rFonts w:ascii="Times New Roman" w:hAnsi="Times New Roman" w:eastAsia="宋体" w:cs="Times New Roman"/>
                <w:bCs/>
                <w:iCs/>
                <w:color w:val="000000"/>
                <w:sz w:val="24"/>
              </w:rPr>
              <w:t>：https://roadshow.sseinfo.com）</w:t>
            </w:r>
          </w:p>
        </w:tc>
      </w:tr>
      <w:tr w14:paraId="5E5A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5E567555">
            <w:pPr>
              <w:spacing w:line="276" w:lineRule="auto"/>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上市公司接待</w:t>
            </w:r>
          </w:p>
          <w:p w14:paraId="35269823">
            <w:pPr>
              <w:spacing w:line="276" w:lineRule="auto"/>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人员姓名</w:t>
            </w:r>
          </w:p>
        </w:tc>
        <w:tc>
          <w:tcPr>
            <w:tcW w:w="6614" w:type="dxa"/>
            <w:vAlign w:val="center"/>
          </w:tcPr>
          <w:p w14:paraId="0C92BC9E">
            <w:pPr>
              <w:spacing w:line="276" w:lineRule="auto"/>
              <w:jc w:val="left"/>
              <w:rPr>
                <w:rFonts w:ascii="Times New Roman" w:hAnsi="Times New Roman" w:eastAsia="宋体" w:cs="Times New Roman"/>
                <w:bCs/>
                <w:iCs/>
                <w:color w:val="000000"/>
                <w:sz w:val="24"/>
              </w:rPr>
            </w:pPr>
            <w:r>
              <w:rPr>
                <w:rFonts w:hint="eastAsia" w:ascii="Times New Roman" w:hAnsi="Times New Roman" w:eastAsia="宋体" w:cs="Times New Roman"/>
                <w:bCs/>
                <w:iCs/>
                <w:color w:val="000000"/>
                <w:sz w:val="24"/>
              </w:rPr>
              <w:t>董事长、总经理：李新富先生</w:t>
            </w:r>
          </w:p>
          <w:p w14:paraId="2C5E38F8">
            <w:pPr>
              <w:spacing w:line="276" w:lineRule="auto"/>
              <w:jc w:val="left"/>
              <w:rPr>
                <w:rFonts w:ascii="Times New Roman" w:hAnsi="Times New Roman" w:eastAsia="宋体" w:cs="Times New Roman"/>
                <w:bCs/>
                <w:iCs/>
                <w:color w:val="000000"/>
                <w:sz w:val="24"/>
              </w:rPr>
            </w:pPr>
            <w:r>
              <w:rPr>
                <w:rFonts w:hint="eastAsia" w:ascii="Times New Roman" w:hAnsi="Times New Roman" w:eastAsia="宋体" w:cs="Times New Roman"/>
                <w:bCs/>
                <w:iCs/>
                <w:color w:val="000000"/>
                <w:sz w:val="24"/>
              </w:rPr>
              <w:t>董事会秘书：盛建富先生</w:t>
            </w:r>
          </w:p>
          <w:p w14:paraId="325908D6">
            <w:pPr>
              <w:spacing w:line="276" w:lineRule="auto"/>
              <w:jc w:val="left"/>
              <w:rPr>
                <w:rFonts w:ascii="Times New Roman" w:hAnsi="Times New Roman" w:eastAsia="宋体" w:cs="Times New Roman"/>
                <w:bCs/>
                <w:iCs/>
                <w:color w:val="000000"/>
                <w:sz w:val="24"/>
              </w:rPr>
            </w:pPr>
            <w:r>
              <w:rPr>
                <w:rFonts w:hint="eastAsia" w:ascii="Times New Roman" w:hAnsi="Times New Roman" w:eastAsia="宋体" w:cs="Times New Roman"/>
                <w:bCs/>
                <w:iCs/>
                <w:color w:val="000000"/>
                <w:sz w:val="24"/>
              </w:rPr>
              <w:t>财务总监</w:t>
            </w:r>
            <w:r>
              <w:rPr>
                <w:rFonts w:ascii="Times New Roman" w:hAnsi="Times New Roman" w:eastAsia="宋体" w:cs="Times New Roman"/>
                <w:bCs/>
                <w:iCs/>
                <w:color w:val="000000"/>
                <w:sz w:val="24"/>
              </w:rPr>
              <w:t>：</w:t>
            </w:r>
            <w:r>
              <w:rPr>
                <w:rFonts w:hint="eastAsia" w:ascii="Times New Roman" w:hAnsi="Times New Roman" w:eastAsia="宋体" w:cs="Times New Roman"/>
                <w:bCs/>
                <w:iCs/>
                <w:color w:val="000000"/>
                <w:sz w:val="24"/>
              </w:rPr>
              <w:t>闫强先生</w:t>
            </w:r>
          </w:p>
          <w:p w14:paraId="2220D240">
            <w:pPr>
              <w:spacing w:line="276" w:lineRule="auto"/>
              <w:jc w:val="left"/>
              <w:rPr>
                <w:rFonts w:ascii="Times New Roman" w:hAnsi="Times New Roman" w:eastAsia="宋体" w:cs="Times New Roman"/>
                <w:bCs/>
                <w:iCs/>
                <w:color w:val="000000"/>
                <w:sz w:val="24"/>
              </w:rPr>
            </w:pPr>
            <w:r>
              <w:rPr>
                <w:rFonts w:hint="eastAsia" w:ascii="Times New Roman" w:hAnsi="Times New Roman" w:eastAsia="宋体" w:cs="Times New Roman"/>
                <w:bCs/>
                <w:iCs/>
                <w:color w:val="000000"/>
                <w:sz w:val="24"/>
              </w:rPr>
              <w:t>独立董事：邹盛武先生</w:t>
            </w:r>
          </w:p>
        </w:tc>
      </w:tr>
      <w:tr w14:paraId="19D3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1339C959">
            <w:pPr>
              <w:spacing w:line="360" w:lineRule="auto"/>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投资者关系活动主要内容介绍</w:t>
            </w:r>
          </w:p>
          <w:p w14:paraId="1F586925">
            <w:pPr>
              <w:spacing w:line="360" w:lineRule="auto"/>
              <w:rPr>
                <w:rFonts w:ascii="Times New Roman" w:hAnsi="Times New Roman" w:eastAsia="宋体" w:cs="Times New Roman"/>
                <w:bCs/>
                <w:iCs/>
                <w:color w:val="000000"/>
                <w:sz w:val="24"/>
              </w:rPr>
            </w:pPr>
          </w:p>
        </w:tc>
        <w:tc>
          <w:tcPr>
            <w:tcW w:w="6614" w:type="dxa"/>
          </w:tcPr>
          <w:p w14:paraId="470E30F7">
            <w:pPr>
              <w:pStyle w:val="14"/>
              <w:ind w:firstLine="482"/>
              <w:rPr>
                <w:rFonts w:ascii="宋体" w:hAnsi="宋体" w:cs="宋体"/>
                <w:b/>
                <w:bCs w:val="0"/>
              </w:rPr>
            </w:pPr>
            <w:r>
              <w:rPr>
                <w:rFonts w:hint="eastAsia" w:ascii="宋体" w:hAnsi="宋体" w:cs="宋体"/>
                <w:b/>
                <w:bCs w:val="0"/>
              </w:rPr>
              <w:t>一、</w:t>
            </w:r>
            <w:r>
              <w:rPr>
                <w:rFonts w:hint="eastAsia" w:ascii="宋体" w:hAnsi="宋体" w:cs="宋体"/>
                <w:b/>
                <w:szCs w:val="21"/>
              </w:rPr>
              <w:t>2024年三季度概述</w:t>
            </w:r>
          </w:p>
          <w:p w14:paraId="364C2682">
            <w:pPr>
              <w:pStyle w:val="14"/>
              <w:rPr>
                <w:rFonts w:ascii="宋体" w:hAnsi="宋体" w:cs="宋体"/>
              </w:rPr>
            </w:pPr>
            <w:r>
              <w:rPr>
                <w:rFonts w:hint="eastAsia" w:ascii="宋体" w:hAnsi="宋体" w:cs="宋体"/>
              </w:rPr>
              <w:t>2024年第三季度，公司实现营业收入82,331.26万元，同比增长35.39%；归属于上市公司股东的净利润5,746.50万元，同比增长33.96%；归属于上市公司股东的扣除非经常性损益的净利润6,316.23万元，同比增长51.74%。</w:t>
            </w:r>
          </w:p>
          <w:p w14:paraId="226E29F6">
            <w:pPr>
              <w:pStyle w:val="14"/>
              <w:rPr>
                <w:rFonts w:ascii="宋体" w:hAnsi="宋体" w:cs="宋体"/>
              </w:rPr>
            </w:pPr>
            <w:r>
              <w:rPr>
                <w:rFonts w:hint="eastAsia" w:ascii="宋体" w:hAnsi="宋体" w:cs="宋体"/>
              </w:rPr>
              <w:t>2024年1-9月，公司实现营业收入24.07亿元，同比下降39.93%；归属于上市公司股东的净利润1.6亿元，同比减少84.24%；归属于上市公司股东的扣除非经常性损益的净利润1.29亿元，同比减少87.19%。公司前三季度综合毛利率37.26%。</w:t>
            </w:r>
          </w:p>
          <w:p w14:paraId="774C88F2">
            <w:pPr>
              <w:pStyle w:val="14"/>
              <w:rPr>
                <w:rFonts w:ascii="宋体" w:hAnsi="宋体" w:cs="宋体"/>
              </w:rPr>
            </w:pPr>
            <w:r>
              <w:rPr>
                <w:rFonts w:hint="eastAsia" w:ascii="宋体" w:hAnsi="宋体" w:cs="宋体"/>
              </w:rPr>
              <w:t>公司坚持产品创新和技术迭代，增加研发投入，2024年前三季度研发投入合计3.84亿元，同比增长88.88%。</w:t>
            </w:r>
          </w:p>
          <w:p w14:paraId="4E2EB029">
            <w:pPr>
              <w:pStyle w:val="14"/>
              <w:ind w:firstLine="482"/>
              <w:rPr>
                <w:rFonts w:ascii="宋体" w:hAnsi="宋体" w:cs="宋体"/>
                <w:b/>
                <w:bCs w:val="0"/>
              </w:rPr>
            </w:pPr>
            <w:r>
              <w:rPr>
                <w:rFonts w:hint="eastAsia" w:ascii="宋体" w:hAnsi="宋体" w:cs="宋体"/>
                <w:b/>
                <w:bCs w:val="0"/>
              </w:rPr>
              <w:t>二、互动交流环节</w:t>
            </w:r>
          </w:p>
          <w:p w14:paraId="702905A9">
            <w:pPr>
              <w:pStyle w:val="14"/>
              <w:ind w:firstLine="482"/>
              <w:rPr>
                <w:rFonts w:ascii="宋体" w:hAnsi="宋体" w:cs="宋体"/>
                <w:b/>
                <w:bCs w:val="0"/>
              </w:rPr>
            </w:pPr>
            <w:r>
              <w:rPr>
                <w:rFonts w:hint="eastAsia" w:ascii="宋体" w:hAnsi="宋体" w:cs="宋体"/>
                <w:b/>
                <w:bCs w:val="0"/>
              </w:rPr>
              <w:t>1：公司今年第三季度毛利率多少？同、环比情况如何？原因是？预计第四季度毛利率情况如何？</w:t>
            </w:r>
          </w:p>
          <w:p w14:paraId="70CB0C64">
            <w:pPr>
              <w:pStyle w:val="14"/>
              <w:rPr>
                <w:rFonts w:ascii="宋体" w:hAnsi="宋体" w:cs="宋体"/>
                <w:b/>
                <w:bCs w:val="0"/>
              </w:rPr>
            </w:pPr>
            <w:r>
              <w:rPr>
                <w:rFonts w:ascii="宋体" w:hAnsi="宋体" w:cs="宋体"/>
              </w:rPr>
              <w:t>公司2024年第三季度毛利率约为35.4%，环比下降1.5个百分点，主要原因系客户地区结构和产品结构的变动，属于正常波动。</w:t>
            </w:r>
          </w:p>
          <w:p w14:paraId="38A75D07">
            <w:pPr>
              <w:pStyle w:val="14"/>
              <w:ind w:firstLine="482"/>
              <w:rPr>
                <w:rFonts w:ascii="宋体" w:hAnsi="宋体" w:cs="宋体"/>
                <w:b/>
              </w:rPr>
            </w:pPr>
            <w:r>
              <w:rPr>
                <w:rFonts w:hint="eastAsia" w:ascii="宋体" w:hAnsi="宋体" w:cs="宋体"/>
                <w:b/>
              </w:rPr>
              <w:t>2</w:t>
            </w:r>
            <w:r>
              <w:rPr>
                <w:rFonts w:hint="eastAsia" w:ascii="宋体" w:hAnsi="宋体" w:cs="宋体"/>
                <w:b/>
                <w:lang w:eastAsia="zh-CN"/>
              </w:rPr>
              <w:t>：</w:t>
            </w:r>
            <w:r>
              <w:rPr>
                <w:rFonts w:ascii="宋体" w:hAnsi="宋体" w:cs="宋体"/>
                <w:b/>
              </w:rPr>
              <w:t>9月份公告的大储项目目前进展到哪了？资金是否筹集到位？是否影响公司现金流情况？</w:t>
            </w:r>
          </w:p>
          <w:p w14:paraId="07A8A366">
            <w:pPr>
              <w:pStyle w:val="14"/>
              <w:rPr>
                <w:rFonts w:ascii="宋体" w:hAnsi="宋体" w:cs="宋体"/>
                <w:bCs w:val="0"/>
              </w:rPr>
            </w:pPr>
            <w:r>
              <w:rPr>
                <w:rFonts w:hint="eastAsia" w:ascii="宋体" w:hAnsi="宋体" w:cs="宋体"/>
                <w:bCs w:val="0"/>
              </w:rPr>
              <w:t>2024年10月，公司已与桐庐经济开发区管理委员会签订投资协议书，本项目的投资事项正在按照协议约定正常推进中，本项目资金来源属于自有或自筹资金。</w:t>
            </w:r>
          </w:p>
          <w:p w14:paraId="6B9128F7">
            <w:pPr>
              <w:pStyle w:val="14"/>
              <w:ind w:firstLine="482"/>
              <w:rPr>
                <w:rFonts w:ascii="宋体" w:hAnsi="宋体" w:cs="宋体"/>
                <w:b/>
              </w:rPr>
            </w:pPr>
            <w:r>
              <w:rPr>
                <w:rFonts w:hint="eastAsia" w:ascii="宋体" w:hAnsi="宋体" w:cs="宋体"/>
                <w:b/>
              </w:rPr>
              <w:t>3</w:t>
            </w:r>
            <w:r>
              <w:rPr>
                <w:rFonts w:ascii="宋体" w:hAnsi="宋体" w:cs="宋体"/>
                <w:b/>
              </w:rPr>
              <w:t>：国内业务进展怎么样</w:t>
            </w:r>
          </w:p>
          <w:p w14:paraId="3ADD6C50">
            <w:pPr>
              <w:pStyle w:val="14"/>
              <w:rPr>
                <w:rFonts w:cs="宋体"/>
              </w:rPr>
            </w:pPr>
            <w:r>
              <w:rPr>
                <w:rFonts w:cs="宋体"/>
              </w:rPr>
              <w:t>国内市场方面，公司积极参与行业标准的制定，持续推进国内光储充一体化产品落地及应用推广。公司凭借在户用产品领域的产品及经验优势，积极开发国内户用储能应用场景，加速光储充一体化应用在国内的布局。</w:t>
            </w:r>
          </w:p>
          <w:p w14:paraId="61D48BDA">
            <w:pPr>
              <w:pStyle w:val="14"/>
              <w:ind w:firstLine="482"/>
              <w:rPr>
                <w:rFonts w:ascii="宋体" w:hAnsi="宋体" w:cs="宋体"/>
                <w:b/>
              </w:rPr>
            </w:pPr>
            <w:r>
              <w:rPr>
                <w:rFonts w:hint="eastAsia" w:ascii="宋体" w:hAnsi="宋体" w:cs="宋体"/>
                <w:b/>
              </w:rPr>
              <w:t>4</w:t>
            </w:r>
            <w:r>
              <w:rPr>
                <w:rFonts w:ascii="宋体" w:hAnsi="宋体" w:cs="宋体"/>
                <w:b/>
              </w:rPr>
              <w:t>：</w:t>
            </w:r>
            <w:r>
              <w:rPr>
                <w:rFonts w:hint="eastAsia" w:ascii="宋体" w:hAnsi="宋体" w:cs="宋体"/>
                <w:b/>
                <w:lang w:eastAsia="zh-CN"/>
              </w:rPr>
              <w:t>（1）</w:t>
            </w:r>
            <w:r>
              <w:rPr>
                <w:rFonts w:ascii="宋体" w:hAnsi="宋体" w:cs="宋体"/>
                <w:b/>
              </w:rPr>
              <w:t>目前公司在手订单多少？产能如何？产能利用率多少？</w:t>
            </w:r>
            <w:r>
              <w:rPr>
                <w:rFonts w:hint="eastAsia" w:ascii="宋体" w:hAnsi="宋体" w:cs="宋体"/>
                <w:b/>
                <w:lang w:eastAsia="zh-CN"/>
              </w:rPr>
              <w:t>（2）</w:t>
            </w:r>
            <w:r>
              <w:rPr>
                <w:rFonts w:ascii="宋体" w:hAnsi="宋体" w:cs="宋体"/>
                <w:b/>
              </w:rPr>
              <w:t>今年以来，公司订单量多少？今年整体营收预期是多少？</w:t>
            </w:r>
          </w:p>
          <w:p w14:paraId="75E50047">
            <w:pPr>
              <w:pStyle w:val="14"/>
            </w:pPr>
            <w:r>
              <w:t>公司在手订单及年度营收等相关经营情况请您持续关注公司后续将披露的临时公告及定期报告。</w:t>
            </w:r>
          </w:p>
          <w:p w14:paraId="08B96CF8">
            <w:pPr>
              <w:pStyle w:val="14"/>
              <w:ind w:firstLine="482"/>
            </w:pPr>
            <w:r>
              <w:rPr>
                <w:b/>
                <w:bCs w:val="0"/>
              </w:rPr>
              <w:t>5：</w:t>
            </w:r>
            <w:r>
              <w:rPr>
                <w:rFonts w:hint="eastAsia"/>
                <w:b/>
                <w:bCs w:val="0"/>
                <w:lang w:eastAsia="zh-CN"/>
              </w:rPr>
              <w:t>（1）</w:t>
            </w:r>
            <w:r>
              <w:rPr>
                <w:b/>
                <w:bCs w:val="0"/>
              </w:rPr>
              <w:t>公司300-320大功率组串式并网逆变器研发进展情况如何了？看半年报累计投入已经超过原先规划了，但还在研发阶段。</w:t>
            </w:r>
            <w:r>
              <w:rPr>
                <w:rFonts w:hint="eastAsia"/>
                <w:b/>
                <w:bCs w:val="0"/>
                <w:lang w:eastAsia="zh-CN"/>
              </w:rPr>
              <w:t>（2）</w:t>
            </w:r>
            <w:r>
              <w:rPr>
                <w:b/>
                <w:bCs w:val="0"/>
              </w:rPr>
              <w:t>公司在研发投入增长明显，请问目前有哪些研发成果分享？公司未来的研发重点在哪？是否还会在此基础上加大研发投入，包括人员、资金等。</w:t>
            </w:r>
          </w:p>
          <w:p w14:paraId="3C8C5CB3">
            <w:pPr>
              <w:pStyle w:val="14"/>
            </w:pPr>
            <w:r>
              <w:rPr>
                <w:rFonts w:hint="eastAsia"/>
                <w:lang w:eastAsia="zh-CN"/>
              </w:rPr>
              <w:t>（1）</w:t>
            </w:r>
            <w:r>
              <w:rPr>
                <w:rFonts w:hint="eastAsia"/>
              </w:rPr>
              <w:t>320-350大功率组串式并网逆变器部分型号已经小批量发货；</w:t>
            </w:r>
            <w:r>
              <w:rPr>
                <w:rFonts w:hint="eastAsia"/>
                <w:lang w:eastAsia="zh-CN"/>
              </w:rPr>
              <w:t>（2）</w:t>
            </w:r>
            <w:r>
              <w:rPr>
                <w:rFonts w:hint="eastAsia"/>
              </w:rPr>
              <w:t>2024年向市场推出了多款新产品，包括AELIO系列和TRENE系列工商业储能产品、户用低压单相储能逆变器、低压储能电池，微型逆变器等产品，持续丰富产品线及产品应用场景。同时公司持续加大新产品研发力度，公司的大储，热泵等产品正在研发中，以及对原有产品进行升级换代。</w:t>
            </w:r>
          </w:p>
          <w:p w14:paraId="2AB4D7FD">
            <w:pPr>
              <w:pStyle w:val="14"/>
              <w:ind w:firstLine="482"/>
            </w:pPr>
            <w:r>
              <w:rPr>
                <w:rFonts w:hint="eastAsia"/>
                <w:b/>
                <w:bCs w:val="0"/>
              </w:rPr>
              <w:t>6</w:t>
            </w:r>
            <w:r>
              <w:rPr>
                <w:rFonts w:hint="eastAsia"/>
                <w:b/>
                <w:bCs w:val="0"/>
                <w:lang w:eastAsia="zh-CN"/>
              </w:rPr>
              <w:t>：</w:t>
            </w:r>
            <w:r>
              <w:rPr>
                <w:rFonts w:hint="eastAsia"/>
                <w:b/>
                <w:bCs w:val="0"/>
              </w:rPr>
              <w:t>公司目前在国内外的收入比重分别占多少？海外布局情况来看，未来1-2年，会重点布局哪些国家和地区？</w:t>
            </w:r>
          </w:p>
          <w:p w14:paraId="401F34D4">
            <w:pPr>
              <w:pStyle w:val="14"/>
            </w:pPr>
            <w:r>
              <w:t>2023年，公司境内收入占主营业务比重为0.57%，2024年的境内外收入比重请持续关注后期披露的定期报告。未来，公司将继续加强海外营销网络建设，深化全球战略部署。</w:t>
            </w:r>
          </w:p>
        </w:tc>
      </w:tr>
      <w:tr w14:paraId="1777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08" w:type="dxa"/>
            <w:vAlign w:val="center"/>
          </w:tcPr>
          <w:p w14:paraId="4254F622">
            <w:pPr>
              <w:spacing w:line="360" w:lineRule="auto"/>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 xml:space="preserve">附件清单（如有） </w:t>
            </w:r>
          </w:p>
        </w:tc>
        <w:tc>
          <w:tcPr>
            <w:tcW w:w="6614" w:type="dxa"/>
            <w:vAlign w:val="center"/>
          </w:tcPr>
          <w:p w14:paraId="55FE0077">
            <w:pPr>
              <w:spacing w:line="360" w:lineRule="auto"/>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无</w:t>
            </w:r>
          </w:p>
        </w:tc>
      </w:tr>
      <w:tr w14:paraId="3FC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14:paraId="7B401EF6">
            <w:pPr>
              <w:spacing w:line="360" w:lineRule="auto"/>
              <w:jc w:val="center"/>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日期</w:t>
            </w:r>
          </w:p>
        </w:tc>
        <w:tc>
          <w:tcPr>
            <w:tcW w:w="6614" w:type="dxa"/>
            <w:vAlign w:val="center"/>
          </w:tcPr>
          <w:p w14:paraId="6292EE68">
            <w:pPr>
              <w:spacing w:line="360" w:lineRule="auto"/>
              <w:rPr>
                <w:rFonts w:ascii="Times New Roman" w:hAnsi="Times New Roman" w:eastAsia="宋体" w:cs="Times New Roman"/>
                <w:bCs/>
                <w:iCs/>
                <w:color w:val="000000"/>
                <w:sz w:val="24"/>
              </w:rPr>
            </w:pPr>
            <w:r>
              <w:rPr>
                <w:rFonts w:ascii="Times New Roman" w:hAnsi="Times New Roman" w:eastAsia="宋体" w:cs="Times New Roman"/>
                <w:bCs/>
                <w:iCs/>
                <w:color w:val="000000"/>
                <w:sz w:val="24"/>
              </w:rPr>
              <w:t>2024年</w:t>
            </w:r>
            <w:r>
              <w:rPr>
                <w:rFonts w:hint="eastAsia" w:ascii="Times New Roman" w:hAnsi="Times New Roman" w:eastAsia="宋体" w:cs="Times New Roman"/>
                <w:bCs/>
                <w:iCs/>
                <w:color w:val="000000"/>
                <w:sz w:val="24"/>
              </w:rPr>
              <w:t>12</w:t>
            </w:r>
            <w:r>
              <w:rPr>
                <w:rFonts w:ascii="Times New Roman" w:hAnsi="Times New Roman" w:eastAsia="宋体" w:cs="Times New Roman"/>
                <w:bCs/>
                <w:iCs/>
                <w:color w:val="000000"/>
                <w:sz w:val="24"/>
              </w:rPr>
              <w:t>月</w:t>
            </w:r>
            <w:r>
              <w:rPr>
                <w:rFonts w:hint="eastAsia" w:ascii="Times New Roman" w:hAnsi="Times New Roman" w:eastAsia="宋体" w:cs="Times New Roman"/>
                <w:bCs/>
                <w:iCs/>
                <w:color w:val="000000"/>
                <w:sz w:val="24"/>
              </w:rPr>
              <w:t>04</w:t>
            </w:r>
            <w:r>
              <w:rPr>
                <w:rFonts w:ascii="Times New Roman" w:hAnsi="Times New Roman" w:eastAsia="宋体" w:cs="Times New Roman"/>
                <w:bCs/>
                <w:iCs/>
                <w:color w:val="000000"/>
                <w:sz w:val="24"/>
              </w:rPr>
              <w:t>日</w:t>
            </w:r>
          </w:p>
        </w:tc>
      </w:tr>
    </w:tbl>
    <w:p w14:paraId="3AC81CAA">
      <w:pPr>
        <w:spacing w:before="15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NjgwYzhkNzUzNGYwMmYxYjlkYmUzZDgzN2FkYzQifQ=="/>
  </w:docVars>
  <w:rsids>
    <w:rsidRoot w:val="00212596"/>
    <w:rsid w:val="000141DF"/>
    <w:rsid w:val="000569A8"/>
    <w:rsid w:val="000A64AF"/>
    <w:rsid w:val="000D119F"/>
    <w:rsid w:val="000E097B"/>
    <w:rsid w:val="001002B3"/>
    <w:rsid w:val="001936BE"/>
    <w:rsid w:val="001C717B"/>
    <w:rsid w:val="00203B33"/>
    <w:rsid w:val="00212596"/>
    <w:rsid w:val="00233385"/>
    <w:rsid w:val="00235884"/>
    <w:rsid w:val="002D7942"/>
    <w:rsid w:val="00367ABA"/>
    <w:rsid w:val="00533373"/>
    <w:rsid w:val="00591B49"/>
    <w:rsid w:val="005D688C"/>
    <w:rsid w:val="00625942"/>
    <w:rsid w:val="00655A66"/>
    <w:rsid w:val="006633A4"/>
    <w:rsid w:val="006E44BD"/>
    <w:rsid w:val="007036C6"/>
    <w:rsid w:val="00780008"/>
    <w:rsid w:val="00906857"/>
    <w:rsid w:val="00946262"/>
    <w:rsid w:val="0094708C"/>
    <w:rsid w:val="009C5E4C"/>
    <w:rsid w:val="009D4471"/>
    <w:rsid w:val="00A927FC"/>
    <w:rsid w:val="00B37768"/>
    <w:rsid w:val="00BB4057"/>
    <w:rsid w:val="00BC55AA"/>
    <w:rsid w:val="00C250C2"/>
    <w:rsid w:val="00C77A56"/>
    <w:rsid w:val="00C81BA3"/>
    <w:rsid w:val="00CB2C0F"/>
    <w:rsid w:val="00D027FF"/>
    <w:rsid w:val="00D0386A"/>
    <w:rsid w:val="00D33CBC"/>
    <w:rsid w:val="00E110DD"/>
    <w:rsid w:val="00E135A7"/>
    <w:rsid w:val="00E765F9"/>
    <w:rsid w:val="00F104DA"/>
    <w:rsid w:val="00F14E23"/>
    <w:rsid w:val="00F90A89"/>
    <w:rsid w:val="058B5BFA"/>
    <w:rsid w:val="0CF17508"/>
    <w:rsid w:val="11B06C88"/>
    <w:rsid w:val="12730793"/>
    <w:rsid w:val="232835D2"/>
    <w:rsid w:val="246145D2"/>
    <w:rsid w:val="2E8E3E8D"/>
    <w:rsid w:val="4D051439"/>
    <w:rsid w:val="57593625"/>
    <w:rsid w:val="6CA361EE"/>
    <w:rsid w:val="71443336"/>
    <w:rsid w:val="76380CDE"/>
    <w:rsid w:val="76413A55"/>
    <w:rsid w:val="76BA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after="50" w:afterLines="50"/>
      <w:jc w:val="center"/>
      <w:outlineLvl w:val="0"/>
    </w:pPr>
    <w:rPr>
      <w:b/>
      <w:bCs/>
      <w:kern w:val="44"/>
      <w:sz w:val="44"/>
      <w:szCs w:val="44"/>
    </w:rPr>
  </w:style>
  <w:style w:type="paragraph" w:styleId="3">
    <w:name w:val="heading 2"/>
    <w:basedOn w:val="1"/>
    <w:next w:val="1"/>
    <w:link w:val="12"/>
    <w:autoRedefine/>
    <w:semiHidden/>
    <w:unhideWhenUsed/>
    <w:qFormat/>
    <w:uiPriority w:val="9"/>
    <w:pPr>
      <w:keepNext/>
      <w:keepLines/>
      <w:spacing w:after="50" w:afterLines="50"/>
      <w:outlineLvl w:val="1"/>
    </w:pPr>
    <w:rPr>
      <w:rFonts w:eastAsia="黑体" w:asciiTheme="majorHAnsi" w:hAnsiTheme="majorHAnsi" w:cstheme="majorBidi"/>
      <w:b/>
      <w:bCs/>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semiHidden/>
    <w:unhideWhenUsed/>
    <w:qFormat/>
    <w:uiPriority w:val="99"/>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文件一级标题"/>
    <w:basedOn w:val="1"/>
    <w:autoRedefine/>
    <w:qFormat/>
    <w:uiPriority w:val="0"/>
    <w:pPr>
      <w:keepNext/>
      <w:keepLines/>
      <w:pageBreakBefore/>
      <w:spacing w:after="50" w:afterLines="50"/>
      <w:jc w:val="left"/>
      <w:outlineLvl w:val="0"/>
    </w:pPr>
    <w:rPr>
      <w:rFonts w:eastAsia="黑体"/>
      <w:b/>
      <w:bCs/>
      <w:sz w:val="32"/>
      <w:szCs w:val="28"/>
    </w:rPr>
  </w:style>
  <w:style w:type="paragraph" w:customStyle="1" w:styleId="10">
    <w:name w:val="001-文件一级标题"/>
    <w:basedOn w:val="1"/>
    <w:autoRedefine/>
    <w:qFormat/>
    <w:uiPriority w:val="0"/>
    <w:pPr>
      <w:keepNext/>
      <w:keepLines/>
      <w:pageBreakBefore/>
      <w:spacing w:after="50" w:afterLines="50"/>
      <w:jc w:val="left"/>
      <w:outlineLvl w:val="0"/>
    </w:pPr>
    <w:rPr>
      <w:rFonts w:eastAsia="黑体"/>
      <w:b/>
      <w:bCs/>
      <w:sz w:val="32"/>
      <w:szCs w:val="28"/>
    </w:rPr>
  </w:style>
  <w:style w:type="character" w:customStyle="1" w:styleId="11">
    <w:name w:val="标题 1 字符"/>
    <w:basedOn w:val="8"/>
    <w:link w:val="2"/>
    <w:autoRedefine/>
    <w:qFormat/>
    <w:uiPriority w:val="9"/>
    <w:rPr>
      <w:b/>
      <w:bCs/>
      <w:kern w:val="44"/>
      <w:sz w:val="44"/>
      <w:szCs w:val="44"/>
    </w:rPr>
  </w:style>
  <w:style w:type="character" w:customStyle="1" w:styleId="12">
    <w:name w:val="标题 2 字符"/>
    <w:basedOn w:val="8"/>
    <w:link w:val="3"/>
    <w:autoRedefine/>
    <w:semiHidden/>
    <w:qFormat/>
    <w:uiPriority w:val="9"/>
    <w:rPr>
      <w:rFonts w:eastAsia="黑体" w:asciiTheme="majorHAnsi" w:hAnsiTheme="majorHAnsi" w:cstheme="majorBidi"/>
      <w:b/>
      <w:bCs/>
      <w:sz w:val="28"/>
      <w:szCs w:val="32"/>
    </w:rPr>
  </w:style>
  <w:style w:type="paragraph" w:styleId="13">
    <w:name w:val="No Spacing"/>
    <w:autoRedefine/>
    <w:qFormat/>
    <w:uiPriority w:val="1"/>
    <w:pPr>
      <w:jc w:val="both"/>
    </w:pPr>
    <w:rPr>
      <w:rFonts w:ascii="Times New Roman" w:hAnsi="Times New Roman" w:eastAsia="黑体" w:cs="Times New Roman"/>
      <w:kern w:val="2"/>
      <w:sz w:val="21"/>
      <w:szCs w:val="21"/>
      <w:lang w:val="en-US" w:eastAsia="zh-CN" w:bidi="ar-SA"/>
      <w14:ligatures w14:val="standardContextual"/>
    </w:rPr>
  </w:style>
  <w:style w:type="paragraph" w:customStyle="1" w:styleId="14">
    <w:name w:val="005正文"/>
    <w:autoRedefine/>
    <w:qFormat/>
    <w:uiPriority w:val="99"/>
    <w:pPr>
      <w:widowControl w:val="0"/>
      <w:spacing w:before="156" w:beforeLines="50" w:line="360" w:lineRule="auto"/>
      <w:ind w:firstLine="480" w:firstLineChars="200"/>
      <w:jc w:val="both"/>
    </w:pPr>
    <w:rPr>
      <w:rFonts w:ascii="Times New Roman" w:hAnsi="Times New Roman" w:eastAsia="宋体" w:cs="Times New Roman"/>
      <w:bCs/>
      <w:kern w:val="2"/>
      <w:sz w:val="24"/>
      <w:szCs w:val="24"/>
      <w:lang w:val="en-US" w:eastAsia="zh-CN" w:bidi="ar-SA"/>
    </w:rPr>
  </w:style>
  <w:style w:type="character" w:customStyle="1" w:styleId="15">
    <w:name w:val="批注框文本 字符"/>
    <w:basedOn w:val="8"/>
    <w:link w:val="4"/>
    <w:autoRedefine/>
    <w:semiHidden/>
    <w:qFormat/>
    <w:uiPriority w:val="99"/>
    <w:rPr>
      <w:rFonts w:asciiTheme="minorHAnsi" w:hAnsiTheme="minorHAnsi" w:eastAsiaTheme="minorEastAsia" w:cstheme="minorBidi"/>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1312</Words>
  <Characters>1510</Characters>
  <Lines>12</Lines>
  <Paragraphs>3</Paragraphs>
  <TotalTime>9</TotalTime>
  <ScaleCrop>false</ScaleCrop>
  <LinksUpToDate>false</LinksUpToDate>
  <CharactersWithSpaces>1649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2024-01-17T06:42:00Z</dcterms:created>
  <dc:creator>Songxh</dc:creator>
  <cp:lastModifiedBy>wt</cp:lastModifiedBy>
  <dcterms:modified xsi:type="dcterms:W3CDTF">2024-12-04T08:40:44Z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6C0E359DD3CF4F468BB5D4B021A53C3A_12</vt:lpwstr>
  </property>
</Properties>
</file>