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0F53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4050A025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701C7FBC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105D3667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62FCBE7F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1</w:t>
      </w:r>
    </w:p>
    <w:tbl>
      <w:tblPr>
        <w:tblStyle w:val="11"/>
        <w:tblW w:w="8845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927"/>
      </w:tblGrid>
      <w:tr w14:paraId="0D2D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E701">
            <w:pPr>
              <w:ind w:firstLine="0" w:firstLineChars="0"/>
              <w:jc w:val="center"/>
            </w:pPr>
            <w:r>
              <w:t>投资者关系</w:t>
            </w:r>
          </w:p>
          <w:p w14:paraId="43BED52C">
            <w:pPr>
              <w:ind w:firstLine="0" w:firstLineChars="0"/>
              <w:jc w:val="center"/>
            </w:pPr>
            <w:r>
              <w:t>活动类别</w:t>
            </w:r>
          </w:p>
          <w:p w14:paraId="0B04E196">
            <w:pPr>
              <w:ind w:firstLine="480"/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00D9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2E0580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039CE9AC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35BD0DA7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30C192EA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2D1B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4A791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汇添富基金、上海证券、西部证券、光大证券、国联安基金、千禧年基金、盛钧投资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、湘楚资产、华福证券</w:t>
            </w:r>
          </w:p>
        </w:tc>
      </w:tr>
      <w:tr w14:paraId="5DCD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A97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9859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t>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14:paraId="3A4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00FA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2F51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6DD6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9538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CAD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康俊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王书简、黄敏珺、李烨陶</w:t>
            </w:r>
          </w:p>
        </w:tc>
      </w:tr>
      <w:tr w14:paraId="34F9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4FF7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7C80B4FB">
            <w:pPr>
              <w:ind w:firstLine="480"/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03D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21CE05F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请简单介绍一下公司2024年前三季度的业绩情况：</w:t>
            </w:r>
          </w:p>
          <w:p w14:paraId="78D86111">
            <w:pPr>
              <w:ind w:firstLine="480"/>
            </w:pPr>
            <w:r>
              <w:rPr>
                <w:rFonts w:hint="eastAsia"/>
              </w:rPr>
              <w:t>答：</w:t>
            </w:r>
            <w:r>
              <w:rPr>
                <w:rFonts w:hint="eastAsia" w:ascii="Times New Roman" w:hAnsi="Times New Roman"/>
              </w:rPr>
              <w:t>公司始终坚持“智慧安防+智能手机+汽车电子”三足鼎立的发展方向，充分发挥高效研发竞争优势，进一步优化完善产品矩阵，打造更具韧性的供应链体系，成功开辟出智能手机领域第二增长曲线。</w:t>
            </w:r>
            <w:r>
              <w:rPr>
                <w:rFonts w:hint="eastAsia"/>
              </w:rPr>
              <w:t>2024年前三季度，公司实现营业收入420,755.06万元，较上年同期上升137.33%，归属于上市公司股东的扣非净利润为30,494.83万元，同比增长36,487.25万元。</w:t>
            </w:r>
          </w:p>
          <w:p w14:paraId="6A68A183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公司2024年三季度营收增长的原因：</w:t>
            </w:r>
          </w:p>
          <w:p w14:paraId="4B090B29">
            <w:pPr>
              <w:ind w:firstLine="480"/>
            </w:pPr>
            <w:r>
              <w:rPr>
                <w:rFonts w:hint="eastAsia"/>
              </w:rPr>
              <w:t>答：公司在智能手机、汽车电子和智慧安防三大应用领域的出货均取得较高的增速，带动收入规模大幅增长。在智慧安防领域，公司新推出的迭代产品具备更优异的性能和竞争力，产品销量有较大的上升，销售收入增加较为显著；在智能手机领域，公司应用于旗舰手机主摄、广角、长焦和前摄镜头的数颗高阶5000万像素产品出货量大幅上升；同时公司与客户的合作全面加深、产品满足更多的应用需求，市场占有率持续提升，带动公司在智能手机领域的营收显著增长，成功开辟出第二条增长曲线。</w:t>
            </w:r>
          </w:p>
          <w:p w14:paraId="72A05870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公司的研发投入情况：</w:t>
            </w:r>
          </w:p>
          <w:p w14:paraId="67BC1186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答：2024年前三季度，公司研发投入为32,117.38万元。公司秉承“让人们更好地看到和认知世界”的愿景，坚持“以客户为核心，致力于提供高质量、智能的视频解决方案”的理念，紧贴客户需求开发了一系列有特色的核心技术。公司深入挖掘智慧安防、智能手机、汽车电子等新兴图像传感器应用领域客户需求，研发出了多样化、差异化的产品系列，覆盖高中低阶的全系列产品，满足不同定位的客户需求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157BF6DE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  <w:p w14:paraId="322FC108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请问公司回购的进展？</w:t>
            </w:r>
          </w:p>
          <w:p w14:paraId="7938C125">
            <w:pPr>
              <w:ind w:firstLine="48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答：2024年10月11日至2024年11月22日，公司回购股份297,803股并于2024年11月22日完成注销。</w:t>
            </w:r>
            <w:r>
              <w:rPr>
                <w:rFonts w:hint="eastAsia"/>
                <w:lang w:val="en-US" w:eastAsia="zh-CN"/>
              </w:rPr>
              <w:t>本次回购</w:t>
            </w:r>
            <w:r>
              <w:rPr>
                <w:rFonts w:hint="eastAsia"/>
              </w:rPr>
              <w:t>占公司总股本400,010,000股的比例为0.07%，回购成交的最高价为69.95元/股，最低价为64.34元/股，回购均价67.29元/股，支付的资金总额为人民币20,038,564.14元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D81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C918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8B44">
            <w:pPr>
              <w:ind w:firstLine="480"/>
              <w:jc w:val="left"/>
            </w:pPr>
            <w:r>
              <w:t>无</w:t>
            </w:r>
          </w:p>
        </w:tc>
      </w:tr>
    </w:tbl>
    <w:p w14:paraId="5AFCC865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75CA0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142B0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04C90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9099F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F30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285E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612351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1A03EDC"/>
    <w:rsid w:val="12034863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C26F45"/>
    <w:rsid w:val="260B27E7"/>
    <w:rsid w:val="261F3B09"/>
    <w:rsid w:val="26733D00"/>
    <w:rsid w:val="26C83CEF"/>
    <w:rsid w:val="26FC458B"/>
    <w:rsid w:val="26FC7CDF"/>
    <w:rsid w:val="27201DB5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7C5209"/>
    <w:rsid w:val="2C9B5E00"/>
    <w:rsid w:val="2CE12625"/>
    <w:rsid w:val="2D362A2D"/>
    <w:rsid w:val="2D6745FE"/>
    <w:rsid w:val="2D941716"/>
    <w:rsid w:val="2DA71574"/>
    <w:rsid w:val="2DBD14A3"/>
    <w:rsid w:val="2DCC7F41"/>
    <w:rsid w:val="2DE84511"/>
    <w:rsid w:val="2E077CEB"/>
    <w:rsid w:val="2E354F40"/>
    <w:rsid w:val="2E8D2504"/>
    <w:rsid w:val="2EB72749"/>
    <w:rsid w:val="2EC2095F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8B3100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1A56F4"/>
    <w:rsid w:val="3E465893"/>
    <w:rsid w:val="3EB65F9B"/>
    <w:rsid w:val="3EBD5B05"/>
    <w:rsid w:val="3EC22781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230F76"/>
    <w:rsid w:val="41531602"/>
    <w:rsid w:val="417A3802"/>
    <w:rsid w:val="4251418C"/>
    <w:rsid w:val="42587410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3BA09A4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B319F7"/>
    <w:rsid w:val="56D36A1E"/>
    <w:rsid w:val="56DC513F"/>
    <w:rsid w:val="56E117CD"/>
    <w:rsid w:val="56F93DF6"/>
    <w:rsid w:val="572D0377"/>
    <w:rsid w:val="573F1679"/>
    <w:rsid w:val="5781168A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6283729"/>
    <w:rsid w:val="66636AB9"/>
    <w:rsid w:val="667800BA"/>
    <w:rsid w:val="66D529D1"/>
    <w:rsid w:val="66E33816"/>
    <w:rsid w:val="66E53109"/>
    <w:rsid w:val="6731162E"/>
    <w:rsid w:val="67536467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CED30B6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1198</Words>
  <Characters>1330</Characters>
  <Lines>9</Lines>
  <Paragraphs>2</Paragraphs>
  <TotalTime>4</TotalTime>
  <ScaleCrop>false</ScaleCrop>
  <LinksUpToDate>false</LinksUpToDate>
  <CharactersWithSpaces>1391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2024-12-06T05:35:57Z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459FED37AB4444A8A5A808365CAC355D_13</vt:lpwstr>
  </property>
</Properties>
</file>