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3C210">
      <w:pPr>
        <w:rPr>
          <w:rFonts w:hint="eastAsia"/>
        </w:rPr>
      </w:pPr>
      <w:r>
        <w:rPr>
          <w:rFonts w:hint="eastAsia"/>
        </w:rPr>
        <w:t>证券代码：</w:t>
      </w:r>
      <w:r>
        <w:t>688456</w:t>
      </w:r>
      <w:r>
        <w:rPr>
          <w:rFonts w:hint="eastAsia"/>
        </w:rPr>
        <w:t xml:space="preserve">       </w:t>
      </w:r>
      <w:r>
        <w:t xml:space="preserve">                            </w:t>
      </w:r>
      <w:r>
        <w:rPr>
          <w:rFonts w:hint="eastAsia"/>
        </w:rPr>
        <w:t>证券简称：有研粉材</w:t>
      </w:r>
    </w:p>
    <w:p w14:paraId="2FC8B190">
      <w:pPr>
        <w:rPr>
          <w:rFonts w:hint="eastAsia"/>
        </w:rPr>
      </w:pPr>
    </w:p>
    <w:p w14:paraId="674A0872">
      <w:pPr>
        <w:adjustRightInd w:val="0"/>
        <w:spacing w:line="360" w:lineRule="auto"/>
        <w:jc w:val="center"/>
        <w:rPr>
          <w:rFonts w:hint="eastAsia" w:ascii="宋体" w:hAnsi="宋体"/>
          <w:b/>
          <w:bCs/>
          <w:color w:val="FF0000"/>
          <w:sz w:val="32"/>
          <w:szCs w:val="32"/>
        </w:rPr>
      </w:pPr>
      <w:r>
        <w:rPr>
          <w:rFonts w:hint="eastAsia" w:ascii="宋体" w:hAnsi="宋体"/>
          <w:b/>
          <w:bCs/>
          <w:color w:val="FF0000"/>
          <w:sz w:val="32"/>
          <w:szCs w:val="32"/>
        </w:rPr>
        <w:t>有研粉末新材料股份有限公司</w:t>
      </w:r>
    </w:p>
    <w:p w14:paraId="35F03C29">
      <w:pPr>
        <w:jc w:val="center"/>
        <w:rPr>
          <w:rFonts w:hint="eastAsia"/>
          <w:color w:val="000000"/>
        </w:rPr>
      </w:pPr>
      <w:r>
        <w:rPr>
          <w:rFonts w:hint="eastAsia" w:ascii="Times New Roman" w:hAnsi="Times New Roman"/>
          <w:b/>
          <w:bCs/>
          <w:color w:val="FF0000"/>
          <w:sz w:val="32"/>
          <w:szCs w:val="32"/>
        </w:rPr>
        <w:t>投资者关系活动记录表（2024年1</w:t>
      </w:r>
      <w:r>
        <w:rPr>
          <w:rFonts w:hint="eastAsia" w:ascii="Times New Roman" w:hAnsi="Times New Roman"/>
          <w:b/>
          <w:bCs/>
          <w:color w:val="FF0000"/>
          <w:sz w:val="32"/>
          <w:szCs w:val="32"/>
          <w:lang w:val="en-US" w:eastAsia="zh-CN"/>
        </w:rPr>
        <w:t>2</w:t>
      </w:r>
      <w:r>
        <w:rPr>
          <w:rFonts w:hint="eastAsia" w:ascii="Times New Roman" w:hAnsi="Times New Roman"/>
          <w:b/>
          <w:bCs/>
          <w:color w:val="FF0000"/>
          <w:sz w:val="32"/>
          <w:szCs w:val="32"/>
        </w:rPr>
        <w:t>月</w:t>
      </w:r>
      <w:r>
        <w:rPr>
          <w:rFonts w:hint="eastAsia" w:ascii="Times New Roman" w:hAnsi="Times New Roman"/>
          <w:b/>
          <w:bCs/>
          <w:color w:val="FF0000"/>
          <w:sz w:val="32"/>
          <w:szCs w:val="32"/>
          <w:lang w:val="en-US" w:eastAsia="zh-CN"/>
        </w:rPr>
        <w:t>6</w:t>
      </w:r>
      <w:r>
        <w:rPr>
          <w:rFonts w:hint="eastAsia" w:ascii="Times New Roman" w:hAnsi="Times New Roman"/>
          <w:b/>
          <w:bCs/>
          <w:color w:val="FF0000"/>
          <w:sz w:val="32"/>
          <w:szCs w:val="32"/>
        </w:rPr>
        <w:t>日）</w:t>
      </w:r>
    </w:p>
    <w:p w14:paraId="0A967DF7">
      <w:pPr>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14:paraId="10AF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A6B3530">
            <w:pPr>
              <w:rPr>
                <w:rFonts w:hint="eastAsia"/>
              </w:rPr>
            </w:pPr>
            <w:r>
              <w:rPr>
                <w:rFonts w:hint="eastAsia"/>
              </w:rPr>
              <w:t>投资者关系活动类别</w:t>
            </w:r>
          </w:p>
        </w:tc>
        <w:tc>
          <w:tcPr>
            <w:tcW w:w="6316" w:type="dxa"/>
          </w:tcPr>
          <w:p w14:paraId="0DE43EB8">
            <w:pPr>
              <w:rPr>
                <w:rFonts w:hint="eastAsia"/>
                <w:shd w:val="clear" w:color="auto" w:fill="FFFFFF"/>
              </w:rPr>
            </w:pPr>
            <w:r>
              <w:rPr>
                <w:rFonts w:hint="eastAsia" w:cs="Arial"/>
                <w:shd w:val="clear" w:color="auto" w:fill="FFFFFF"/>
              </w:rPr>
              <w:t>□</w:t>
            </w:r>
            <w:r>
              <w:rPr>
                <w:shd w:val="clear" w:color="auto" w:fill="FFFFFF"/>
              </w:rPr>
              <w:t>特定对象调研</w:t>
            </w:r>
            <w:r>
              <w:rPr>
                <w:rFonts w:hint="eastAsia"/>
                <w:shd w:val="clear" w:color="auto" w:fill="FFFFFF"/>
              </w:rPr>
              <w:t xml:space="preserve"> </w:t>
            </w:r>
            <w:r>
              <w:rPr>
                <w:shd w:val="clear" w:color="auto" w:fill="FFFFFF"/>
              </w:rPr>
              <w:t xml:space="preserve">      </w:t>
            </w:r>
            <w:r>
              <w:rPr>
                <w:rFonts w:hint="eastAsia" w:cs="Arial"/>
                <w:shd w:val="clear" w:color="auto" w:fill="FFFFFF"/>
              </w:rPr>
              <w:t>□</w:t>
            </w:r>
            <w:r>
              <w:rPr>
                <w:shd w:val="clear" w:color="auto" w:fill="FFFFFF"/>
              </w:rPr>
              <w:t>分析师会议</w:t>
            </w:r>
          </w:p>
          <w:p w14:paraId="0846C8E0">
            <w:pPr>
              <w:rPr>
                <w:rFonts w:hint="eastAsia"/>
                <w:shd w:val="clear" w:color="auto" w:fill="FFFFFF"/>
              </w:rPr>
            </w:pPr>
            <w:r>
              <w:rPr>
                <w:rFonts w:hint="eastAsia" w:cs="Arial"/>
                <w:shd w:val="clear" w:color="auto" w:fill="FFFFFF"/>
              </w:rPr>
              <w:t>□</w:t>
            </w:r>
            <w:r>
              <w:rPr>
                <w:shd w:val="clear" w:color="auto" w:fill="FFFFFF"/>
              </w:rPr>
              <w:t>媒体采访</w:t>
            </w:r>
            <w:r>
              <w:rPr>
                <w:rFonts w:hint="eastAsia"/>
                <w:shd w:val="clear" w:color="auto" w:fill="FFFFFF"/>
              </w:rPr>
              <w:t xml:space="preserve"> </w:t>
            </w:r>
            <w:r>
              <w:rPr>
                <w:shd w:val="clear" w:color="auto" w:fill="FFFFFF"/>
              </w:rPr>
              <w:t xml:space="preserve">          </w:t>
            </w:r>
            <w:r>
              <w:rPr>
                <w:rFonts w:hint="eastAsia" w:cs="Arial"/>
                <w:shd w:val="clear" w:color="auto" w:fill="FFFFFF"/>
              </w:rPr>
              <w:t>□</w:t>
            </w:r>
            <w:r>
              <w:rPr>
                <w:shd w:val="clear" w:color="auto" w:fill="FFFFFF"/>
              </w:rPr>
              <w:t>业绩说明会</w:t>
            </w:r>
          </w:p>
          <w:p w14:paraId="1E94FD6A">
            <w:pPr>
              <w:rPr>
                <w:rFonts w:hint="eastAsia"/>
                <w:shd w:val="clear" w:color="auto" w:fill="FFFFFF"/>
              </w:rPr>
            </w:pPr>
            <w:r>
              <w:rPr>
                <w:rFonts w:hint="eastAsia" w:cs="Arial"/>
                <w:shd w:val="clear" w:color="auto" w:fill="FFFFFF"/>
              </w:rPr>
              <w:t>□</w:t>
            </w:r>
            <w:r>
              <w:rPr>
                <w:shd w:val="clear" w:color="auto" w:fill="FFFFFF"/>
              </w:rPr>
              <w:t>新闻发布会</w:t>
            </w:r>
            <w:r>
              <w:rPr>
                <w:rFonts w:hint="eastAsia"/>
                <w:shd w:val="clear" w:color="auto" w:fill="FFFFFF"/>
              </w:rPr>
              <w:t xml:space="preserve"> </w:t>
            </w:r>
            <w:r>
              <w:rPr>
                <w:shd w:val="clear" w:color="auto" w:fill="FFFFFF"/>
              </w:rPr>
              <w:t xml:space="preserve">        </w:t>
            </w:r>
            <w:r>
              <w:rPr>
                <w:rFonts w:hint="eastAsia" w:cs="Arial"/>
                <w:shd w:val="clear" w:color="auto" w:fill="FFFFFF"/>
                <w:lang w:eastAsia="zh-CN"/>
              </w:rPr>
              <w:t>☑</w:t>
            </w:r>
            <w:r>
              <w:rPr>
                <w:shd w:val="clear" w:color="auto" w:fill="FFFFFF"/>
              </w:rPr>
              <w:t>路演活动</w:t>
            </w:r>
            <w:bookmarkStart w:id="0" w:name="_GoBack"/>
            <w:bookmarkEnd w:id="0"/>
          </w:p>
          <w:p w14:paraId="54CA7C49">
            <w:pPr>
              <w:rPr>
                <w:rFonts w:hint="eastAsia"/>
                <w:shd w:val="clear" w:color="auto" w:fill="FFFFFF"/>
              </w:rPr>
            </w:pPr>
            <w:r>
              <w:rPr>
                <w:rFonts w:hint="eastAsia"/>
                <w:shd w:val="clear" w:color="auto" w:fill="FFFFFF"/>
              </w:rPr>
              <w:t xml:space="preserve">□现场参观 </w:t>
            </w:r>
            <w:r>
              <w:rPr>
                <w:shd w:val="clear" w:color="auto" w:fill="FFFFFF"/>
              </w:rPr>
              <w:t xml:space="preserve">       </w:t>
            </w:r>
            <w:r>
              <w:rPr>
                <w:rFonts w:hint="eastAsia"/>
                <w:shd w:val="clear" w:color="auto" w:fill="FFFFFF"/>
              </w:rPr>
              <w:t xml:space="preserve"> </w:t>
            </w:r>
            <w:r>
              <w:rPr>
                <w:shd w:val="clear" w:color="auto" w:fill="FFFFFF"/>
              </w:rPr>
              <w:t xml:space="preserve">  </w:t>
            </w:r>
            <w:r>
              <w:rPr>
                <w:rFonts w:hint="eastAsia"/>
                <w:shd w:val="clear" w:color="auto" w:fill="FFFFFF"/>
              </w:rPr>
              <w:t>□电话会议</w:t>
            </w:r>
          </w:p>
          <w:p w14:paraId="770EDFDF">
            <w:pPr>
              <w:rPr>
                <w:rFonts w:hint="eastAsia"/>
                <w:color w:val="000000"/>
              </w:rPr>
            </w:pPr>
            <w:r>
              <w:rPr>
                <w:rFonts w:hint="eastAsia"/>
                <w:shd w:val="clear" w:color="auto" w:fill="FFFFFF"/>
              </w:rPr>
              <w:t>□其他</w:t>
            </w:r>
          </w:p>
        </w:tc>
      </w:tr>
      <w:tr w14:paraId="1D41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44F4F4C">
            <w:pPr>
              <w:rPr>
                <w:rFonts w:hint="eastAsia"/>
              </w:rPr>
            </w:pPr>
            <w:r>
              <w:rPr>
                <w:rFonts w:hint="eastAsia"/>
              </w:rPr>
              <w:t>参与单位名称</w:t>
            </w:r>
          </w:p>
        </w:tc>
        <w:tc>
          <w:tcPr>
            <w:tcW w:w="6316" w:type="dxa"/>
          </w:tcPr>
          <w:p w14:paraId="61A1F504">
            <w:pPr>
              <w:rPr>
                <w:rFonts w:hint="eastAsia"/>
              </w:rPr>
            </w:pPr>
            <w:r>
              <w:rPr>
                <w:rFonts w:hint="eastAsia"/>
              </w:rPr>
              <w:t>泉果基金、银河基金、富安达基金、招银理财、长江证券、东兴证券、东北证券、国信证券、民生证券、杭州桭源、国投证券、国泰君安、博时基金、华宝证券</w:t>
            </w:r>
          </w:p>
        </w:tc>
      </w:tr>
      <w:tr w14:paraId="0E66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813797F">
            <w:pPr>
              <w:rPr>
                <w:rFonts w:hint="eastAsia"/>
              </w:rPr>
            </w:pPr>
            <w:r>
              <w:rPr>
                <w:rFonts w:hint="eastAsia"/>
              </w:rPr>
              <w:t>会议时间</w:t>
            </w:r>
          </w:p>
        </w:tc>
        <w:tc>
          <w:tcPr>
            <w:tcW w:w="6316" w:type="dxa"/>
          </w:tcPr>
          <w:p w14:paraId="217B332C">
            <w:pPr>
              <w:rPr>
                <w:rFonts w:hint="eastAsia"/>
              </w:rPr>
            </w:pPr>
            <w:r>
              <w:rPr>
                <w:rFonts w:hint="eastAsia"/>
              </w:rPr>
              <w:t>2024年12月6日9：30-10：30</w:t>
            </w:r>
          </w:p>
        </w:tc>
      </w:tr>
      <w:tr w14:paraId="5182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9F826CB">
            <w:pPr>
              <w:rPr>
                <w:rFonts w:hint="eastAsia"/>
              </w:rPr>
            </w:pPr>
            <w:r>
              <w:rPr>
                <w:rFonts w:hint="eastAsia"/>
              </w:rPr>
              <w:t>会议地点</w:t>
            </w:r>
          </w:p>
        </w:tc>
        <w:tc>
          <w:tcPr>
            <w:tcW w:w="6316" w:type="dxa"/>
          </w:tcPr>
          <w:p w14:paraId="5FF4E85A">
            <w:pPr>
              <w:rPr>
                <w:rFonts w:hint="eastAsia"/>
                <w:color w:val="000000"/>
              </w:rPr>
            </w:pPr>
            <w:r>
              <w:rPr>
                <w:rFonts w:hint="eastAsia"/>
              </w:rPr>
              <w:t>证券日报上海路演中心</w:t>
            </w:r>
          </w:p>
        </w:tc>
      </w:tr>
      <w:tr w14:paraId="6518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AEC00BD">
            <w:pPr>
              <w:rPr>
                <w:rFonts w:hint="eastAsia"/>
              </w:rPr>
            </w:pPr>
            <w:r>
              <w:rPr>
                <w:rFonts w:hint="eastAsia"/>
              </w:rPr>
              <w:t>上市公司接待人员</w:t>
            </w:r>
          </w:p>
        </w:tc>
        <w:tc>
          <w:tcPr>
            <w:tcW w:w="6316" w:type="dxa"/>
          </w:tcPr>
          <w:p w14:paraId="680B689C">
            <w:pPr>
              <w:rPr>
                <w:rFonts w:hint="eastAsia"/>
              </w:rPr>
            </w:pPr>
            <w:r>
              <w:rPr>
                <w:rFonts w:hint="eastAsia"/>
              </w:rPr>
              <w:t>董事会秘书、财务总监、总法律顾问：姜珊</w:t>
            </w:r>
          </w:p>
          <w:p w14:paraId="6F853A3F">
            <w:pPr>
              <w:rPr>
                <w:rFonts w:hint="eastAsia"/>
              </w:rPr>
            </w:pPr>
            <w:r>
              <w:rPr>
                <w:rFonts w:hint="eastAsia"/>
              </w:rPr>
              <w:t>证券事务代表：王妍</w:t>
            </w:r>
          </w:p>
        </w:tc>
      </w:tr>
      <w:tr w14:paraId="6D49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5DA7896">
            <w:pPr>
              <w:rPr>
                <w:rFonts w:hint="eastAsia"/>
              </w:rPr>
            </w:pPr>
            <w:r>
              <w:rPr>
                <w:rFonts w:hint="eastAsia"/>
              </w:rPr>
              <w:t>投资者关系活动主要内容介绍</w:t>
            </w:r>
          </w:p>
        </w:tc>
        <w:tc>
          <w:tcPr>
            <w:tcW w:w="6316" w:type="dxa"/>
          </w:tcPr>
          <w:p w14:paraId="38BD0E7E">
            <w:pPr>
              <w:rPr>
                <w:rFonts w:hint="eastAsia"/>
              </w:rPr>
            </w:pPr>
            <w:r>
              <w:rPr>
                <w:rFonts w:hint="eastAsia"/>
              </w:rPr>
              <w:t>Q1：公司基本情况介绍。</w:t>
            </w:r>
          </w:p>
          <w:p w14:paraId="398D0FBD">
            <w:pPr>
              <w:rPr>
                <w:rFonts w:hint="eastAsia"/>
              </w:rPr>
            </w:pPr>
            <w:r>
              <w:rPr>
                <w:rFonts w:hint="eastAsia"/>
              </w:rPr>
              <w:t>A1：有研粉材成立于2004年，控股股东中国有研科技集团是国务院国资委所属中央一级企业，有研粉材属于二级中央企业。公司业务分为四个板块。第一个板块是铜基金属粉体材料，目前在国内市场占有率约35%，产销量国内第一、全球第二，主要应用于粉末冶金、金刚石工具、摩擦材料、催化剂、电碳电刷、散热器件等下游领域，该板块的公司有有研合肥、有研重冶和境外的有研泰国、英国Makin公司；第二个板块是微电子锡基焊粉材料，目前在国内市场占有率约15%，国内第一，主要应用于微电子的封装/组装，下游领域主要为消费电子，该板块公司有康普锡威及其山东子公司；第三个板块是电子浆料，与微电子锡基焊粉材料都属于微电子互连材料，是公司重点发展的新板块，公司于2023年成立有研纳微发展该板块，锡膏是主打产品，目前市占率和销量都不是特别大，但是增速很快。第四个板块是增材制造用粉体材料（3D打印用粉体材料）板块，运营的公司为有研增材，于2021年底成立，3D打印粉体主要是比较有特色的铝合金粉、高温合金粉、铜合金粉和不锈钢粉，另外有研增材除了3D打印用粉体材料还生产一些高温特种粉体材料如软磁、MIM粉等。公司前三季度整体销量23,000吨，同比增长10%，营业收入23亿元，同比增长18%，其中销量增长带来的增量是11%，由于原材料价格上涨带来的增量是7%。利润总额4,489万元，同比增长3%。</w:t>
            </w:r>
          </w:p>
          <w:p w14:paraId="2DA46B0F">
            <w:pPr>
              <w:rPr>
                <w:rFonts w:hint="eastAsia"/>
              </w:rPr>
            </w:pPr>
          </w:p>
          <w:p w14:paraId="43662FCE">
            <w:pPr>
              <w:rPr>
                <w:rFonts w:hint="eastAsia"/>
              </w:rPr>
            </w:pPr>
            <w:r>
              <w:rPr>
                <w:rFonts w:hint="eastAsia"/>
              </w:rPr>
              <w:t>Q2：3D打印板块的产品结构是怎样的？今年整体放量的一个节奏是什么情况？</w:t>
            </w:r>
          </w:p>
          <w:p w14:paraId="19DE29C5">
            <w:pPr>
              <w:rPr>
                <w:rFonts w:hint="eastAsia"/>
              </w:rPr>
            </w:pPr>
            <w:r>
              <w:rPr>
                <w:rFonts w:hint="eastAsia"/>
              </w:rPr>
              <w:t>A2：3D打印板块产品基本构成是40%铝合金粉，包括铝硅十镁、铝硅七镁；20%高温合金粉；40%其他粉末，包括钛合金粉、铜合金粉、不锈钢粉等。前三季度销量比去年同期翻了一倍，全年还会有一个比较大的提升。</w:t>
            </w:r>
          </w:p>
          <w:p w14:paraId="7AF53006">
            <w:pPr>
              <w:rPr>
                <w:rFonts w:hint="eastAsia"/>
              </w:rPr>
            </w:pPr>
          </w:p>
          <w:p w14:paraId="2B403EA2">
            <w:pPr>
              <w:rPr>
                <w:rFonts w:hint="eastAsia"/>
              </w:rPr>
            </w:pPr>
            <w:r>
              <w:rPr>
                <w:rFonts w:hint="eastAsia"/>
              </w:rPr>
              <w:t xml:space="preserve">Q3：3D打印粉体材料在今年有比较明显的加速，整体加速的原因是什么？ </w:t>
            </w:r>
          </w:p>
          <w:p w14:paraId="1B115A39">
            <w:pPr>
              <w:rPr>
                <w:rFonts w:hint="eastAsia"/>
              </w:rPr>
            </w:pPr>
            <w:r>
              <w:rPr>
                <w:rFonts w:hint="eastAsia"/>
              </w:rPr>
              <w:t>A3：加速主要基于应用端的放量，该行业现在依然处于行业爆发的前期，但是公司明显感觉到需求端已经开始起量，公司产能开始受限，计划明年扩产。</w:t>
            </w:r>
          </w:p>
          <w:p w14:paraId="123231E5">
            <w:pPr>
              <w:rPr>
                <w:rFonts w:hint="eastAsia"/>
              </w:rPr>
            </w:pPr>
          </w:p>
          <w:p w14:paraId="03BEFF06">
            <w:pPr>
              <w:rPr>
                <w:rFonts w:hint="eastAsia"/>
              </w:rPr>
            </w:pPr>
            <w:r>
              <w:rPr>
                <w:rFonts w:hint="eastAsia"/>
              </w:rPr>
              <w:t xml:space="preserve">Q4：公司3D打印粉体主要放量的是哪些领域？ </w:t>
            </w:r>
          </w:p>
          <w:p w14:paraId="1EFAF82E">
            <w:pPr>
              <w:rPr>
                <w:rFonts w:hint="eastAsia"/>
              </w:rPr>
            </w:pPr>
            <w:r>
              <w:rPr>
                <w:rFonts w:hint="eastAsia"/>
              </w:rPr>
              <w:t>A4：主要在航空航天领域，另外公司在汽车零部件、民用手板等领域也在拓展。</w:t>
            </w:r>
          </w:p>
          <w:p w14:paraId="2698BB21">
            <w:pPr>
              <w:rPr>
                <w:rFonts w:hint="eastAsia"/>
              </w:rPr>
            </w:pPr>
          </w:p>
          <w:p w14:paraId="4C4FACAA">
            <w:pPr>
              <w:rPr>
                <w:rFonts w:hint="eastAsia"/>
              </w:rPr>
            </w:pPr>
            <w:r>
              <w:rPr>
                <w:rFonts w:hint="eastAsia"/>
              </w:rPr>
              <w:t xml:space="preserve">Q5：铜粉今年开拓了新的应用方向，散热铜粉这块市场未来会有怎样的结果，现在如何？ </w:t>
            </w:r>
          </w:p>
          <w:p w14:paraId="3B8C93FE">
            <w:pPr>
              <w:rPr>
                <w:rFonts w:hint="eastAsia"/>
              </w:rPr>
            </w:pPr>
            <w:r>
              <w:rPr>
                <w:rFonts w:hint="eastAsia"/>
              </w:rPr>
              <w:t>A5：新型散热铜粉公司目前是独家生产，主要对应的终端用户是行业的巨头。该产品是双方合作研发两年研制成功的，公司现已实现稳定的吨级供货。据了解该产品除GPU，目前已经部分应用于AI算力服务器、基站、大型路由器、交换机等场景，应用效果截至目前反馈良好。今后供应体量还要依赖于下游的应用。</w:t>
            </w:r>
          </w:p>
          <w:p w14:paraId="1B164B6C">
            <w:pPr>
              <w:rPr>
                <w:rFonts w:hint="eastAsia"/>
              </w:rPr>
            </w:pPr>
          </w:p>
          <w:p w14:paraId="41582109">
            <w:pPr>
              <w:rPr>
                <w:rFonts w:hint="eastAsia"/>
              </w:rPr>
            </w:pPr>
            <w:r>
              <w:rPr>
                <w:rFonts w:hint="eastAsia"/>
              </w:rPr>
              <w:t xml:space="preserve">Q6：公司在光伏领域铜粉方面有储备，现在也在往浆料上拓展，是否对市场有考察，明确公司的定位是直接去做铜浆还是以铜粉去尝试切入这个领域？ </w:t>
            </w:r>
          </w:p>
          <w:p w14:paraId="43D3070B">
            <w:pPr>
              <w:rPr>
                <w:rFonts w:hint="eastAsia"/>
              </w:rPr>
            </w:pPr>
            <w:r>
              <w:rPr>
                <w:rFonts w:hint="eastAsia"/>
              </w:rPr>
              <w:t>A6：公司从制备工艺上面是要从纳米铜粉去切入的。铜浆替代的可能是高温银浆，但是高温对铜的抗氧化性能要求非常高，所以目前还处于研发实验阶段。公司比较擅长铜基粉体的制备，纳米级粉体制备工艺也已经纳入到公司承担的未来产业项目中。所以公司一直都在做纳米镍粉、铜粉、银粉的研发。另外，对现在替代来讲，其实银包铜是更容易替代银的一个方案，这也是我们研发的重点之一。</w:t>
            </w:r>
          </w:p>
          <w:p w14:paraId="093AA9C3">
            <w:pPr>
              <w:rPr>
                <w:rFonts w:hint="eastAsia"/>
              </w:rPr>
            </w:pPr>
          </w:p>
          <w:p w14:paraId="2A8F4255">
            <w:pPr>
              <w:rPr>
                <w:rFonts w:hint="eastAsia"/>
              </w:rPr>
            </w:pPr>
            <w:r>
              <w:rPr>
                <w:rFonts w:hint="eastAsia"/>
              </w:rPr>
              <w:t>Q7：公司是否有产品用在机器人上？主要原材料是什么？</w:t>
            </w:r>
          </w:p>
          <w:p w14:paraId="28D07857">
            <w:pPr>
              <w:rPr>
                <w:rFonts w:hint="eastAsia"/>
              </w:rPr>
            </w:pPr>
            <w:r>
              <w:rPr>
                <w:rFonts w:hint="eastAsia"/>
              </w:rPr>
              <w:t>A7：公司有参与关于机器人项目的研发课题，参加的北京市科技计划项目高精密谐波减速器设计与制造关键技术研究项目，主要应用于小型机器人。该产品的主要原材料为铁基粉末，采用粉末冶金工艺制作。</w:t>
            </w:r>
          </w:p>
          <w:p w14:paraId="0A56237E">
            <w:pPr>
              <w:rPr>
                <w:rFonts w:hint="eastAsia"/>
              </w:rPr>
            </w:pPr>
          </w:p>
          <w:p w14:paraId="60A571A1">
            <w:pPr>
              <w:rPr>
                <w:rFonts w:hint="eastAsia"/>
              </w:rPr>
            </w:pPr>
            <w:r>
              <w:rPr>
                <w:rFonts w:hint="eastAsia"/>
              </w:rPr>
              <w:t xml:space="preserve">Q8：公司机器人研发项目是否量产？ </w:t>
            </w:r>
          </w:p>
          <w:p w14:paraId="49EB73B4">
            <w:pPr>
              <w:rPr>
                <w:rFonts w:hint="eastAsia"/>
              </w:rPr>
            </w:pPr>
            <w:r>
              <w:rPr>
                <w:rFonts w:hint="eastAsia"/>
              </w:rPr>
              <w:t>A8：公司前期以研发为主，现有上市公司与公司联系合作开发相关零件，双方正处于洽谈阶段。</w:t>
            </w:r>
          </w:p>
          <w:p w14:paraId="2206F11B">
            <w:pPr>
              <w:rPr>
                <w:rFonts w:hint="eastAsia"/>
              </w:rPr>
            </w:pPr>
          </w:p>
          <w:p w14:paraId="68C2AA43">
            <w:pPr>
              <w:rPr>
                <w:rFonts w:hint="eastAsia"/>
              </w:rPr>
            </w:pPr>
            <w:r>
              <w:rPr>
                <w:rFonts w:hint="eastAsia"/>
              </w:rPr>
              <w:t>Q9：公司在手订单如何？</w:t>
            </w:r>
          </w:p>
          <w:p w14:paraId="0F0ABF6F">
            <w:pPr>
              <w:rPr>
                <w:rFonts w:hint="eastAsia"/>
              </w:rPr>
            </w:pPr>
            <w:r>
              <w:rPr>
                <w:rFonts w:hint="eastAsia"/>
              </w:rPr>
              <w:t>A9：公司的客户基本上都是比较稳定的长期客户，大多会定期下单，每年总量在三万吨左右。公司对明年的订单有一个比较好的预期。一是因为国内家电以旧换新政策、新能源车销量的增长以及高铁的快速发展，会为公司铜基板块带来好的收益；二是消费电子现在在回暖，对公司锡基板块会有带动作用；三是3D打印粉体板块，明年扩产应该会有一个比较大的增长。另外公司在泰国的生产基地今年六月已经正式投产，明年预计会有新的增量出来。</w:t>
            </w:r>
          </w:p>
          <w:p w14:paraId="2A5EB8CD">
            <w:pPr>
              <w:rPr>
                <w:rFonts w:hint="eastAsia"/>
              </w:rPr>
            </w:pPr>
          </w:p>
          <w:p w14:paraId="0EE46226">
            <w:pPr>
              <w:rPr>
                <w:rFonts w:hint="eastAsia"/>
              </w:rPr>
            </w:pPr>
            <w:r>
              <w:rPr>
                <w:rFonts w:hint="eastAsia"/>
              </w:rPr>
              <w:t>Q10：明年泰国大概会有怎样的盈利？</w:t>
            </w:r>
          </w:p>
          <w:p w14:paraId="68382932">
            <w:pPr>
              <w:rPr>
                <w:rFonts w:hint="eastAsia"/>
              </w:rPr>
            </w:pPr>
            <w:r>
              <w:rPr>
                <w:rFonts w:hint="eastAsia"/>
              </w:rPr>
              <w:t>A10：公司对泰国基地明年的销量有一个比较好的预期。因为泰国公司自投产以来一直在做客户的到场验证，接待了很多轮国外客户的验证，效果都非常好。国外的市场本身在慢慢复苏，而一些竞争对手可能出于自身原因会发生一些变化，泰国公司如承接了这些公司的订单，会有一个较好的预期。</w:t>
            </w:r>
          </w:p>
          <w:p w14:paraId="4130D1EF">
            <w:pPr>
              <w:rPr>
                <w:rFonts w:hint="eastAsia"/>
              </w:rPr>
            </w:pPr>
          </w:p>
          <w:p w14:paraId="0C23A911">
            <w:pPr>
              <w:rPr>
                <w:rFonts w:hint="eastAsia"/>
              </w:rPr>
            </w:pPr>
            <w:r>
              <w:rPr>
                <w:rFonts w:hint="eastAsia"/>
              </w:rPr>
              <w:t>Q11：对于芯片半导体这块的贸易限制，公司锡基板块是否有预期？</w:t>
            </w:r>
          </w:p>
          <w:p w14:paraId="7432E8A2">
            <w:pPr>
              <w:rPr>
                <w:rFonts w:hint="eastAsia"/>
              </w:rPr>
            </w:pPr>
            <w:r>
              <w:rPr>
                <w:rFonts w:hint="eastAsia"/>
              </w:rPr>
              <w:t>A11：贸易限制对锡基微电子互连材料应该会有一个带动作用。半导体板块整合主打的应该就是国产替代，而国内用的部分锡粉目前是进口的，如果重新整合的话，国产锡粉替代会是一个非常大的趋势，对公司来说是一个很好的机会。</w:t>
            </w:r>
          </w:p>
          <w:p w14:paraId="6543B9D3">
            <w:pPr>
              <w:rPr>
                <w:rFonts w:hint="eastAsia"/>
              </w:rPr>
            </w:pPr>
          </w:p>
          <w:p w14:paraId="67394E6E">
            <w:pPr>
              <w:rPr>
                <w:rFonts w:hint="eastAsia"/>
              </w:rPr>
            </w:pPr>
            <w:r>
              <w:rPr>
                <w:rFonts w:hint="eastAsia"/>
              </w:rPr>
              <w:t>Q12：公司的锡膏主要应用于哪些领域？</w:t>
            </w:r>
          </w:p>
          <w:p w14:paraId="594AEFBC">
            <w:pPr>
              <w:rPr>
                <w:rFonts w:hint="eastAsia"/>
              </w:rPr>
            </w:pPr>
            <w:r>
              <w:rPr>
                <w:rFonts w:hint="eastAsia"/>
              </w:rPr>
              <w:t>A12：公司的锡膏主要应用于光伏、LED、半导体等封装、组装应用行业。光伏方面主要应用于BC电池技术。</w:t>
            </w:r>
          </w:p>
        </w:tc>
      </w:tr>
      <w:tr w14:paraId="52C5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80" w:type="dxa"/>
          </w:tcPr>
          <w:p w14:paraId="392AD79F">
            <w:pPr>
              <w:rPr>
                <w:rFonts w:hint="eastAsia"/>
              </w:rPr>
            </w:pPr>
            <w:r>
              <w:rPr>
                <w:rFonts w:hint="eastAsia"/>
              </w:rPr>
              <w:t>关于本次活动是否涉及应当披露重大信息的说明</w:t>
            </w:r>
          </w:p>
        </w:tc>
        <w:tc>
          <w:tcPr>
            <w:tcW w:w="6316" w:type="dxa"/>
          </w:tcPr>
          <w:p w14:paraId="3B9EB652">
            <w:pPr>
              <w:rPr>
                <w:rFonts w:hint="eastAsia"/>
              </w:rPr>
            </w:pPr>
            <w:r>
              <w:rPr>
                <w:rFonts w:hint="eastAsia"/>
              </w:rPr>
              <w:t>不涉及</w:t>
            </w:r>
          </w:p>
        </w:tc>
      </w:tr>
      <w:tr w14:paraId="2E9E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162D277">
            <w:pPr>
              <w:rPr>
                <w:rFonts w:hint="eastAsia"/>
              </w:rPr>
            </w:pPr>
            <w:r>
              <w:rPr>
                <w:rFonts w:hint="eastAsia"/>
              </w:rPr>
              <w:t>附件清单（如有）</w:t>
            </w:r>
          </w:p>
        </w:tc>
        <w:tc>
          <w:tcPr>
            <w:tcW w:w="6316" w:type="dxa"/>
          </w:tcPr>
          <w:p w14:paraId="77310521">
            <w:pPr>
              <w:rPr>
                <w:rFonts w:hint="eastAsia"/>
              </w:rPr>
            </w:pPr>
          </w:p>
        </w:tc>
      </w:tr>
      <w:tr w14:paraId="1833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BE0FE7B">
            <w:pPr>
              <w:rPr>
                <w:rFonts w:hint="eastAsia"/>
              </w:rPr>
            </w:pPr>
            <w:r>
              <w:rPr>
                <w:rFonts w:hint="eastAsia"/>
              </w:rPr>
              <w:t>日期</w:t>
            </w:r>
          </w:p>
        </w:tc>
        <w:tc>
          <w:tcPr>
            <w:tcW w:w="6316" w:type="dxa"/>
          </w:tcPr>
          <w:p w14:paraId="218F7978">
            <w:pPr>
              <w:rPr>
                <w:rFonts w:hint="eastAsia"/>
              </w:rPr>
            </w:pPr>
            <w:r>
              <w:rPr>
                <w:rFonts w:hint="eastAsia"/>
              </w:rPr>
              <w:t>2</w:t>
            </w:r>
            <w:r>
              <w:t>02</w:t>
            </w:r>
            <w:r>
              <w:rPr>
                <w:rFonts w:hint="eastAsia"/>
              </w:rPr>
              <w:t>4年12</w:t>
            </w:r>
            <w:r>
              <w:t>月</w:t>
            </w:r>
            <w:r>
              <w:rPr>
                <w:rFonts w:hint="eastAsia"/>
              </w:rPr>
              <w:t>9</w:t>
            </w:r>
            <w:r>
              <w:t>日</w:t>
            </w:r>
          </w:p>
        </w:tc>
      </w:tr>
    </w:tbl>
    <w:p w14:paraId="147426D0">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MDAxOWE2M2JlYzYzZTcxNWVlMDMyNTM4ZDFhZjgifQ=="/>
  </w:docVars>
  <w:rsids>
    <w:rsidRoot w:val="0044575E"/>
    <w:rsid w:val="00002E87"/>
    <w:rsid w:val="00004DD7"/>
    <w:rsid w:val="00011E25"/>
    <w:rsid w:val="00012B1A"/>
    <w:rsid w:val="00026527"/>
    <w:rsid w:val="00027AFE"/>
    <w:rsid w:val="00035DEC"/>
    <w:rsid w:val="00050A74"/>
    <w:rsid w:val="000732EA"/>
    <w:rsid w:val="00073E51"/>
    <w:rsid w:val="00093E16"/>
    <w:rsid w:val="000A73BB"/>
    <w:rsid w:val="000A775A"/>
    <w:rsid w:val="000B146D"/>
    <w:rsid w:val="000B3ABC"/>
    <w:rsid w:val="000C26C5"/>
    <w:rsid w:val="000C5765"/>
    <w:rsid w:val="000D7E61"/>
    <w:rsid w:val="000F0698"/>
    <w:rsid w:val="000F3ABB"/>
    <w:rsid w:val="001006F2"/>
    <w:rsid w:val="00104366"/>
    <w:rsid w:val="00112415"/>
    <w:rsid w:val="001158A8"/>
    <w:rsid w:val="001163DE"/>
    <w:rsid w:val="001231FB"/>
    <w:rsid w:val="0012624B"/>
    <w:rsid w:val="00145E74"/>
    <w:rsid w:val="0014724C"/>
    <w:rsid w:val="00155AB1"/>
    <w:rsid w:val="0017412E"/>
    <w:rsid w:val="0017657C"/>
    <w:rsid w:val="001847C2"/>
    <w:rsid w:val="00190AB6"/>
    <w:rsid w:val="001A19CE"/>
    <w:rsid w:val="001A227D"/>
    <w:rsid w:val="001A22E5"/>
    <w:rsid w:val="001A4B8A"/>
    <w:rsid w:val="001A6013"/>
    <w:rsid w:val="001C542B"/>
    <w:rsid w:val="001D3822"/>
    <w:rsid w:val="001E1653"/>
    <w:rsid w:val="001E32E2"/>
    <w:rsid w:val="001E5BAA"/>
    <w:rsid w:val="001F42B8"/>
    <w:rsid w:val="001F615E"/>
    <w:rsid w:val="001F6AE2"/>
    <w:rsid w:val="00206045"/>
    <w:rsid w:val="002112F4"/>
    <w:rsid w:val="00216448"/>
    <w:rsid w:val="002217A4"/>
    <w:rsid w:val="0022210B"/>
    <w:rsid w:val="0022401A"/>
    <w:rsid w:val="00230BE4"/>
    <w:rsid w:val="002437BC"/>
    <w:rsid w:val="0024445D"/>
    <w:rsid w:val="00245195"/>
    <w:rsid w:val="00251449"/>
    <w:rsid w:val="00254ABB"/>
    <w:rsid w:val="00254B28"/>
    <w:rsid w:val="00263F6C"/>
    <w:rsid w:val="002866D4"/>
    <w:rsid w:val="00290D81"/>
    <w:rsid w:val="00292189"/>
    <w:rsid w:val="002A5C75"/>
    <w:rsid w:val="002A6BD2"/>
    <w:rsid w:val="002A73DB"/>
    <w:rsid w:val="002B11C8"/>
    <w:rsid w:val="002B2022"/>
    <w:rsid w:val="002C2241"/>
    <w:rsid w:val="002C55FE"/>
    <w:rsid w:val="002D5D7D"/>
    <w:rsid w:val="002E11E9"/>
    <w:rsid w:val="002E2C78"/>
    <w:rsid w:val="002E67CD"/>
    <w:rsid w:val="002F13FB"/>
    <w:rsid w:val="002F1FA3"/>
    <w:rsid w:val="002F2236"/>
    <w:rsid w:val="00306403"/>
    <w:rsid w:val="00307FB1"/>
    <w:rsid w:val="003142DC"/>
    <w:rsid w:val="003171F4"/>
    <w:rsid w:val="003207BB"/>
    <w:rsid w:val="003246B4"/>
    <w:rsid w:val="003348E9"/>
    <w:rsid w:val="00340F50"/>
    <w:rsid w:val="00344FDD"/>
    <w:rsid w:val="0035030A"/>
    <w:rsid w:val="00362ACC"/>
    <w:rsid w:val="003737DA"/>
    <w:rsid w:val="003776D1"/>
    <w:rsid w:val="00395D21"/>
    <w:rsid w:val="003A2C07"/>
    <w:rsid w:val="003B1CC8"/>
    <w:rsid w:val="003C041A"/>
    <w:rsid w:val="003C0753"/>
    <w:rsid w:val="003D40A1"/>
    <w:rsid w:val="003E455A"/>
    <w:rsid w:val="003E50D4"/>
    <w:rsid w:val="0040426C"/>
    <w:rsid w:val="0040448C"/>
    <w:rsid w:val="00407439"/>
    <w:rsid w:val="00420521"/>
    <w:rsid w:val="00422EC1"/>
    <w:rsid w:val="00427E6C"/>
    <w:rsid w:val="00435B42"/>
    <w:rsid w:val="0044575E"/>
    <w:rsid w:val="00447ED7"/>
    <w:rsid w:val="00455449"/>
    <w:rsid w:val="004673E7"/>
    <w:rsid w:val="004766EF"/>
    <w:rsid w:val="004864D6"/>
    <w:rsid w:val="004877F7"/>
    <w:rsid w:val="004B7578"/>
    <w:rsid w:val="004C07DB"/>
    <w:rsid w:val="004C0F4F"/>
    <w:rsid w:val="004C35DF"/>
    <w:rsid w:val="004F6C73"/>
    <w:rsid w:val="004F7BF5"/>
    <w:rsid w:val="0050006D"/>
    <w:rsid w:val="00500753"/>
    <w:rsid w:val="00501D79"/>
    <w:rsid w:val="005070BB"/>
    <w:rsid w:val="005216A0"/>
    <w:rsid w:val="00536138"/>
    <w:rsid w:val="005449E0"/>
    <w:rsid w:val="005515D0"/>
    <w:rsid w:val="00562819"/>
    <w:rsid w:val="005670CF"/>
    <w:rsid w:val="00575673"/>
    <w:rsid w:val="00590C7C"/>
    <w:rsid w:val="005A107A"/>
    <w:rsid w:val="005B7CA5"/>
    <w:rsid w:val="005C5E1A"/>
    <w:rsid w:val="005D0B31"/>
    <w:rsid w:val="005D6AA9"/>
    <w:rsid w:val="00601CFF"/>
    <w:rsid w:val="0061449B"/>
    <w:rsid w:val="006166F6"/>
    <w:rsid w:val="00616AB1"/>
    <w:rsid w:val="00620977"/>
    <w:rsid w:val="006223DE"/>
    <w:rsid w:val="00624416"/>
    <w:rsid w:val="0064265B"/>
    <w:rsid w:val="0065003E"/>
    <w:rsid w:val="006505E4"/>
    <w:rsid w:val="00651F18"/>
    <w:rsid w:val="00654FBA"/>
    <w:rsid w:val="00657CA5"/>
    <w:rsid w:val="00660088"/>
    <w:rsid w:val="00666D72"/>
    <w:rsid w:val="00685ABB"/>
    <w:rsid w:val="006868A2"/>
    <w:rsid w:val="00690643"/>
    <w:rsid w:val="006A6084"/>
    <w:rsid w:val="006B54B7"/>
    <w:rsid w:val="006B60E9"/>
    <w:rsid w:val="006C277A"/>
    <w:rsid w:val="006E308D"/>
    <w:rsid w:val="006E5747"/>
    <w:rsid w:val="006E5EAF"/>
    <w:rsid w:val="007002FA"/>
    <w:rsid w:val="007156F6"/>
    <w:rsid w:val="007267B8"/>
    <w:rsid w:val="00726F5C"/>
    <w:rsid w:val="00732483"/>
    <w:rsid w:val="007342B6"/>
    <w:rsid w:val="0074188E"/>
    <w:rsid w:val="0075130E"/>
    <w:rsid w:val="00751AB8"/>
    <w:rsid w:val="00764D32"/>
    <w:rsid w:val="0076764E"/>
    <w:rsid w:val="0077144B"/>
    <w:rsid w:val="00771B1B"/>
    <w:rsid w:val="007850F7"/>
    <w:rsid w:val="007A16DD"/>
    <w:rsid w:val="007B14B2"/>
    <w:rsid w:val="007B3297"/>
    <w:rsid w:val="007B5657"/>
    <w:rsid w:val="007C1304"/>
    <w:rsid w:val="007C4BD6"/>
    <w:rsid w:val="007D0EB5"/>
    <w:rsid w:val="007D1D15"/>
    <w:rsid w:val="007D1E01"/>
    <w:rsid w:val="007D7469"/>
    <w:rsid w:val="007D79EF"/>
    <w:rsid w:val="007E0550"/>
    <w:rsid w:val="007E65A9"/>
    <w:rsid w:val="007F1A7D"/>
    <w:rsid w:val="007F38CC"/>
    <w:rsid w:val="007F4B6C"/>
    <w:rsid w:val="00821EBB"/>
    <w:rsid w:val="0085123E"/>
    <w:rsid w:val="00854C3D"/>
    <w:rsid w:val="00872687"/>
    <w:rsid w:val="00876BA6"/>
    <w:rsid w:val="00880148"/>
    <w:rsid w:val="00880FE1"/>
    <w:rsid w:val="008822F8"/>
    <w:rsid w:val="00891B2E"/>
    <w:rsid w:val="0089328C"/>
    <w:rsid w:val="008A29E8"/>
    <w:rsid w:val="008B7359"/>
    <w:rsid w:val="008C1928"/>
    <w:rsid w:val="008C342A"/>
    <w:rsid w:val="008C3926"/>
    <w:rsid w:val="008D2646"/>
    <w:rsid w:val="008D43AB"/>
    <w:rsid w:val="008D6B0E"/>
    <w:rsid w:val="008E1C51"/>
    <w:rsid w:val="008F1A57"/>
    <w:rsid w:val="00904A16"/>
    <w:rsid w:val="00910D9B"/>
    <w:rsid w:val="0092310E"/>
    <w:rsid w:val="009267C5"/>
    <w:rsid w:val="009300DA"/>
    <w:rsid w:val="0093413B"/>
    <w:rsid w:val="00936851"/>
    <w:rsid w:val="009409DF"/>
    <w:rsid w:val="009529E1"/>
    <w:rsid w:val="009618F6"/>
    <w:rsid w:val="00966A1A"/>
    <w:rsid w:val="00972DE1"/>
    <w:rsid w:val="00977BAC"/>
    <w:rsid w:val="00996C34"/>
    <w:rsid w:val="009A3880"/>
    <w:rsid w:val="009B3291"/>
    <w:rsid w:val="009C63DC"/>
    <w:rsid w:val="009C768C"/>
    <w:rsid w:val="009D2573"/>
    <w:rsid w:val="009D2E13"/>
    <w:rsid w:val="009D581C"/>
    <w:rsid w:val="009F37EC"/>
    <w:rsid w:val="009F4B04"/>
    <w:rsid w:val="009F5B8D"/>
    <w:rsid w:val="00A15000"/>
    <w:rsid w:val="00A24206"/>
    <w:rsid w:val="00A32443"/>
    <w:rsid w:val="00A36EAF"/>
    <w:rsid w:val="00A769C1"/>
    <w:rsid w:val="00AB313F"/>
    <w:rsid w:val="00AF0359"/>
    <w:rsid w:val="00B15476"/>
    <w:rsid w:val="00B15C6B"/>
    <w:rsid w:val="00B2305C"/>
    <w:rsid w:val="00B26D99"/>
    <w:rsid w:val="00B4148E"/>
    <w:rsid w:val="00B57D53"/>
    <w:rsid w:val="00B65623"/>
    <w:rsid w:val="00B75AE1"/>
    <w:rsid w:val="00B805CE"/>
    <w:rsid w:val="00B819E4"/>
    <w:rsid w:val="00B91B2E"/>
    <w:rsid w:val="00B94699"/>
    <w:rsid w:val="00BA0513"/>
    <w:rsid w:val="00BA199E"/>
    <w:rsid w:val="00BA446D"/>
    <w:rsid w:val="00BA5BE9"/>
    <w:rsid w:val="00BD3F22"/>
    <w:rsid w:val="00BD5DDD"/>
    <w:rsid w:val="00BD647D"/>
    <w:rsid w:val="00BD7C75"/>
    <w:rsid w:val="00BE0E2F"/>
    <w:rsid w:val="00BF204E"/>
    <w:rsid w:val="00BF2687"/>
    <w:rsid w:val="00C022A4"/>
    <w:rsid w:val="00C043B0"/>
    <w:rsid w:val="00C0478F"/>
    <w:rsid w:val="00C115F2"/>
    <w:rsid w:val="00C173BE"/>
    <w:rsid w:val="00C20FD1"/>
    <w:rsid w:val="00C319B2"/>
    <w:rsid w:val="00C32400"/>
    <w:rsid w:val="00C37CA4"/>
    <w:rsid w:val="00C50A10"/>
    <w:rsid w:val="00C519D0"/>
    <w:rsid w:val="00C51E4C"/>
    <w:rsid w:val="00C751A6"/>
    <w:rsid w:val="00C9047A"/>
    <w:rsid w:val="00C908E7"/>
    <w:rsid w:val="00C93076"/>
    <w:rsid w:val="00C94AC9"/>
    <w:rsid w:val="00CA02A3"/>
    <w:rsid w:val="00CA4588"/>
    <w:rsid w:val="00CC6283"/>
    <w:rsid w:val="00CD3357"/>
    <w:rsid w:val="00CD5375"/>
    <w:rsid w:val="00CE5189"/>
    <w:rsid w:val="00CE5F63"/>
    <w:rsid w:val="00D12CF1"/>
    <w:rsid w:val="00D14C41"/>
    <w:rsid w:val="00D1623E"/>
    <w:rsid w:val="00D20F97"/>
    <w:rsid w:val="00D21DE9"/>
    <w:rsid w:val="00D24CA9"/>
    <w:rsid w:val="00D5012C"/>
    <w:rsid w:val="00D51602"/>
    <w:rsid w:val="00D62D90"/>
    <w:rsid w:val="00D63F05"/>
    <w:rsid w:val="00D65CD2"/>
    <w:rsid w:val="00D664BE"/>
    <w:rsid w:val="00D6678C"/>
    <w:rsid w:val="00D67ABA"/>
    <w:rsid w:val="00D74693"/>
    <w:rsid w:val="00D8155B"/>
    <w:rsid w:val="00DA0ADF"/>
    <w:rsid w:val="00DA776B"/>
    <w:rsid w:val="00DB1007"/>
    <w:rsid w:val="00DB25CD"/>
    <w:rsid w:val="00DC747B"/>
    <w:rsid w:val="00DD4209"/>
    <w:rsid w:val="00E00E1C"/>
    <w:rsid w:val="00E026DF"/>
    <w:rsid w:val="00E105FE"/>
    <w:rsid w:val="00E40E38"/>
    <w:rsid w:val="00E51C20"/>
    <w:rsid w:val="00E6072F"/>
    <w:rsid w:val="00E63814"/>
    <w:rsid w:val="00E63B0F"/>
    <w:rsid w:val="00E65053"/>
    <w:rsid w:val="00E71DE8"/>
    <w:rsid w:val="00E73E13"/>
    <w:rsid w:val="00E806DA"/>
    <w:rsid w:val="00E95541"/>
    <w:rsid w:val="00EB1E77"/>
    <w:rsid w:val="00EC1E97"/>
    <w:rsid w:val="00EC6218"/>
    <w:rsid w:val="00EC6F90"/>
    <w:rsid w:val="00ED1296"/>
    <w:rsid w:val="00ED5A40"/>
    <w:rsid w:val="00ED7D1C"/>
    <w:rsid w:val="00EE17CF"/>
    <w:rsid w:val="00EF640A"/>
    <w:rsid w:val="00F00D70"/>
    <w:rsid w:val="00F131BC"/>
    <w:rsid w:val="00F1426B"/>
    <w:rsid w:val="00F21FC1"/>
    <w:rsid w:val="00F35DD3"/>
    <w:rsid w:val="00F42F9F"/>
    <w:rsid w:val="00F433CE"/>
    <w:rsid w:val="00F4510A"/>
    <w:rsid w:val="00F47A8C"/>
    <w:rsid w:val="00F504A2"/>
    <w:rsid w:val="00F571D6"/>
    <w:rsid w:val="00F64203"/>
    <w:rsid w:val="00F70830"/>
    <w:rsid w:val="00F74209"/>
    <w:rsid w:val="00F773D9"/>
    <w:rsid w:val="00F80F73"/>
    <w:rsid w:val="00F84AB2"/>
    <w:rsid w:val="00F95163"/>
    <w:rsid w:val="00FA3D9F"/>
    <w:rsid w:val="00FC2DD8"/>
    <w:rsid w:val="00FD0995"/>
    <w:rsid w:val="00FD34E5"/>
    <w:rsid w:val="00FE6DB9"/>
    <w:rsid w:val="053E339B"/>
    <w:rsid w:val="0992329A"/>
    <w:rsid w:val="0F4955D4"/>
    <w:rsid w:val="21C213C1"/>
    <w:rsid w:val="28CA0B7C"/>
    <w:rsid w:val="29726241"/>
    <w:rsid w:val="2C195D1A"/>
    <w:rsid w:val="2CC66E03"/>
    <w:rsid w:val="2E8F44EC"/>
    <w:rsid w:val="330A6B0C"/>
    <w:rsid w:val="3324700C"/>
    <w:rsid w:val="3BFF41E4"/>
    <w:rsid w:val="40994E10"/>
    <w:rsid w:val="435A2C3D"/>
    <w:rsid w:val="43E370ED"/>
    <w:rsid w:val="4EB728FC"/>
    <w:rsid w:val="50D36C2F"/>
    <w:rsid w:val="51EF21A4"/>
    <w:rsid w:val="59100502"/>
    <w:rsid w:val="5DB9023F"/>
    <w:rsid w:val="5E5D0BCB"/>
    <w:rsid w:val="605519C0"/>
    <w:rsid w:val="624E654F"/>
    <w:rsid w:val="66BE3B99"/>
    <w:rsid w:val="691509F6"/>
    <w:rsid w:val="6EA56ED8"/>
    <w:rsid w:val="72927EBF"/>
    <w:rsid w:val="7B90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宋体" w:cs="Times New Roman"/>
      <w:kern w:val="2"/>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alloon Text"/>
    <w:basedOn w:val="1"/>
    <w:link w:val="21"/>
    <w:autoRedefine/>
    <w:semiHidden/>
    <w:unhideWhenUsed/>
    <w:qFormat/>
    <w:uiPriority w:val="99"/>
    <w:rPr>
      <w:sz w:val="18"/>
      <w:szCs w:val="18"/>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rPr>
  </w:style>
  <w:style w:type="paragraph" w:styleId="7">
    <w:name w:val="Title"/>
    <w:basedOn w:val="1"/>
    <w:next w:val="1"/>
    <w:link w:val="13"/>
    <w:autoRedefine/>
    <w:qFormat/>
    <w:uiPriority w:val="0"/>
    <w:pPr>
      <w:spacing w:before="240" w:after="60"/>
      <w:jc w:val="center"/>
      <w:outlineLvl w:val="0"/>
    </w:pPr>
    <w:rPr>
      <w:rFonts w:ascii="Cambria" w:hAnsi="Cambria"/>
      <w:b/>
      <w:bCs/>
      <w:sz w:val="32"/>
      <w:szCs w:val="32"/>
    </w:rPr>
  </w:style>
  <w:style w:type="paragraph" w:styleId="8">
    <w:name w:val="annotation subject"/>
    <w:basedOn w:val="2"/>
    <w:next w:val="2"/>
    <w:link w:val="20"/>
    <w:autoRedefine/>
    <w:semiHidden/>
    <w:unhideWhenUsed/>
    <w:qFormat/>
    <w:uiPriority w:val="99"/>
    <w:rPr>
      <w:b/>
      <w:bCs/>
    </w:rPr>
  </w:style>
  <w:style w:type="table" w:styleId="10">
    <w:name w:val="Table Grid"/>
    <w:basedOn w:val="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标题 字符"/>
    <w:basedOn w:val="11"/>
    <w:link w:val="7"/>
    <w:autoRedefine/>
    <w:qFormat/>
    <w:uiPriority w:val="0"/>
    <w:rPr>
      <w:rFonts w:ascii="Cambria" w:hAnsi="Cambria" w:eastAsia="宋体" w:cs="Times New Roman"/>
      <w:b/>
      <w:bCs/>
      <w:sz w:val="32"/>
      <w:szCs w:val="32"/>
    </w:rPr>
  </w:style>
  <w:style w:type="character" w:customStyle="1" w:styleId="14">
    <w:name w:val="15"/>
    <w:basedOn w:val="11"/>
    <w:autoRedefine/>
    <w:qFormat/>
    <w:uiPriority w:val="0"/>
    <w:rPr>
      <w:rFonts w:hint="default" w:ascii="Times New Roman" w:hAnsi="Times New Roman" w:cs="Times New Roman"/>
      <w:kern w:val="2"/>
      <w:sz w:val="21"/>
      <w:szCs w:val="21"/>
    </w:rPr>
  </w:style>
  <w:style w:type="character" w:customStyle="1" w:styleId="15">
    <w:name w:val="16"/>
    <w:basedOn w:val="11"/>
    <w:autoRedefine/>
    <w:qFormat/>
    <w:uiPriority w:val="0"/>
    <w:rPr>
      <w:rFonts w:hint="default" w:ascii="Calibri" w:hAnsi="Calibri"/>
      <w:color w:val="0000FF"/>
      <w:u w:val="single"/>
    </w:rPr>
  </w:style>
  <w:style w:type="character" w:customStyle="1" w:styleId="16">
    <w:name w:val="页眉 字符"/>
    <w:basedOn w:val="11"/>
    <w:link w:val="5"/>
    <w:autoRedefine/>
    <w:qFormat/>
    <w:uiPriority w:val="99"/>
    <w:rPr>
      <w:rFonts w:ascii="Times New Roman" w:hAnsi="Times New Roman" w:eastAsia="宋体" w:cs="Times New Roman"/>
      <w:sz w:val="18"/>
      <w:szCs w:val="18"/>
    </w:rPr>
  </w:style>
  <w:style w:type="character" w:customStyle="1" w:styleId="17">
    <w:name w:val="页脚 字符"/>
    <w:basedOn w:val="11"/>
    <w:link w:val="4"/>
    <w:autoRedefine/>
    <w:qFormat/>
    <w:uiPriority w:val="99"/>
    <w:rPr>
      <w:rFonts w:ascii="Times New Roman" w:hAnsi="Times New Roman" w:eastAsia="宋体" w:cs="Times New Roman"/>
      <w:sz w:val="18"/>
      <w:szCs w:val="18"/>
    </w:rPr>
  </w:style>
  <w:style w:type="paragraph" w:customStyle="1" w:styleId="1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11"/>
    <w:link w:val="2"/>
    <w:autoRedefine/>
    <w:semiHidden/>
    <w:qFormat/>
    <w:uiPriority w:val="99"/>
    <w:rPr>
      <w:rFonts w:ascii="Times New Roman" w:hAnsi="Times New Roman" w:eastAsia="宋体" w:cs="Times New Roman"/>
      <w:kern w:val="2"/>
      <w:sz w:val="21"/>
      <w:szCs w:val="24"/>
    </w:rPr>
  </w:style>
  <w:style w:type="character" w:customStyle="1" w:styleId="20">
    <w:name w:val="批注主题 字符"/>
    <w:basedOn w:val="19"/>
    <w:link w:val="8"/>
    <w:autoRedefine/>
    <w:semiHidden/>
    <w:qFormat/>
    <w:uiPriority w:val="99"/>
    <w:rPr>
      <w:rFonts w:ascii="Times New Roman" w:hAnsi="Times New Roman" w:eastAsia="宋体" w:cs="Times New Roman"/>
      <w:b/>
      <w:bCs/>
      <w:kern w:val="2"/>
      <w:sz w:val="21"/>
      <w:szCs w:val="24"/>
    </w:rPr>
  </w:style>
  <w:style w:type="character" w:customStyle="1" w:styleId="21">
    <w:name w:val="批注框文本 字符"/>
    <w:basedOn w:val="11"/>
    <w:link w:val="3"/>
    <w:autoRedefine/>
    <w:semiHidden/>
    <w:qFormat/>
    <w:uiPriority w:val="99"/>
    <w:rPr>
      <w:rFonts w:ascii="Times New Roman" w:hAnsi="Times New Roman" w:eastAsia="宋体" w:cs="Times New Roman"/>
      <w:kern w:val="2"/>
      <w:sz w:val="18"/>
      <w:szCs w:val="18"/>
    </w:rPr>
  </w:style>
  <w:style w:type="paragraph" w:customStyle="1" w:styleId="22">
    <w:name w:val="修订2"/>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sse</Company>
  <Pages>5</Pages>
  <Words>2270</Words>
  <Characters>2379</Characters>
  <Lines>17</Lines>
  <Paragraphs>5</Paragraphs>
  <TotalTime>0</TotalTime>
  <ScaleCrop>false</ScaleCrop>
  <LinksUpToDate>false</LinksUpToDate>
  <CharactersWithSpaces>2457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2024-12-09T08:11:00Z</dcterms:created>
  <dc:creator>yyfm</dc:creator>
  <cp:lastModifiedBy>木木凉</cp:lastModifiedBy>
  <cp:lastPrinted>2022-08-02T09:13:00Z</cp:lastPrinted>
  <dcterms:modified xsi:type="dcterms:W3CDTF">2024-12-09T08:27:56Z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DD962EFB8385495897B0E869A0AFBCAF_13</vt:lpwstr>
  </property>
</Properties>
</file>