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D1AB" w14:textId="77777777" w:rsidR="00C91E2F" w:rsidRDefault="00000000">
      <w:pPr>
        <w:widowControl/>
        <w:wordWrap w:val="0"/>
        <w:spacing w:line="360" w:lineRule="auto"/>
        <w:rPr>
          <w:rFonts w:ascii="楷体" w:eastAsia="楷体" w:hAnsi="楷体" w:cs="Times New Roman" w:hint="eastAsia"/>
          <w:b/>
          <w:bCs/>
          <w:color w:val="000000"/>
          <w:kern w:val="0"/>
          <w:sz w:val="24"/>
          <w:lang w:bidi="ar"/>
        </w:rPr>
      </w:pPr>
      <w:r>
        <w:rPr>
          <w:rFonts w:ascii="楷体" w:eastAsia="楷体" w:hAnsi="楷体" w:cs="Times New Roman"/>
          <w:b/>
          <w:bCs/>
          <w:color w:val="000000"/>
          <w:kern w:val="0"/>
          <w:sz w:val="24"/>
          <w:lang w:bidi="ar"/>
        </w:rPr>
        <w:t>证券代码：</w:t>
      </w:r>
      <w:r>
        <w:rPr>
          <w:rFonts w:ascii="Times New Roman" w:eastAsia="楷体" w:hAnsi="Times New Roman" w:cs="Times New Roman"/>
          <w:b/>
          <w:bCs/>
          <w:color w:val="000000"/>
          <w:kern w:val="0"/>
          <w:sz w:val="24"/>
          <w:lang w:bidi="ar"/>
        </w:rPr>
        <w:t>688069</w:t>
      </w:r>
      <w:r>
        <w:rPr>
          <w:rFonts w:ascii="楷体" w:eastAsia="楷体" w:hAnsi="楷体" w:cs="Times New Roman"/>
          <w:b/>
          <w:bCs/>
          <w:color w:val="000000"/>
          <w:kern w:val="0"/>
          <w:sz w:val="24"/>
          <w:lang w:bidi="ar"/>
        </w:rPr>
        <w:t xml:space="preserve">                                               证券简称：德林海</w:t>
      </w:r>
    </w:p>
    <w:p w14:paraId="39B17B57" w14:textId="77777777" w:rsidR="00C91E2F" w:rsidRDefault="00C91E2F">
      <w:pPr>
        <w:widowControl/>
        <w:wordWrap w:val="0"/>
        <w:spacing w:line="360" w:lineRule="auto"/>
        <w:rPr>
          <w:rFonts w:ascii="楷体" w:eastAsia="楷体" w:hAnsi="楷体" w:cs="Times New Roman" w:hint="eastAsia"/>
          <w:color w:val="000000"/>
          <w:kern w:val="0"/>
          <w:sz w:val="24"/>
          <w:lang w:bidi="ar"/>
        </w:rPr>
      </w:pPr>
    </w:p>
    <w:p w14:paraId="68D599EF" w14:textId="77777777" w:rsidR="00C91E2F" w:rsidRDefault="00000000">
      <w:pPr>
        <w:widowControl/>
        <w:wordWrap w:val="0"/>
        <w:spacing w:line="360" w:lineRule="auto"/>
        <w:jc w:val="center"/>
        <w:rPr>
          <w:rFonts w:ascii="楷体" w:eastAsia="楷体" w:hAnsi="楷体" w:cs="Times New Roman" w:hint="eastAsia"/>
          <w:b/>
          <w:bCs/>
          <w:color w:val="000000"/>
          <w:kern w:val="0"/>
          <w:sz w:val="28"/>
          <w:szCs w:val="28"/>
          <w:lang w:bidi="ar"/>
        </w:rPr>
      </w:pPr>
      <w:r>
        <w:rPr>
          <w:rFonts w:ascii="楷体" w:eastAsia="楷体" w:hAnsi="楷体" w:cs="Times New Roman"/>
          <w:b/>
          <w:bCs/>
          <w:color w:val="000000"/>
          <w:kern w:val="0"/>
          <w:sz w:val="28"/>
          <w:szCs w:val="28"/>
          <w:lang w:bidi="ar"/>
        </w:rPr>
        <w:t>无锡德林海环保科技股份有限公司</w:t>
      </w:r>
    </w:p>
    <w:p w14:paraId="657F6427" w14:textId="77777777" w:rsidR="00C91E2F" w:rsidRDefault="00000000">
      <w:pPr>
        <w:widowControl/>
        <w:wordWrap w:val="0"/>
        <w:spacing w:line="360" w:lineRule="auto"/>
        <w:jc w:val="center"/>
        <w:rPr>
          <w:rFonts w:ascii="楷体" w:eastAsia="楷体" w:hAnsi="楷体" w:cs="Times New Roman" w:hint="eastAsia"/>
          <w:b/>
          <w:bCs/>
          <w:color w:val="000000"/>
          <w:kern w:val="0"/>
          <w:sz w:val="28"/>
          <w:szCs w:val="28"/>
          <w:lang w:bidi="ar"/>
        </w:rPr>
      </w:pPr>
      <w:r>
        <w:rPr>
          <w:rFonts w:ascii="楷体" w:eastAsia="楷体" w:hAnsi="楷体" w:cs="Times New Roman"/>
          <w:b/>
          <w:bCs/>
          <w:color w:val="000000"/>
          <w:kern w:val="0"/>
          <w:sz w:val="28"/>
          <w:szCs w:val="28"/>
          <w:lang w:bidi="ar"/>
        </w:rPr>
        <w:t>投资者关系活动记录表</w:t>
      </w:r>
    </w:p>
    <w:p w14:paraId="63320F72" w14:textId="77777777" w:rsidR="00C91E2F" w:rsidRDefault="00000000">
      <w:pPr>
        <w:widowControl/>
        <w:wordWrap w:val="0"/>
        <w:spacing w:line="360" w:lineRule="auto"/>
        <w:jc w:val="center"/>
        <w:rPr>
          <w:rFonts w:ascii="楷体" w:eastAsia="楷体" w:hAnsi="楷体" w:cs="Times New Roman" w:hint="eastAsia"/>
          <w:b/>
          <w:bCs/>
          <w:color w:val="000000"/>
          <w:kern w:val="0"/>
          <w:sz w:val="24"/>
          <w:lang w:bidi="ar"/>
        </w:rPr>
      </w:pPr>
      <w:r>
        <w:rPr>
          <w:rFonts w:ascii="楷体" w:eastAsia="楷体" w:hAnsi="楷体" w:cs="Times New Roman"/>
          <w:b/>
          <w:bCs/>
          <w:color w:val="000000"/>
          <w:kern w:val="0"/>
          <w:sz w:val="28"/>
          <w:szCs w:val="28"/>
          <w:lang w:bidi="ar"/>
        </w:rPr>
        <w:t xml:space="preserve">                                                    </w:t>
      </w:r>
      <w:r>
        <w:rPr>
          <w:rFonts w:ascii="楷体" w:eastAsia="楷体" w:hAnsi="楷体" w:cs="Times New Roman"/>
          <w:b/>
          <w:bCs/>
          <w:color w:val="000000"/>
          <w:kern w:val="0"/>
          <w:sz w:val="24"/>
          <w:lang w:bidi="ar"/>
        </w:rPr>
        <w:t xml:space="preserve"> 编号：</w:t>
      </w:r>
      <w:r>
        <w:rPr>
          <w:rFonts w:ascii="Times New Roman" w:eastAsia="楷体" w:hAnsi="Times New Roman" w:cs="Times New Roman"/>
          <w:b/>
          <w:bCs/>
          <w:color w:val="000000"/>
          <w:kern w:val="0"/>
          <w:sz w:val="24"/>
          <w:lang w:bidi="ar"/>
        </w:rPr>
        <w:t>2024</w:t>
      </w:r>
      <w:r>
        <w:rPr>
          <w:rFonts w:ascii="楷体" w:eastAsia="楷体" w:hAnsi="楷体" w:cs="Times New Roman"/>
          <w:b/>
          <w:bCs/>
          <w:color w:val="000000"/>
          <w:kern w:val="0"/>
          <w:sz w:val="24"/>
          <w:lang w:bidi="ar"/>
        </w:rPr>
        <w:t>-</w:t>
      </w:r>
      <w:r>
        <w:rPr>
          <w:rFonts w:ascii="Times New Roman" w:eastAsia="楷体" w:hAnsi="Times New Roman" w:cs="Times New Roman"/>
          <w:b/>
          <w:bCs/>
          <w:color w:val="000000"/>
          <w:kern w:val="0"/>
          <w:sz w:val="24"/>
          <w:lang w:bidi="ar"/>
        </w:rPr>
        <w:t>00</w:t>
      </w:r>
      <w:r>
        <w:rPr>
          <w:rFonts w:ascii="Times New Roman" w:eastAsia="楷体" w:hAnsi="Times New Roman" w:cs="Times New Roman" w:hint="eastAsia"/>
          <w:b/>
          <w:bCs/>
          <w:color w:val="000000"/>
          <w:kern w:val="0"/>
          <w:sz w:val="24"/>
          <w:lang w:bidi="ar"/>
        </w:rPr>
        <w:t>4</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904"/>
        <w:gridCol w:w="6366"/>
      </w:tblGrid>
      <w:tr w:rsidR="00C91E2F" w14:paraId="55BCA57A" w14:textId="77777777">
        <w:trPr>
          <w:trHeight w:val="2203"/>
          <w:jc w:val="center"/>
        </w:trPr>
        <w:tc>
          <w:tcPr>
            <w:tcW w:w="2904" w:type="dxa"/>
          </w:tcPr>
          <w:p w14:paraId="12877C1B" w14:textId="77777777" w:rsidR="00C91E2F" w:rsidRDefault="00C91E2F">
            <w:pPr>
              <w:pStyle w:val="TableParagraph"/>
              <w:rPr>
                <w:rFonts w:cs="Times New Roman" w:hint="eastAsia"/>
                <w:sz w:val="24"/>
              </w:rPr>
            </w:pPr>
          </w:p>
          <w:p w14:paraId="72B0DCAA" w14:textId="77777777" w:rsidR="00C91E2F" w:rsidRDefault="00C91E2F">
            <w:pPr>
              <w:pStyle w:val="TableParagraph"/>
              <w:rPr>
                <w:rFonts w:cs="Times New Roman" w:hint="eastAsia"/>
                <w:sz w:val="24"/>
              </w:rPr>
            </w:pPr>
          </w:p>
          <w:p w14:paraId="060E6331" w14:textId="77777777" w:rsidR="00C91E2F" w:rsidRDefault="00C91E2F">
            <w:pPr>
              <w:pStyle w:val="TableParagraph"/>
              <w:spacing w:before="6"/>
              <w:rPr>
                <w:rFonts w:cs="Times New Roman" w:hint="eastAsia"/>
                <w:sz w:val="22"/>
              </w:rPr>
            </w:pPr>
          </w:p>
          <w:p w14:paraId="40196AF4" w14:textId="77777777" w:rsidR="00C91E2F" w:rsidRDefault="00C91E2F">
            <w:pPr>
              <w:pStyle w:val="TableParagraph"/>
              <w:spacing w:before="6"/>
              <w:rPr>
                <w:rFonts w:cs="Times New Roman" w:hint="eastAsia"/>
                <w:sz w:val="22"/>
              </w:rPr>
            </w:pPr>
          </w:p>
          <w:p w14:paraId="710004F9" w14:textId="77777777" w:rsidR="00C91E2F" w:rsidRDefault="00000000">
            <w:pPr>
              <w:pStyle w:val="TableParagraph"/>
              <w:ind w:left="107"/>
              <w:rPr>
                <w:rFonts w:cs="Times New Roman" w:hint="eastAsia"/>
                <w:b/>
                <w:sz w:val="24"/>
              </w:rPr>
            </w:pPr>
            <w:r>
              <w:rPr>
                <w:rFonts w:cs="Times New Roman"/>
                <w:b/>
                <w:sz w:val="24"/>
              </w:rPr>
              <w:t>投资者关系活动类别</w:t>
            </w:r>
          </w:p>
        </w:tc>
        <w:tc>
          <w:tcPr>
            <w:tcW w:w="6366" w:type="dxa"/>
          </w:tcPr>
          <w:p w14:paraId="28CBAAD0" w14:textId="77777777" w:rsidR="00C91E2F" w:rsidRDefault="00000000">
            <w:pPr>
              <w:pStyle w:val="TableParagraph"/>
              <w:tabs>
                <w:tab w:val="left" w:pos="2749"/>
              </w:tabs>
              <w:spacing w:before="93"/>
              <w:ind w:left="108"/>
              <w:rPr>
                <w:rFonts w:cs="Times New Roman" w:hint="eastAsia"/>
                <w:sz w:val="24"/>
              </w:rPr>
            </w:pPr>
            <w:r>
              <w:rPr>
                <w:rFonts w:ascii="Segoe UI Symbol" w:hAnsi="Segoe UI Symbol" w:cs="Segoe UI Symbol"/>
                <w:sz w:val="24"/>
              </w:rPr>
              <w:t>☑</w:t>
            </w:r>
            <w:r>
              <w:rPr>
                <w:rFonts w:cs="Times New Roman"/>
                <w:sz w:val="24"/>
              </w:rPr>
              <w:t>特定对象调研</w:t>
            </w:r>
            <w:r>
              <w:rPr>
                <w:rFonts w:cs="Times New Roman"/>
                <w:sz w:val="24"/>
              </w:rPr>
              <w:tab/>
              <w:t>□分析师会议</w:t>
            </w:r>
          </w:p>
          <w:p w14:paraId="2864A5D6" w14:textId="77777777" w:rsidR="00C91E2F" w:rsidRDefault="00000000">
            <w:pPr>
              <w:pStyle w:val="TableParagraph"/>
              <w:tabs>
                <w:tab w:val="left" w:pos="2749"/>
              </w:tabs>
              <w:spacing w:before="96"/>
              <w:ind w:left="108"/>
              <w:rPr>
                <w:rFonts w:cs="Times New Roman" w:hint="eastAsia"/>
                <w:sz w:val="24"/>
              </w:rPr>
            </w:pPr>
            <w:r>
              <w:rPr>
                <w:rFonts w:cs="Times New Roman"/>
                <w:sz w:val="24"/>
              </w:rPr>
              <w:t>□媒体采访</w:t>
            </w:r>
            <w:r>
              <w:rPr>
                <w:rFonts w:cs="Times New Roman"/>
                <w:sz w:val="24"/>
              </w:rPr>
              <w:tab/>
              <w:t>□业绩说明会</w:t>
            </w:r>
          </w:p>
          <w:p w14:paraId="383AC607" w14:textId="77777777" w:rsidR="00C91E2F" w:rsidRDefault="00000000">
            <w:pPr>
              <w:pStyle w:val="TableParagraph"/>
              <w:tabs>
                <w:tab w:val="left" w:pos="2749"/>
              </w:tabs>
              <w:spacing w:before="96"/>
              <w:ind w:left="108"/>
              <w:rPr>
                <w:rFonts w:cs="Times New Roman" w:hint="eastAsia"/>
                <w:sz w:val="24"/>
              </w:rPr>
            </w:pPr>
            <w:r>
              <w:rPr>
                <w:rFonts w:cs="Times New Roman"/>
                <w:sz w:val="24"/>
              </w:rPr>
              <w:t>□新闻发布会</w:t>
            </w:r>
            <w:r>
              <w:rPr>
                <w:rFonts w:cs="Times New Roman"/>
                <w:sz w:val="24"/>
              </w:rPr>
              <w:tab/>
              <w:t>□路演活动</w:t>
            </w:r>
          </w:p>
          <w:p w14:paraId="41CBD8BA" w14:textId="77777777" w:rsidR="00C91E2F" w:rsidRDefault="00000000">
            <w:pPr>
              <w:pStyle w:val="TableParagraph"/>
              <w:tabs>
                <w:tab w:val="left" w:pos="2749"/>
              </w:tabs>
              <w:spacing w:before="98"/>
              <w:ind w:left="108"/>
              <w:rPr>
                <w:rFonts w:cs="Times New Roman" w:hint="eastAsia"/>
                <w:sz w:val="24"/>
              </w:rPr>
            </w:pPr>
            <w:r>
              <w:rPr>
                <w:rFonts w:ascii="Segoe UI Symbol" w:hAnsi="Segoe UI Symbol" w:cs="Segoe UI Symbol"/>
                <w:sz w:val="24"/>
              </w:rPr>
              <w:t>☑</w:t>
            </w:r>
            <w:r>
              <w:rPr>
                <w:rFonts w:cs="Times New Roman"/>
                <w:sz w:val="24"/>
              </w:rPr>
              <w:t>现场参观</w:t>
            </w:r>
            <w:r>
              <w:rPr>
                <w:rFonts w:cs="Times New Roman"/>
                <w:sz w:val="24"/>
              </w:rPr>
              <w:tab/>
              <w:t>□一对一沟通</w:t>
            </w:r>
          </w:p>
          <w:p w14:paraId="44463DC6" w14:textId="77777777" w:rsidR="00C91E2F" w:rsidRDefault="00000000">
            <w:pPr>
              <w:pStyle w:val="TableParagraph"/>
              <w:tabs>
                <w:tab w:val="left" w:pos="2804"/>
              </w:tabs>
              <w:spacing w:before="96"/>
              <w:ind w:left="108"/>
              <w:rPr>
                <w:rFonts w:cs="Times New Roman" w:hint="eastAsia"/>
                <w:sz w:val="24"/>
              </w:rPr>
            </w:pPr>
            <w:r>
              <w:rPr>
                <w:rFonts w:cs="Times New Roman"/>
                <w:sz w:val="24"/>
              </w:rPr>
              <w:t>□其他</w:t>
            </w:r>
            <w:r>
              <w:rPr>
                <w:rFonts w:cs="Times New Roman"/>
                <w:sz w:val="24"/>
                <w:u w:val="single"/>
              </w:rPr>
              <w:t xml:space="preserve"> </w:t>
            </w:r>
            <w:r>
              <w:rPr>
                <w:rFonts w:cs="Times New Roman"/>
                <w:sz w:val="24"/>
                <w:u w:val="single"/>
              </w:rPr>
              <w:tab/>
            </w:r>
          </w:p>
        </w:tc>
      </w:tr>
      <w:tr w:rsidR="00C91E2F" w14:paraId="7A69B51B" w14:textId="77777777">
        <w:trPr>
          <w:trHeight w:val="1346"/>
          <w:jc w:val="center"/>
        </w:trPr>
        <w:tc>
          <w:tcPr>
            <w:tcW w:w="2904" w:type="dxa"/>
            <w:vAlign w:val="center"/>
          </w:tcPr>
          <w:p w14:paraId="41251D46" w14:textId="1BE470A1" w:rsidR="00C91E2F" w:rsidRDefault="00000000">
            <w:pPr>
              <w:pStyle w:val="TableParagraph"/>
              <w:spacing w:before="120"/>
              <w:ind w:left="107"/>
              <w:rPr>
                <w:rFonts w:cs="Times New Roman" w:hint="eastAsia"/>
                <w:b/>
                <w:sz w:val="24"/>
              </w:rPr>
            </w:pPr>
            <w:r>
              <w:rPr>
                <w:rFonts w:cs="Times New Roman"/>
                <w:b/>
                <w:sz w:val="24"/>
              </w:rPr>
              <w:t>参与单位名称及人员</w:t>
            </w:r>
          </w:p>
        </w:tc>
        <w:tc>
          <w:tcPr>
            <w:tcW w:w="6366" w:type="dxa"/>
            <w:vAlign w:val="center"/>
          </w:tcPr>
          <w:p w14:paraId="47E0EC1B" w14:textId="77777777" w:rsidR="00C91E2F" w:rsidRDefault="00000000">
            <w:pPr>
              <w:pStyle w:val="TableParagraph"/>
              <w:spacing w:line="360" w:lineRule="auto"/>
              <w:rPr>
                <w:rFonts w:cs="Times New Roman" w:hint="eastAsia"/>
                <w:sz w:val="24"/>
                <w:lang w:val="en-US"/>
              </w:rPr>
            </w:pPr>
            <w:r>
              <w:rPr>
                <w:rFonts w:ascii="Times New Roman" w:hAnsi="Times New Roman" w:cs="Times New Roman" w:hint="eastAsia"/>
                <w:sz w:val="24"/>
                <w:lang w:val="en-US"/>
              </w:rPr>
              <w:t>12</w:t>
            </w:r>
            <w:r>
              <w:rPr>
                <w:rFonts w:cs="Times New Roman"/>
                <w:sz w:val="24"/>
                <w:lang w:val="en-US"/>
              </w:rPr>
              <w:t>月</w:t>
            </w:r>
            <w:r>
              <w:rPr>
                <w:rFonts w:ascii="Times New Roman" w:hAnsi="Times New Roman" w:cs="Times New Roman" w:hint="eastAsia"/>
                <w:sz w:val="24"/>
                <w:lang w:val="en-US"/>
              </w:rPr>
              <w:t>9</w:t>
            </w:r>
            <w:r>
              <w:rPr>
                <w:rFonts w:cs="Times New Roman"/>
                <w:sz w:val="24"/>
                <w:lang w:val="en-US"/>
              </w:rPr>
              <w:t xml:space="preserve"> 日</w:t>
            </w:r>
            <w:r>
              <w:rPr>
                <w:rFonts w:cs="Times New Roman" w:hint="eastAsia"/>
                <w:sz w:val="24"/>
                <w:lang w:val="en-US"/>
              </w:rPr>
              <w:t xml:space="preserve">  </w:t>
            </w:r>
            <w:r>
              <w:rPr>
                <w:rFonts w:ascii="Times New Roman" w:hAnsi="Times New Roman" w:cs="Times New Roman" w:hint="eastAsia"/>
                <w:sz w:val="24"/>
                <w:lang w:val="en-US"/>
              </w:rPr>
              <w:t>14</w:t>
            </w:r>
            <w:r>
              <w:rPr>
                <w:rFonts w:cs="Times New Roman" w:hint="eastAsia"/>
                <w:sz w:val="24"/>
                <w:lang w:val="en-US"/>
              </w:rPr>
              <w:t>:</w:t>
            </w:r>
            <w:r>
              <w:rPr>
                <w:rFonts w:ascii="Times New Roman" w:hAnsi="Times New Roman" w:cs="Times New Roman" w:hint="eastAsia"/>
                <w:sz w:val="24"/>
                <w:lang w:val="en-US"/>
              </w:rPr>
              <w:t>3</w:t>
            </w:r>
            <w:r>
              <w:rPr>
                <w:rFonts w:ascii="Times New Roman" w:hAnsi="Times New Roman" w:cs="Times New Roman"/>
                <w:sz w:val="24"/>
                <w:lang w:val="en-US"/>
              </w:rPr>
              <w:t>0</w:t>
            </w:r>
            <w:r>
              <w:rPr>
                <w:rFonts w:cs="Times New Roman"/>
                <w:sz w:val="24"/>
                <w:lang w:val="en-US"/>
              </w:rPr>
              <w:t>-</w:t>
            </w:r>
            <w:r>
              <w:rPr>
                <w:rFonts w:ascii="Times New Roman" w:hAnsi="Times New Roman" w:cs="Times New Roman"/>
                <w:sz w:val="24"/>
                <w:lang w:val="en-US"/>
              </w:rPr>
              <w:t>1</w:t>
            </w:r>
            <w:r>
              <w:rPr>
                <w:rFonts w:ascii="Times New Roman" w:hAnsi="Times New Roman" w:cs="Times New Roman" w:hint="eastAsia"/>
                <w:sz w:val="24"/>
                <w:lang w:val="en-US"/>
              </w:rPr>
              <w:t>6</w:t>
            </w:r>
            <w:r>
              <w:rPr>
                <w:rFonts w:cs="Times New Roman" w:hint="eastAsia"/>
                <w:sz w:val="24"/>
                <w:lang w:val="en-US"/>
              </w:rPr>
              <w:t>:</w:t>
            </w:r>
            <w:r>
              <w:rPr>
                <w:rFonts w:ascii="Times New Roman" w:hAnsi="Times New Roman" w:cs="Times New Roman" w:hint="eastAsia"/>
                <w:sz w:val="24"/>
                <w:lang w:val="en-US"/>
              </w:rPr>
              <w:t>3</w:t>
            </w:r>
            <w:r>
              <w:rPr>
                <w:rFonts w:ascii="Times New Roman" w:hAnsi="Times New Roman" w:cs="Times New Roman"/>
                <w:sz w:val="24"/>
                <w:lang w:val="en-US"/>
              </w:rPr>
              <w:t>0</w:t>
            </w:r>
          </w:p>
          <w:p w14:paraId="2174017C" w14:textId="77777777" w:rsidR="00C91E2F" w:rsidRDefault="00000000">
            <w:pPr>
              <w:pStyle w:val="TableParagraph"/>
              <w:spacing w:line="360" w:lineRule="auto"/>
              <w:rPr>
                <w:rFonts w:cs="Times New Roman" w:hint="eastAsia"/>
                <w:sz w:val="24"/>
                <w:lang w:val="en-US"/>
              </w:rPr>
            </w:pPr>
            <w:r>
              <w:rPr>
                <w:rFonts w:cs="Times New Roman" w:hint="eastAsia"/>
                <w:sz w:val="24"/>
                <w:lang w:val="en-US"/>
              </w:rPr>
              <w:t>国联证券投教基地、国联证券无锡分公司及20余名投资者</w:t>
            </w:r>
          </w:p>
        </w:tc>
      </w:tr>
      <w:tr w:rsidR="00C91E2F" w14:paraId="27071123" w14:textId="77777777">
        <w:trPr>
          <w:trHeight w:val="1055"/>
          <w:jc w:val="center"/>
        </w:trPr>
        <w:tc>
          <w:tcPr>
            <w:tcW w:w="2904" w:type="dxa"/>
            <w:vAlign w:val="center"/>
          </w:tcPr>
          <w:p w14:paraId="4455BC74" w14:textId="77777777" w:rsidR="00C91E2F" w:rsidRDefault="00000000">
            <w:pPr>
              <w:pStyle w:val="TableParagraph"/>
              <w:spacing w:before="93"/>
              <w:ind w:left="107"/>
              <w:rPr>
                <w:rFonts w:cs="Times New Roman" w:hint="eastAsia"/>
                <w:b/>
                <w:sz w:val="24"/>
              </w:rPr>
            </w:pPr>
            <w:r>
              <w:rPr>
                <w:rFonts w:cs="Times New Roman"/>
                <w:b/>
                <w:sz w:val="24"/>
              </w:rPr>
              <w:t>地点</w:t>
            </w:r>
          </w:p>
        </w:tc>
        <w:tc>
          <w:tcPr>
            <w:tcW w:w="6366" w:type="dxa"/>
            <w:vAlign w:val="center"/>
          </w:tcPr>
          <w:p w14:paraId="282B7A7F" w14:textId="77777777" w:rsidR="00C91E2F" w:rsidRDefault="00000000">
            <w:pPr>
              <w:pStyle w:val="TableParagraph"/>
              <w:spacing w:line="360" w:lineRule="auto"/>
              <w:rPr>
                <w:rFonts w:cs="Times New Roman" w:hint="eastAsia"/>
                <w:sz w:val="24"/>
                <w:lang w:val="en-US"/>
              </w:rPr>
            </w:pPr>
            <w:r>
              <w:rPr>
                <w:rFonts w:cs="Times New Roman" w:hint="eastAsia"/>
                <w:sz w:val="24"/>
                <w:lang w:val="en-US"/>
              </w:rPr>
              <w:t>公司</w:t>
            </w:r>
            <w:r>
              <w:rPr>
                <w:rFonts w:ascii="Times New Roman" w:hAnsi="Times New Roman" w:cs="Times New Roman" w:hint="eastAsia"/>
                <w:sz w:val="24"/>
                <w:lang w:val="en-US"/>
              </w:rPr>
              <w:t>4</w:t>
            </w:r>
            <w:r>
              <w:rPr>
                <w:rFonts w:cs="Times New Roman" w:hint="eastAsia"/>
                <w:sz w:val="24"/>
                <w:lang w:val="en-US"/>
              </w:rPr>
              <w:t>楼会议室</w:t>
            </w:r>
          </w:p>
        </w:tc>
      </w:tr>
      <w:tr w:rsidR="00C91E2F" w14:paraId="4B5CE132" w14:textId="77777777">
        <w:trPr>
          <w:trHeight w:val="921"/>
          <w:jc w:val="center"/>
        </w:trPr>
        <w:tc>
          <w:tcPr>
            <w:tcW w:w="2904" w:type="dxa"/>
            <w:vAlign w:val="center"/>
          </w:tcPr>
          <w:p w14:paraId="55292BA1" w14:textId="77777777" w:rsidR="00C91E2F" w:rsidRDefault="00000000">
            <w:pPr>
              <w:pStyle w:val="TableParagraph"/>
              <w:spacing w:before="93"/>
              <w:ind w:left="107"/>
              <w:rPr>
                <w:rFonts w:cs="Times New Roman" w:hint="eastAsia"/>
                <w:b/>
                <w:sz w:val="24"/>
              </w:rPr>
            </w:pPr>
            <w:r>
              <w:rPr>
                <w:rFonts w:cs="Times New Roman"/>
                <w:b/>
                <w:sz w:val="24"/>
              </w:rPr>
              <w:t>时间</w:t>
            </w:r>
          </w:p>
        </w:tc>
        <w:tc>
          <w:tcPr>
            <w:tcW w:w="6366" w:type="dxa"/>
            <w:vAlign w:val="center"/>
          </w:tcPr>
          <w:p w14:paraId="277B9702" w14:textId="77777777" w:rsidR="00C91E2F" w:rsidRDefault="00000000">
            <w:pPr>
              <w:pStyle w:val="TableParagraph"/>
              <w:rPr>
                <w:rFonts w:cs="Times New Roman" w:hint="eastAsia"/>
                <w:sz w:val="24"/>
                <w:lang w:val="en-US"/>
              </w:rPr>
            </w:pPr>
            <w:r>
              <w:rPr>
                <w:rFonts w:ascii="Times New Roman" w:hAnsi="Times New Roman" w:cs="Times New Roman" w:hint="eastAsia"/>
                <w:sz w:val="24"/>
                <w:lang w:val="en-US"/>
              </w:rPr>
              <w:t>12</w:t>
            </w:r>
            <w:r>
              <w:rPr>
                <w:rFonts w:cs="Times New Roman" w:hint="eastAsia"/>
                <w:sz w:val="24"/>
                <w:lang w:val="en-US"/>
              </w:rPr>
              <w:t>月</w:t>
            </w:r>
            <w:r>
              <w:rPr>
                <w:rFonts w:ascii="Times New Roman" w:hAnsi="Times New Roman" w:cs="Times New Roman" w:hint="eastAsia"/>
                <w:sz w:val="24"/>
                <w:lang w:val="en-US"/>
              </w:rPr>
              <w:t>9</w:t>
            </w:r>
            <w:r>
              <w:rPr>
                <w:rFonts w:cs="Times New Roman" w:hint="eastAsia"/>
                <w:sz w:val="24"/>
                <w:lang w:val="en-US"/>
              </w:rPr>
              <w:t xml:space="preserve"> 日  </w:t>
            </w:r>
            <w:r>
              <w:rPr>
                <w:rFonts w:ascii="Times New Roman" w:hAnsi="Times New Roman" w:cs="Times New Roman" w:hint="eastAsia"/>
                <w:sz w:val="24"/>
                <w:lang w:val="en-US"/>
              </w:rPr>
              <w:t>14</w:t>
            </w:r>
            <w:r>
              <w:rPr>
                <w:rFonts w:cs="Times New Roman" w:hint="eastAsia"/>
                <w:sz w:val="24"/>
                <w:lang w:val="en-US"/>
              </w:rPr>
              <w:t>:</w:t>
            </w:r>
            <w:r>
              <w:rPr>
                <w:rFonts w:ascii="Times New Roman" w:hAnsi="Times New Roman" w:cs="Times New Roman" w:hint="eastAsia"/>
                <w:sz w:val="24"/>
                <w:lang w:val="en-US"/>
              </w:rPr>
              <w:t>30</w:t>
            </w:r>
            <w:r>
              <w:rPr>
                <w:rFonts w:cs="Times New Roman" w:hint="eastAsia"/>
                <w:sz w:val="24"/>
                <w:lang w:val="en-US"/>
              </w:rPr>
              <w:t>-</w:t>
            </w:r>
            <w:r>
              <w:rPr>
                <w:rFonts w:ascii="Times New Roman" w:hAnsi="Times New Roman" w:cs="Times New Roman" w:hint="eastAsia"/>
                <w:sz w:val="24"/>
                <w:lang w:val="en-US"/>
              </w:rPr>
              <w:t>16</w:t>
            </w:r>
            <w:r>
              <w:rPr>
                <w:rFonts w:cs="Times New Roman" w:hint="eastAsia"/>
                <w:sz w:val="24"/>
                <w:lang w:val="en-US"/>
              </w:rPr>
              <w:t>:</w:t>
            </w:r>
            <w:r>
              <w:rPr>
                <w:rFonts w:ascii="Times New Roman" w:hAnsi="Times New Roman" w:cs="Times New Roman" w:hint="eastAsia"/>
                <w:sz w:val="24"/>
                <w:lang w:val="en-US"/>
              </w:rPr>
              <w:t>30</w:t>
            </w:r>
          </w:p>
        </w:tc>
      </w:tr>
      <w:tr w:rsidR="00C91E2F" w14:paraId="2499FCBD" w14:textId="77777777">
        <w:trPr>
          <w:trHeight w:val="1413"/>
          <w:jc w:val="center"/>
        </w:trPr>
        <w:tc>
          <w:tcPr>
            <w:tcW w:w="2904" w:type="dxa"/>
            <w:vAlign w:val="center"/>
          </w:tcPr>
          <w:p w14:paraId="45382137" w14:textId="77777777" w:rsidR="00C91E2F" w:rsidRDefault="00000000">
            <w:pPr>
              <w:pStyle w:val="TableParagraph"/>
              <w:spacing w:before="1"/>
              <w:rPr>
                <w:rFonts w:cs="Times New Roman" w:hint="eastAsia"/>
                <w:b/>
                <w:sz w:val="24"/>
              </w:rPr>
            </w:pPr>
            <w:r>
              <w:rPr>
                <w:rFonts w:cs="Times New Roman"/>
                <w:b/>
                <w:sz w:val="24"/>
              </w:rPr>
              <w:t>上市公司接待人员姓名</w:t>
            </w:r>
          </w:p>
        </w:tc>
        <w:tc>
          <w:tcPr>
            <w:tcW w:w="6366" w:type="dxa"/>
            <w:vAlign w:val="center"/>
          </w:tcPr>
          <w:p w14:paraId="76187DAB" w14:textId="77777777" w:rsidR="00C91E2F" w:rsidRDefault="00000000">
            <w:pPr>
              <w:pStyle w:val="TableParagraph"/>
              <w:spacing w:line="276" w:lineRule="auto"/>
              <w:rPr>
                <w:rFonts w:cs="Times New Roman" w:hint="eastAsia"/>
                <w:sz w:val="24"/>
              </w:rPr>
            </w:pPr>
            <w:r>
              <w:rPr>
                <w:rFonts w:cs="Times New Roman"/>
                <w:sz w:val="24"/>
              </w:rPr>
              <w:t>董事会秘书</w:t>
            </w:r>
            <w:r>
              <w:rPr>
                <w:rFonts w:cs="Times New Roman" w:hint="eastAsia"/>
                <w:sz w:val="24"/>
              </w:rPr>
              <w:t>：</w:t>
            </w:r>
            <w:r>
              <w:rPr>
                <w:rFonts w:cs="Times New Roman"/>
                <w:sz w:val="24"/>
              </w:rPr>
              <w:t>刘彦萍</w:t>
            </w:r>
          </w:p>
        </w:tc>
      </w:tr>
      <w:tr w:rsidR="00C91E2F" w14:paraId="5D193F40" w14:textId="77777777">
        <w:trPr>
          <w:jc w:val="center"/>
        </w:trPr>
        <w:tc>
          <w:tcPr>
            <w:tcW w:w="2904" w:type="dxa"/>
          </w:tcPr>
          <w:p w14:paraId="42819CA0" w14:textId="77777777" w:rsidR="00C91E2F" w:rsidRDefault="00C91E2F">
            <w:pPr>
              <w:pStyle w:val="TableParagraph"/>
              <w:rPr>
                <w:rFonts w:cs="Times New Roman" w:hint="eastAsia"/>
                <w:sz w:val="24"/>
              </w:rPr>
            </w:pPr>
          </w:p>
          <w:p w14:paraId="01628849" w14:textId="77777777" w:rsidR="00C91E2F" w:rsidRDefault="00C91E2F">
            <w:pPr>
              <w:pStyle w:val="TableParagraph"/>
              <w:spacing w:before="11"/>
              <w:rPr>
                <w:rFonts w:cs="Times New Roman" w:hint="eastAsia"/>
                <w:sz w:val="17"/>
              </w:rPr>
            </w:pPr>
          </w:p>
          <w:p w14:paraId="3C130A0C" w14:textId="77777777" w:rsidR="00C91E2F" w:rsidRDefault="00C91E2F">
            <w:pPr>
              <w:pStyle w:val="TableParagraph"/>
              <w:spacing w:line="242" w:lineRule="auto"/>
              <w:ind w:left="107" w:right="105"/>
              <w:rPr>
                <w:rFonts w:cs="Times New Roman" w:hint="eastAsia"/>
                <w:b/>
                <w:sz w:val="24"/>
              </w:rPr>
            </w:pPr>
          </w:p>
          <w:p w14:paraId="41754AAC" w14:textId="77777777" w:rsidR="00C91E2F" w:rsidRDefault="00C91E2F">
            <w:pPr>
              <w:pStyle w:val="TableParagraph"/>
              <w:spacing w:line="242" w:lineRule="auto"/>
              <w:ind w:left="107" w:right="105"/>
              <w:rPr>
                <w:rFonts w:cs="Times New Roman" w:hint="eastAsia"/>
                <w:b/>
                <w:sz w:val="24"/>
              </w:rPr>
            </w:pPr>
          </w:p>
          <w:p w14:paraId="4BBE8565" w14:textId="77777777" w:rsidR="00C91E2F" w:rsidRDefault="00C91E2F">
            <w:pPr>
              <w:pStyle w:val="TableParagraph"/>
              <w:spacing w:line="242" w:lineRule="auto"/>
              <w:ind w:left="107" w:right="105"/>
              <w:rPr>
                <w:rFonts w:cs="Times New Roman" w:hint="eastAsia"/>
                <w:b/>
                <w:sz w:val="24"/>
              </w:rPr>
            </w:pPr>
          </w:p>
          <w:p w14:paraId="67105685" w14:textId="77777777" w:rsidR="00C91E2F" w:rsidRDefault="00C91E2F">
            <w:pPr>
              <w:pStyle w:val="TableParagraph"/>
              <w:spacing w:line="242" w:lineRule="auto"/>
              <w:ind w:left="107" w:right="105"/>
              <w:rPr>
                <w:rFonts w:cs="Times New Roman" w:hint="eastAsia"/>
                <w:b/>
                <w:sz w:val="24"/>
              </w:rPr>
            </w:pPr>
          </w:p>
          <w:p w14:paraId="78D41C8E" w14:textId="77777777" w:rsidR="00C91E2F" w:rsidRDefault="00C91E2F">
            <w:pPr>
              <w:pStyle w:val="TableParagraph"/>
              <w:spacing w:line="242" w:lineRule="auto"/>
              <w:ind w:left="107" w:right="105"/>
              <w:rPr>
                <w:rFonts w:cs="Times New Roman" w:hint="eastAsia"/>
                <w:b/>
                <w:sz w:val="24"/>
              </w:rPr>
            </w:pPr>
          </w:p>
          <w:p w14:paraId="7C587788" w14:textId="77777777" w:rsidR="00C91E2F" w:rsidRDefault="00C91E2F">
            <w:pPr>
              <w:pStyle w:val="TableParagraph"/>
              <w:spacing w:line="242" w:lineRule="auto"/>
              <w:ind w:left="107" w:right="105"/>
              <w:rPr>
                <w:rFonts w:cs="Times New Roman" w:hint="eastAsia"/>
                <w:b/>
                <w:sz w:val="24"/>
              </w:rPr>
            </w:pPr>
          </w:p>
          <w:p w14:paraId="68EE97A9" w14:textId="77777777" w:rsidR="00C91E2F" w:rsidRDefault="00C91E2F">
            <w:pPr>
              <w:pStyle w:val="TableParagraph"/>
              <w:spacing w:line="242" w:lineRule="auto"/>
              <w:ind w:left="107" w:right="105"/>
              <w:rPr>
                <w:rFonts w:cs="Times New Roman" w:hint="eastAsia"/>
                <w:b/>
                <w:sz w:val="24"/>
              </w:rPr>
            </w:pPr>
          </w:p>
          <w:p w14:paraId="243D26F5" w14:textId="77777777" w:rsidR="00C91E2F" w:rsidRDefault="00C91E2F">
            <w:pPr>
              <w:pStyle w:val="TableParagraph"/>
              <w:spacing w:line="242" w:lineRule="auto"/>
              <w:ind w:left="107" w:right="105"/>
              <w:rPr>
                <w:rFonts w:cs="Times New Roman" w:hint="eastAsia"/>
                <w:b/>
                <w:sz w:val="24"/>
              </w:rPr>
            </w:pPr>
          </w:p>
          <w:p w14:paraId="590C4272" w14:textId="77777777" w:rsidR="00C91E2F" w:rsidRDefault="00C91E2F">
            <w:pPr>
              <w:pStyle w:val="TableParagraph"/>
              <w:spacing w:line="242" w:lineRule="auto"/>
              <w:ind w:left="107" w:right="105"/>
              <w:rPr>
                <w:rFonts w:cs="Times New Roman" w:hint="eastAsia"/>
                <w:b/>
                <w:sz w:val="24"/>
              </w:rPr>
            </w:pPr>
          </w:p>
          <w:p w14:paraId="465DE728" w14:textId="77777777" w:rsidR="00C91E2F" w:rsidRDefault="00C91E2F">
            <w:pPr>
              <w:pStyle w:val="TableParagraph"/>
              <w:spacing w:line="242" w:lineRule="auto"/>
              <w:ind w:left="107" w:right="105"/>
              <w:rPr>
                <w:rFonts w:cs="Times New Roman" w:hint="eastAsia"/>
                <w:b/>
                <w:sz w:val="24"/>
              </w:rPr>
            </w:pPr>
          </w:p>
          <w:p w14:paraId="1B79B7E9" w14:textId="77777777" w:rsidR="00C91E2F" w:rsidRDefault="00C91E2F">
            <w:pPr>
              <w:pStyle w:val="TableParagraph"/>
              <w:spacing w:line="242" w:lineRule="auto"/>
              <w:ind w:left="107" w:right="105"/>
              <w:rPr>
                <w:rFonts w:cs="Times New Roman" w:hint="eastAsia"/>
                <w:b/>
                <w:sz w:val="24"/>
              </w:rPr>
            </w:pPr>
          </w:p>
          <w:p w14:paraId="279118F9" w14:textId="77777777" w:rsidR="00C91E2F" w:rsidRDefault="00C91E2F">
            <w:pPr>
              <w:pStyle w:val="TableParagraph"/>
              <w:spacing w:line="242" w:lineRule="auto"/>
              <w:ind w:left="107" w:right="105"/>
              <w:rPr>
                <w:rFonts w:cs="Times New Roman" w:hint="eastAsia"/>
                <w:b/>
                <w:sz w:val="24"/>
              </w:rPr>
            </w:pPr>
          </w:p>
          <w:p w14:paraId="0477CC32" w14:textId="77777777" w:rsidR="00C91E2F" w:rsidRDefault="00C91E2F">
            <w:pPr>
              <w:pStyle w:val="TableParagraph"/>
              <w:spacing w:line="242" w:lineRule="auto"/>
              <w:ind w:left="107" w:right="105"/>
              <w:rPr>
                <w:rFonts w:cs="Times New Roman" w:hint="eastAsia"/>
                <w:b/>
                <w:sz w:val="24"/>
              </w:rPr>
            </w:pPr>
          </w:p>
          <w:p w14:paraId="02E15570" w14:textId="77777777" w:rsidR="00C91E2F" w:rsidRDefault="00C91E2F">
            <w:pPr>
              <w:pStyle w:val="TableParagraph"/>
              <w:spacing w:line="242" w:lineRule="auto"/>
              <w:ind w:left="107" w:right="105"/>
              <w:rPr>
                <w:rFonts w:cs="Times New Roman" w:hint="eastAsia"/>
                <w:b/>
                <w:sz w:val="24"/>
              </w:rPr>
            </w:pPr>
          </w:p>
          <w:p w14:paraId="199750CE" w14:textId="77777777" w:rsidR="00C91E2F" w:rsidRDefault="00C91E2F">
            <w:pPr>
              <w:pStyle w:val="TableParagraph"/>
              <w:spacing w:line="242" w:lineRule="auto"/>
              <w:ind w:left="107" w:right="105"/>
              <w:rPr>
                <w:rFonts w:cs="Times New Roman" w:hint="eastAsia"/>
                <w:b/>
                <w:sz w:val="24"/>
              </w:rPr>
            </w:pPr>
          </w:p>
          <w:p w14:paraId="5D039B45" w14:textId="77777777" w:rsidR="00C91E2F" w:rsidRDefault="00C91E2F">
            <w:pPr>
              <w:pStyle w:val="TableParagraph"/>
              <w:spacing w:line="242" w:lineRule="auto"/>
              <w:ind w:left="107" w:right="105"/>
              <w:rPr>
                <w:rFonts w:cs="Times New Roman" w:hint="eastAsia"/>
                <w:b/>
                <w:sz w:val="24"/>
              </w:rPr>
            </w:pPr>
          </w:p>
          <w:p w14:paraId="6E688BE4" w14:textId="77777777" w:rsidR="00C91E2F" w:rsidRDefault="00C91E2F">
            <w:pPr>
              <w:pStyle w:val="TableParagraph"/>
              <w:spacing w:line="242" w:lineRule="auto"/>
              <w:ind w:left="107" w:right="105"/>
              <w:rPr>
                <w:rFonts w:cs="Times New Roman" w:hint="eastAsia"/>
                <w:b/>
                <w:sz w:val="24"/>
              </w:rPr>
            </w:pPr>
          </w:p>
          <w:p w14:paraId="3BCBA443" w14:textId="77777777" w:rsidR="00C91E2F" w:rsidRDefault="00C91E2F">
            <w:pPr>
              <w:pStyle w:val="TableParagraph"/>
              <w:spacing w:line="242" w:lineRule="auto"/>
              <w:ind w:left="107" w:right="105"/>
              <w:rPr>
                <w:rFonts w:cs="Times New Roman" w:hint="eastAsia"/>
                <w:b/>
                <w:sz w:val="24"/>
              </w:rPr>
            </w:pPr>
          </w:p>
          <w:p w14:paraId="0E6970B0" w14:textId="77777777" w:rsidR="00C91E2F" w:rsidRDefault="00C91E2F">
            <w:pPr>
              <w:pStyle w:val="TableParagraph"/>
              <w:spacing w:line="242" w:lineRule="auto"/>
              <w:ind w:left="107" w:right="105"/>
              <w:rPr>
                <w:rFonts w:cs="Times New Roman" w:hint="eastAsia"/>
                <w:b/>
                <w:sz w:val="24"/>
              </w:rPr>
            </w:pPr>
          </w:p>
          <w:p w14:paraId="1DD72F5F" w14:textId="77777777" w:rsidR="00C91E2F" w:rsidRDefault="00C91E2F">
            <w:pPr>
              <w:pStyle w:val="TableParagraph"/>
              <w:spacing w:line="242" w:lineRule="auto"/>
              <w:ind w:left="107" w:right="105"/>
              <w:rPr>
                <w:rFonts w:cs="Times New Roman" w:hint="eastAsia"/>
                <w:b/>
                <w:sz w:val="24"/>
              </w:rPr>
            </w:pPr>
          </w:p>
          <w:p w14:paraId="548902A0" w14:textId="77777777" w:rsidR="00C91E2F" w:rsidRDefault="00C91E2F">
            <w:pPr>
              <w:pStyle w:val="TableParagraph"/>
              <w:spacing w:line="242" w:lineRule="auto"/>
              <w:ind w:left="107" w:right="105"/>
              <w:rPr>
                <w:rFonts w:cs="Times New Roman" w:hint="eastAsia"/>
                <w:b/>
                <w:sz w:val="24"/>
              </w:rPr>
            </w:pPr>
          </w:p>
          <w:p w14:paraId="76C2626E" w14:textId="77777777" w:rsidR="00C91E2F" w:rsidRDefault="00C91E2F">
            <w:pPr>
              <w:pStyle w:val="TableParagraph"/>
              <w:spacing w:line="242" w:lineRule="auto"/>
              <w:ind w:left="107" w:right="105"/>
              <w:rPr>
                <w:rFonts w:cs="Times New Roman" w:hint="eastAsia"/>
                <w:b/>
                <w:sz w:val="24"/>
              </w:rPr>
            </w:pPr>
          </w:p>
          <w:p w14:paraId="31167E71" w14:textId="77777777" w:rsidR="00C91E2F" w:rsidRDefault="00C91E2F">
            <w:pPr>
              <w:pStyle w:val="TableParagraph"/>
              <w:spacing w:line="242" w:lineRule="auto"/>
              <w:ind w:left="107" w:right="105"/>
              <w:rPr>
                <w:rFonts w:cs="Times New Roman" w:hint="eastAsia"/>
                <w:b/>
                <w:sz w:val="24"/>
              </w:rPr>
            </w:pPr>
          </w:p>
          <w:p w14:paraId="06180CC2" w14:textId="77777777" w:rsidR="00C91E2F" w:rsidRDefault="00C91E2F">
            <w:pPr>
              <w:pStyle w:val="TableParagraph"/>
              <w:spacing w:line="242" w:lineRule="auto"/>
              <w:ind w:left="107" w:right="105"/>
              <w:rPr>
                <w:rFonts w:cs="Times New Roman" w:hint="eastAsia"/>
                <w:b/>
                <w:sz w:val="24"/>
              </w:rPr>
            </w:pPr>
          </w:p>
          <w:p w14:paraId="292B8CE5" w14:textId="77777777" w:rsidR="00C91E2F" w:rsidRDefault="00C91E2F">
            <w:pPr>
              <w:pStyle w:val="TableParagraph"/>
              <w:spacing w:line="242" w:lineRule="auto"/>
              <w:ind w:left="107" w:right="105"/>
              <w:rPr>
                <w:rFonts w:cs="Times New Roman" w:hint="eastAsia"/>
                <w:b/>
                <w:sz w:val="24"/>
              </w:rPr>
            </w:pPr>
          </w:p>
          <w:p w14:paraId="64E9A013" w14:textId="77777777" w:rsidR="00C91E2F" w:rsidRDefault="00C91E2F">
            <w:pPr>
              <w:pStyle w:val="TableParagraph"/>
              <w:spacing w:line="242" w:lineRule="auto"/>
              <w:ind w:left="107" w:right="105"/>
              <w:rPr>
                <w:rFonts w:cs="Times New Roman" w:hint="eastAsia"/>
                <w:b/>
                <w:sz w:val="24"/>
              </w:rPr>
            </w:pPr>
          </w:p>
          <w:p w14:paraId="5C6722B8" w14:textId="77777777" w:rsidR="00C91E2F" w:rsidRDefault="00C91E2F">
            <w:pPr>
              <w:pStyle w:val="TableParagraph"/>
              <w:spacing w:line="242" w:lineRule="auto"/>
              <w:ind w:left="107" w:right="105"/>
              <w:rPr>
                <w:rFonts w:cs="Times New Roman" w:hint="eastAsia"/>
                <w:b/>
                <w:sz w:val="24"/>
              </w:rPr>
            </w:pPr>
          </w:p>
          <w:p w14:paraId="0848355F" w14:textId="77777777" w:rsidR="00C91E2F" w:rsidRDefault="00C91E2F">
            <w:pPr>
              <w:pStyle w:val="TableParagraph"/>
              <w:spacing w:line="242" w:lineRule="auto"/>
              <w:ind w:left="107" w:right="105"/>
              <w:rPr>
                <w:rFonts w:cs="Times New Roman" w:hint="eastAsia"/>
                <w:b/>
                <w:sz w:val="24"/>
              </w:rPr>
            </w:pPr>
          </w:p>
          <w:p w14:paraId="4CEF3B1A" w14:textId="77777777" w:rsidR="00C91E2F" w:rsidRDefault="00C91E2F">
            <w:pPr>
              <w:pStyle w:val="TableParagraph"/>
              <w:spacing w:line="242" w:lineRule="auto"/>
              <w:ind w:left="107" w:right="105"/>
              <w:rPr>
                <w:rFonts w:cs="Times New Roman" w:hint="eastAsia"/>
                <w:b/>
                <w:sz w:val="24"/>
              </w:rPr>
            </w:pPr>
          </w:p>
          <w:p w14:paraId="34C3A047" w14:textId="77777777" w:rsidR="00C91E2F" w:rsidRDefault="00C91E2F">
            <w:pPr>
              <w:pStyle w:val="TableParagraph"/>
              <w:spacing w:line="242" w:lineRule="auto"/>
              <w:ind w:left="107" w:right="105"/>
              <w:rPr>
                <w:rFonts w:cs="Times New Roman" w:hint="eastAsia"/>
                <w:b/>
                <w:sz w:val="24"/>
              </w:rPr>
            </w:pPr>
          </w:p>
          <w:p w14:paraId="703B304B" w14:textId="77777777" w:rsidR="00C91E2F" w:rsidRDefault="00000000">
            <w:pPr>
              <w:pStyle w:val="TableParagraph"/>
              <w:spacing w:line="242" w:lineRule="auto"/>
              <w:ind w:left="107" w:right="105"/>
              <w:rPr>
                <w:rFonts w:cs="Times New Roman" w:hint="eastAsia"/>
                <w:b/>
                <w:sz w:val="24"/>
              </w:rPr>
            </w:pPr>
            <w:r>
              <w:rPr>
                <w:rFonts w:cs="Times New Roman"/>
                <w:b/>
                <w:sz w:val="24"/>
              </w:rPr>
              <w:t>投资者关系活动主要内容介绍</w:t>
            </w:r>
          </w:p>
          <w:p w14:paraId="29B8AD3A" w14:textId="77777777" w:rsidR="00C91E2F" w:rsidRDefault="00C91E2F">
            <w:pPr>
              <w:pStyle w:val="TableParagraph"/>
              <w:spacing w:line="242" w:lineRule="auto"/>
              <w:ind w:left="107" w:right="105"/>
              <w:rPr>
                <w:rFonts w:cs="Times New Roman" w:hint="eastAsia"/>
                <w:b/>
                <w:sz w:val="24"/>
              </w:rPr>
            </w:pPr>
          </w:p>
          <w:p w14:paraId="2CDA5261" w14:textId="77777777" w:rsidR="00C91E2F" w:rsidRDefault="00C91E2F">
            <w:pPr>
              <w:pStyle w:val="TableParagraph"/>
              <w:spacing w:line="242" w:lineRule="auto"/>
              <w:ind w:left="107" w:right="105"/>
              <w:rPr>
                <w:rFonts w:cs="Times New Roman" w:hint="eastAsia"/>
                <w:b/>
                <w:sz w:val="24"/>
              </w:rPr>
            </w:pPr>
          </w:p>
          <w:p w14:paraId="4E971194" w14:textId="77777777" w:rsidR="00C91E2F" w:rsidRDefault="00C91E2F">
            <w:pPr>
              <w:pStyle w:val="TableParagraph"/>
              <w:spacing w:line="242" w:lineRule="auto"/>
              <w:ind w:left="107" w:right="105"/>
              <w:rPr>
                <w:rFonts w:cs="Times New Roman" w:hint="eastAsia"/>
                <w:b/>
                <w:sz w:val="24"/>
              </w:rPr>
            </w:pPr>
          </w:p>
          <w:p w14:paraId="148A3967" w14:textId="77777777" w:rsidR="00C91E2F" w:rsidRDefault="00C91E2F">
            <w:pPr>
              <w:pStyle w:val="TableParagraph"/>
              <w:spacing w:line="242" w:lineRule="auto"/>
              <w:ind w:left="107" w:right="105"/>
              <w:rPr>
                <w:rFonts w:cs="Times New Roman" w:hint="eastAsia"/>
                <w:b/>
                <w:sz w:val="24"/>
              </w:rPr>
            </w:pPr>
          </w:p>
          <w:p w14:paraId="15C8E7B5" w14:textId="77777777" w:rsidR="00C91E2F" w:rsidRDefault="00C91E2F">
            <w:pPr>
              <w:pStyle w:val="TableParagraph"/>
              <w:spacing w:line="242" w:lineRule="auto"/>
              <w:ind w:left="107" w:right="105"/>
              <w:rPr>
                <w:rFonts w:cs="Times New Roman" w:hint="eastAsia"/>
                <w:b/>
                <w:sz w:val="24"/>
              </w:rPr>
            </w:pPr>
          </w:p>
          <w:p w14:paraId="576DC293" w14:textId="77777777" w:rsidR="00C91E2F" w:rsidRDefault="00C91E2F">
            <w:pPr>
              <w:pStyle w:val="TableParagraph"/>
              <w:spacing w:line="242" w:lineRule="auto"/>
              <w:ind w:left="107" w:right="105"/>
              <w:rPr>
                <w:rFonts w:cs="Times New Roman" w:hint="eastAsia"/>
                <w:b/>
                <w:sz w:val="24"/>
              </w:rPr>
            </w:pPr>
          </w:p>
          <w:p w14:paraId="28CE679B" w14:textId="77777777" w:rsidR="00C91E2F" w:rsidRDefault="00C91E2F">
            <w:pPr>
              <w:pStyle w:val="TableParagraph"/>
              <w:spacing w:line="242" w:lineRule="auto"/>
              <w:ind w:left="107" w:right="105"/>
              <w:rPr>
                <w:rFonts w:cs="Times New Roman" w:hint="eastAsia"/>
                <w:b/>
                <w:sz w:val="24"/>
              </w:rPr>
            </w:pPr>
          </w:p>
          <w:p w14:paraId="116975DC" w14:textId="77777777" w:rsidR="00C91E2F" w:rsidRDefault="00C91E2F">
            <w:pPr>
              <w:pStyle w:val="TableParagraph"/>
              <w:spacing w:line="242" w:lineRule="auto"/>
              <w:ind w:left="107" w:right="105"/>
              <w:rPr>
                <w:rFonts w:cs="Times New Roman" w:hint="eastAsia"/>
                <w:b/>
                <w:sz w:val="24"/>
              </w:rPr>
            </w:pPr>
          </w:p>
          <w:p w14:paraId="15DB3684" w14:textId="77777777" w:rsidR="00C91E2F" w:rsidRDefault="00C91E2F">
            <w:pPr>
              <w:pStyle w:val="TableParagraph"/>
              <w:spacing w:line="242" w:lineRule="auto"/>
              <w:ind w:left="107" w:right="105"/>
              <w:rPr>
                <w:rFonts w:cs="Times New Roman" w:hint="eastAsia"/>
                <w:b/>
                <w:sz w:val="24"/>
              </w:rPr>
            </w:pPr>
          </w:p>
          <w:p w14:paraId="15C72545" w14:textId="77777777" w:rsidR="00C91E2F" w:rsidRDefault="00C91E2F">
            <w:pPr>
              <w:pStyle w:val="TableParagraph"/>
              <w:spacing w:line="242" w:lineRule="auto"/>
              <w:ind w:left="107" w:right="105"/>
              <w:rPr>
                <w:rFonts w:cs="Times New Roman" w:hint="eastAsia"/>
                <w:b/>
                <w:sz w:val="24"/>
              </w:rPr>
            </w:pPr>
          </w:p>
          <w:p w14:paraId="13ED8E34" w14:textId="77777777" w:rsidR="00C91E2F" w:rsidRDefault="00C91E2F">
            <w:pPr>
              <w:pStyle w:val="TableParagraph"/>
              <w:spacing w:line="242" w:lineRule="auto"/>
              <w:ind w:left="107" w:right="105"/>
              <w:rPr>
                <w:rFonts w:cs="Times New Roman" w:hint="eastAsia"/>
                <w:b/>
                <w:sz w:val="24"/>
              </w:rPr>
            </w:pPr>
          </w:p>
          <w:p w14:paraId="1B7514F8" w14:textId="77777777" w:rsidR="00C91E2F" w:rsidRDefault="00C91E2F">
            <w:pPr>
              <w:pStyle w:val="TableParagraph"/>
              <w:spacing w:line="242" w:lineRule="auto"/>
              <w:ind w:left="107" w:right="105"/>
              <w:rPr>
                <w:rFonts w:cs="Times New Roman" w:hint="eastAsia"/>
                <w:b/>
                <w:sz w:val="24"/>
              </w:rPr>
            </w:pPr>
          </w:p>
          <w:p w14:paraId="75B22AC8" w14:textId="77777777" w:rsidR="00C91E2F" w:rsidRDefault="00C91E2F">
            <w:pPr>
              <w:pStyle w:val="TableParagraph"/>
              <w:spacing w:line="242" w:lineRule="auto"/>
              <w:ind w:left="107" w:right="105"/>
              <w:rPr>
                <w:rFonts w:cs="Times New Roman" w:hint="eastAsia"/>
                <w:b/>
                <w:sz w:val="24"/>
              </w:rPr>
            </w:pPr>
          </w:p>
          <w:p w14:paraId="4F203FCE" w14:textId="77777777" w:rsidR="00C91E2F" w:rsidRDefault="00C91E2F">
            <w:pPr>
              <w:pStyle w:val="TableParagraph"/>
              <w:spacing w:line="242" w:lineRule="auto"/>
              <w:ind w:left="107" w:right="105"/>
              <w:rPr>
                <w:rFonts w:cs="Times New Roman" w:hint="eastAsia"/>
                <w:b/>
                <w:sz w:val="24"/>
              </w:rPr>
            </w:pPr>
          </w:p>
          <w:p w14:paraId="233C9323" w14:textId="77777777" w:rsidR="00C91E2F" w:rsidRDefault="00C91E2F">
            <w:pPr>
              <w:pStyle w:val="TableParagraph"/>
              <w:spacing w:line="242" w:lineRule="auto"/>
              <w:ind w:left="107" w:right="105"/>
              <w:rPr>
                <w:rFonts w:cs="Times New Roman" w:hint="eastAsia"/>
                <w:b/>
                <w:sz w:val="24"/>
              </w:rPr>
            </w:pPr>
          </w:p>
          <w:p w14:paraId="65E55C43" w14:textId="77777777" w:rsidR="00C91E2F" w:rsidRDefault="00C91E2F">
            <w:pPr>
              <w:pStyle w:val="TableParagraph"/>
              <w:spacing w:line="242" w:lineRule="auto"/>
              <w:ind w:left="107" w:right="105"/>
              <w:rPr>
                <w:rFonts w:cs="Times New Roman" w:hint="eastAsia"/>
                <w:b/>
                <w:sz w:val="24"/>
              </w:rPr>
            </w:pPr>
          </w:p>
          <w:p w14:paraId="2B11592C" w14:textId="77777777" w:rsidR="00C91E2F" w:rsidRDefault="00C91E2F">
            <w:pPr>
              <w:pStyle w:val="TableParagraph"/>
              <w:spacing w:line="242" w:lineRule="auto"/>
              <w:ind w:left="107" w:right="105"/>
              <w:rPr>
                <w:rFonts w:cs="Times New Roman" w:hint="eastAsia"/>
                <w:b/>
                <w:sz w:val="24"/>
              </w:rPr>
            </w:pPr>
          </w:p>
          <w:p w14:paraId="5396B6DD" w14:textId="77777777" w:rsidR="00C91E2F" w:rsidRDefault="00C91E2F">
            <w:pPr>
              <w:pStyle w:val="TableParagraph"/>
              <w:spacing w:line="242" w:lineRule="auto"/>
              <w:ind w:left="107" w:right="105"/>
              <w:rPr>
                <w:rFonts w:cs="Times New Roman" w:hint="eastAsia"/>
                <w:b/>
                <w:sz w:val="24"/>
              </w:rPr>
            </w:pPr>
          </w:p>
          <w:p w14:paraId="57F219DF" w14:textId="77777777" w:rsidR="00C91E2F" w:rsidRDefault="00C91E2F">
            <w:pPr>
              <w:pStyle w:val="TableParagraph"/>
              <w:spacing w:line="242" w:lineRule="auto"/>
              <w:ind w:left="107" w:right="105"/>
              <w:rPr>
                <w:rFonts w:cs="Times New Roman" w:hint="eastAsia"/>
                <w:b/>
                <w:sz w:val="24"/>
              </w:rPr>
            </w:pPr>
          </w:p>
          <w:p w14:paraId="7DD754D4" w14:textId="77777777" w:rsidR="00C91E2F" w:rsidRDefault="00C91E2F">
            <w:pPr>
              <w:pStyle w:val="TableParagraph"/>
              <w:spacing w:line="242" w:lineRule="auto"/>
              <w:ind w:left="107" w:right="105"/>
              <w:rPr>
                <w:rFonts w:cs="Times New Roman" w:hint="eastAsia"/>
                <w:b/>
                <w:sz w:val="24"/>
              </w:rPr>
            </w:pPr>
          </w:p>
          <w:p w14:paraId="48DE3A88" w14:textId="77777777" w:rsidR="00C91E2F" w:rsidRDefault="00C91E2F">
            <w:pPr>
              <w:pStyle w:val="TableParagraph"/>
              <w:spacing w:line="242" w:lineRule="auto"/>
              <w:ind w:left="107" w:right="105"/>
              <w:rPr>
                <w:rFonts w:cs="Times New Roman" w:hint="eastAsia"/>
                <w:b/>
                <w:sz w:val="24"/>
              </w:rPr>
            </w:pPr>
          </w:p>
          <w:p w14:paraId="10785471" w14:textId="77777777" w:rsidR="00C91E2F" w:rsidRDefault="00C91E2F">
            <w:pPr>
              <w:pStyle w:val="TableParagraph"/>
              <w:spacing w:line="242" w:lineRule="auto"/>
              <w:ind w:left="107" w:right="105"/>
              <w:rPr>
                <w:rFonts w:cs="Times New Roman" w:hint="eastAsia"/>
                <w:b/>
                <w:sz w:val="24"/>
              </w:rPr>
            </w:pPr>
          </w:p>
          <w:p w14:paraId="734C2F24" w14:textId="77777777" w:rsidR="00C91E2F" w:rsidRDefault="00C91E2F">
            <w:pPr>
              <w:pStyle w:val="TableParagraph"/>
              <w:spacing w:line="242" w:lineRule="auto"/>
              <w:ind w:left="107" w:right="105"/>
              <w:rPr>
                <w:rFonts w:cs="Times New Roman" w:hint="eastAsia"/>
                <w:b/>
                <w:sz w:val="24"/>
              </w:rPr>
            </w:pPr>
          </w:p>
          <w:p w14:paraId="4CB96BD8" w14:textId="77777777" w:rsidR="00C91E2F" w:rsidRDefault="00C91E2F">
            <w:pPr>
              <w:pStyle w:val="TableParagraph"/>
              <w:spacing w:line="242" w:lineRule="auto"/>
              <w:ind w:left="107" w:right="105"/>
              <w:rPr>
                <w:rFonts w:cs="Times New Roman" w:hint="eastAsia"/>
                <w:b/>
                <w:sz w:val="24"/>
              </w:rPr>
            </w:pPr>
          </w:p>
          <w:p w14:paraId="006B0960" w14:textId="77777777" w:rsidR="00C91E2F" w:rsidRDefault="00C91E2F">
            <w:pPr>
              <w:pStyle w:val="TableParagraph"/>
              <w:spacing w:line="242" w:lineRule="auto"/>
              <w:ind w:left="107" w:right="105"/>
              <w:rPr>
                <w:rFonts w:cs="Times New Roman" w:hint="eastAsia"/>
                <w:b/>
                <w:sz w:val="24"/>
              </w:rPr>
            </w:pPr>
          </w:p>
          <w:p w14:paraId="25535B6D" w14:textId="77777777" w:rsidR="00C91E2F" w:rsidRDefault="00C91E2F">
            <w:pPr>
              <w:pStyle w:val="TableParagraph"/>
              <w:spacing w:line="242" w:lineRule="auto"/>
              <w:ind w:left="107" w:right="105"/>
              <w:rPr>
                <w:rFonts w:cs="Times New Roman" w:hint="eastAsia"/>
                <w:b/>
                <w:sz w:val="24"/>
              </w:rPr>
            </w:pPr>
          </w:p>
          <w:p w14:paraId="09E73D3E" w14:textId="77777777" w:rsidR="00C91E2F" w:rsidRDefault="00C91E2F">
            <w:pPr>
              <w:pStyle w:val="TableParagraph"/>
              <w:spacing w:line="242" w:lineRule="auto"/>
              <w:ind w:left="107" w:right="105"/>
              <w:rPr>
                <w:rFonts w:cs="Times New Roman" w:hint="eastAsia"/>
                <w:b/>
                <w:sz w:val="24"/>
              </w:rPr>
            </w:pPr>
          </w:p>
          <w:p w14:paraId="07252DEF" w14:textId="77777777" w:rsidR="00C91E2F" w:rsidRDefault="00C91E2F">
            <w:pPr>
              <w:pStyle w:val="TableParagraph"/>
              <w:spacing w:line="242" w:lineRule="auto"/>
              <w:ind w:left="107" w:right="105"/>
              <w:rPr>
                <w:rFonts w:cs="Times New Roman" w:hint="eastAsia"/>
                <w:b/>
                <w:sz w:val="24"/>
              </w:rPr>
            </w:pPr>
          </w:p>
          <w:p w14:paraId="385FE0B6" w14:textId="77777777" w:rsidR="00C91E2F" w:rsidRDefault="00C91E2F">
            <w:pPr>
              <w:pStyle w:val="TableParagraph"/>
              <w:spacing w:line="242" w:lineRule="auto"/>
              <w:ind w:left="107" w:right="105"/>
              <w:rPr>
                <w:rFonts w:cs="Times New Roman" w:hint="eastAsia"/>
                <w:b/>
                <w:sz w:val="24"/>
              </w:rPr>
            </w:pPr>
          </w:p>
          <w:p w14:paraId="513C6EC2" w14:textId="77777777" w:rsidR="00C91E2F" w:rsidRDefault="00C91E2F">
            <w:pPr>
              <w:pStyle w:val="TableParagraph"/>
              <w:spacing w:line="242" w:lineRule="auto"/>
              <w:ind w:left="107" w:right="105"/>
              <w:rPr>
                <w:rFonts w:cs="Times New Roman" w:hint="eastAsia"/>
                <w:b/>
                <w:sz w:val="24"/>
              </w:rPr>
            </w:pPr>
          </w:p>
          <w:p w14:paraId="1671F952" w14:textId="77777777" w:rsidR="00C91E2F" w:rsidRDefault="00C91E2F">
            <w:pPr>
              <w:pStyle w:val="TableParagraph"/>
              <w:spacing w:line="242" w:lineRule="auto"/>
              <w:ind w:left="107" w:right="105"/>
              <w:rPr>
                <w:rFonts w:cs="Times New Roman" w:hint="eastAsia"/>
                <w:b/>
                <w:sz w:val="24"/>
              </w:rPr>
            </w:pPr>
          </w:p>
          <w:p w14:paraId="2D768765" w14:textId="77777777" w:rsidR="00C91E2F" w:rsidRDefault="00C91E2F">
            <w:pPr>
              <w:pStyle w:val="TableParagraph"/>
              <w:spacing w:line="242" w:lineRule="auto"/>
              <w:ind w:left="107" w:right="105"/>
              <w:rPr>
                <w:rFonts w:cs="Times New Roman" w:hint="eastAsia"/>
                <w:b/>
                <w:sz w:val="24"/>
              </w:rPr>
            </w:pPr>
          </w:p>
          <w:p w14:paraId="373507E8" w14:textId="77777777" w:rsidR="00C91E2F" w:rsidRDefault="00C91E2F">
            <w:pPr>
              <w:pStyle w:val="TableParagraph"/>
              <w:spacing w:line="242" w:lineRule="auto"/>
              <w:ind w:left="107" w:right="105"/>
              <w:rPr>
                <w:rFonts w:cs="Times New Roman" w:hint="eastAsia"/>
                <w:b/>
                <w:sz w:val="24"/>
              </w:rPr>
            </w:pPr>
          </w:p>
          <w:p w14:paraId="2AE87688" w14:textId="77777777" w:rsidR="00C91E2F" w:rsidRDefault="00C91E2F">
            <w:pPr>
              <w:pStyle w:val="TableParagraph"/>
              <w:spacing w:line="242" w:lineRule="auto"/>
              <w:ind w:left="107" w:right="105"/>
              <w:rPr>
                <w:rFonts w:cs="Times New Roman" w:hint="eastAsia"/>
                <w:b/>
                <w:sz w:val="24"/>
              </w:rPr>
            </w:pPr>
          </w:p>
          <w:p w14:paraId="3DBB8100" w14:textId="77777777" w:rsidR="00C91E2F" w:rsidRDefault="00C91E2F">
            <w:pPr>
              <w:pStyle w:val="TableParagraph"/>
              <w:spacing w:line="242" w:lineRule="auto"/>
              <w:ind w:left="107" w:right="105"/>
              <w:rPr>
                <w:rFonts w:cs="Times New Roman" w:hint="eastAsia"/>
                <w:b/>
                <w:sz w:val="24"/>
              </w:rPr>
            </w:pPr>
          </w:p>
          <w:p w14:paraId="7B891306" w14:textId="77777777" w:rsidR="00C91E2F" w:rsidRDefault="00C91E2F">
            <w:pPr>
              <w:pStyle w:val="TableParagraph"/>
              <w:spacing w:line="242" w:lineRule="auto"/>
              <w:ind w:left="107" w:right="105"/>
              <w:rPr>
                <w:rFonts w:cs="Times New Roman" w:hint="eastAsia"/>
                <w:b/>
                <w:sz w:val="24"/>
              </w:rPr>
            </w:pPr>
          </w:p>
          <w:p w14:paraId="5FDE844F" w14:textId="77777777" w:rsidR="00C91E2F" w:rsidRDefault="00C91E2F">
            <w:pPr>
              <w:pStyle w:val="TableParagraph"/>
              <w:spacing w:line="242" w:lineRule="auto"/>
              <w:ind w:left="107" w:right="105"/>
              <w:rPr>
                <w:rFonts w:cs="Times New Roman" w:hint="eastAsia"/>
                <w:b/>
                <w:sz w:val="24"/>
              </w:rPr>
            </w:pPr>
          </w:p>
          <w:p w14:paraId="264934F8" w14:textId="77777777" w:rsidR="00C91E2F" w:rsidRDefault="00C91E2F">
            <w:pPr>
              <w:pStyle w:val="TableParagraph"/>
              <w:spacing w:line="242" w:lineRule="auto"/>
              <w:ind w:left="107" w:right="105"/>
              <w:rPr>
                <w:rFonts w:cs="Times New Roman" w:hint="eastAsia"/>
                <w:b/>
                <w:sz w:val="24"/>
              </w:rPr>
            </w:pPr>
          </w:p>
          <w:p w14:paraId="087D1D6F" w14:textId="77777777" w:rsidR="00C91E2F" w:rsidRDefault="00C91E2F">
            <w:pPr>
              <w:pStyle w:val="TableParagraph"/>
              <w:spacing w:line="242" w:lineRule="auto"/>
              <w:ind w:left="107" w:right="105"/>
              <w:rPr>
                <w:rFonts w:cs="Times New Roman" w:hint="eastAsia"/>
                <w:b/>
                <w:sz w:val="24"/>
              </w:rPr>
            </w:pPr>
          </w:p>
          <w:p w14:paraId="42DEF01C" w14:textId="77777777" w:rsidR="00C91E2F" w:rsidRDefault="00C91E2F">
            <w:pPr>
              <w:pStyle w:val="TableParagraph"/>
              <w:spacing w:line="242" w:lineRule="auto"/>
              <w:ind w:left="107" w:right="105"/>
              <w:rPr>
                <w:rFonts w:cs="Times New Roman" w:hint="eastAsia"/>
                <w:b/>
                <w:sz w:val="24"/>
              </w:rPr>
            </w:pPr>
          </w:p>
          <w:p w14:paraId="5FF1D316" w14:textId="77777777" w:rsidR="00C91E2F" w:rsidRDefault="00C91E2F">
            <w:pPr>
              <w:pStyle w:val="TableParagraph"/>
              <w:spacing w:line="242" w:lineRule="auto"/>
              <w:ind w:left="107" w:right="105"/>
              <w:rPr>
                <w:rFonts w:cs="Times New Roman" w:hint="eastAsia"/>
                <w:b/>
                <w:sz w:val="24"/>
              </w:rPr>
            </w:pPr>
          </w:p>
          <w:p w14:paraId="2324B6E9" w14:textId="77777777" w:rsidR="00C91E2F" w:rsidRDefault="00C91E2F">
            <w:pPr>
              <w:pStyle w:val="TableParagraph"/>
              <w:spacing w:line="242" w:lineRule="auto"/>
              <w:ind w:left="107" w:right="105"/>
              <w:rPr>
                <w:rFonts w:cs="Times New Roman" w:hint="eastAsia"/>
                <w:b/>
                <w:sz w:val="24"/>
              </w:rPr>
            </w:pPr>
          </w:p>
          <w:p w14:paraId="0CA0594B" w14:textId="77777777" w:rsidR="00C91E2F" w:rsidRDefault="00000000">
            <w:pPr>
              <w:pStyle w:val="TableParagraph"/>
              <w:spacing w:line="242" w:lineRule="auto"/>
              <w:ind w:left="107" w:right="105"/>
              <w:rPr>
                <w:rFonts w:cs="Times New Roman" w:hint="eastAsia"/>
                <w:b/>
                <w:sz w:val="24"/>
              </w:rPr>
            </w:pPr>
            <w:r>
              <w:rPr>
                <w:rFonts w:cs="Times New Roman" w:hint="eastAsia"/>
                <w:b/>
                <w:sz w:val="24"/>
              </w:rPr>
              <w:t>投资者关系活动主要内容介绍</w:t>
            </w:r>
          </w:p>
          <w:p w14:paraId="3560017F" w14:textId="77777777" w:rsidR="00C91E2F" w:rsidRDefault="00C91E2F">
            <w:pPr>
              <w:pStyle w:val="TableParagraph"/>
              <w:spacing w:line="242" w:lineRule="auto"/>
              <w:ind w:left="107" w:right="105"/>
              <w:rPr>
                <w:rFonts w:cs="Times New Roman" w:hint="eastAsia"/>
                <w:b/>
                <w:sz w:val="24"/>
              </w:rPr>
            </w:pPr>
          </w:p>
          <w:p w14:paraId="39BDC952" w14:textId="77777777" w:rsidR="00C91E2F" w:rsidRDefault="00C91E2F">
            <w:pPr>
              <w:pStyle w:val="TableParagraph"/>
              <w:spacing w:line="242" w:lineRule="auto"/>
              <w:ind w:left="107" w:right="105"/>
              <w:rPr>
                <w:rFonts w:cs="Times New Roman" w:hint="eastAsia"/>
                <w:b/>
                <w:sz w:val="24"/>
              </w:rPr>
            </w:pPr>
          </w:p>
          <w:p w14:paraId="171A4E99" w14:textId="77777777" w:rsidR="00C91E2F" w:rsidRDefault="00C91E2F">
            <w:pPr>
              <w:pStyle w:val="TableParagraph"/>
              <w:spacing w:line="242" w:lineRule="auto"/>
              <w:ind w:left="107" w:right="105"/>
              <w:rPr>
                <w:rFonts w:cs="Times New Roman" w:hint="eastAsia"/>
                <w:b/>
                <w:sz w:val="24"/>
              </w:rPr>
            </w:pPr>
          </w:p>
          <w:p w14:paraId="01EA4EB6" w14:textId="77777777" w:rsidR="00C91E2F" w:rsidRDefault="00C91E2F">
            <w:pPr>
              <w:pStyle w:val="TableParagraph"/>
              <w:spacing w:line="242" w:lineRule="auto"/>
              <w:ind w:left="107" w:right="105"/>
              <w:rPr>
                <w:rFonts w:cs="Times New Roman" w:hint="eastAsia"/>
                <w:b/>
                <w:sz w:val="24"/>
              </w:rPr>
            </w:pPr>
          </w:p>
          <w:p w14:paraId="16F582D8" w14:textId="77777777" w:rsidR="00C91E2F" w:rsidRDefault="00C91E2F">
            <w:pPr>
              <w:pStyle w:val="TableParagraph"/>
              <w:spacing w:line="242" w:lineRule="auto"/>
              <w:ind w:left="107" w:right="105"/>
              <w:rPr>
                <w:rFonts w:cs="Times New Roman" w:hint="eastAsia"/>
                <w:b/>
                <w:sz w:val="24"/>
              </w:rPr>
            </w:pPr>
          </w:p>
          <w:p w14:paraId="7137F00F" w14:textId="77777777" w:rsidR="00C91E2F" w:rsidRDefault="00C91E2F">
            <w:pPr>
              <w:pStyle w:val="TableParagraph"/>
              <w:spacing w:line="242" w:lineRule="auto"/>
              <w:ind w:left="107" w:right="105"/>
              <w:rPr>
                <w:rFonts w:cs="Times New Roman" w:hint="eastAsia"/>
                <w:b/>
                <w:sz w:val="24"/>
              </w:rPr>
            </w:pPr>
          </w:p>
          <w:p w14:paraId="6FB5BE6C" w14:textId="77777777" w:rsidR="00C91E2F" w:rsidRDefault="00C91E2F">
            <w:pPr>
              <w:pStyle w:val="TableParagraph"/>
              <w:spacing w:line="242" w:lineRule="auto"/>
              <w:ind w:left="107" w:right="105"/>
              <w:rPr>
                <w:rFonts w:cs="Times New Roman" w:hint="eastAsia"/>
                <w:b/>
                <w:sz w:val="24"/>
              </w:rPr>
            </w:pPr>
          </w:p>
          <w:p w14:paraId="6B5421EB" w14:textId="77777777" w:rsidR="00C91E2F" w:rsidRDefault="00C91E2F">
            <w:pPr>
              <w:pStyle w:val="TableParagraph"/>
              <w:spacing w:line="242" w:lineRule="auto"/>
              <w:ind w:left="107" w:right="105"/>
              <w:rPr>
                <w:rFonts w:cs="Times New Roman" w:hint="eastAsia"/>
                <w:b/>
                <w:sz w:val="24"/>
              </w:rPr>
            </w:pPr>
          </w:p>
          <w:p w14:paraId="1FF48E80" w14:textId="77777777" w:rsidR="00C91E2F" w:rsidRDefault="00C91E2F">
            <w:pPr>
              <w:pStyle w:val="TableParagraph"/>
              <w:spacing w:line="242" w:lineRule="auto"/>
              <w:ind w:left="107" w:right="105"/>
              <w:rPr>
                <w:rFonts w:cs="Times New Roman" w:hint="eastAsia"/>
                <w:b/>
                <w:sz w:val="24"/>
              </w:rPr>
            </w:pPr>
          </w:p>
          <w:p w14:paraId="48A19100" w14:textId="77777777" w:rsidR="00C91E2F" w:rsidRDefault="00C91E2F">
            <w:pPr>
              <w:pStyle w:val="TableParagraph"/>
              <w:spacing w:line="242" w:lineRule="auto"/>
              <w:ind w:left="107" w:right="105"/>
              <w:rPr>
                <w:rFonts w:cs="Times New Roman" w:hint="eastAsia"/>
                <w:b/>
                <w:sz w:val="24"/>
              </w:rPr>
            </w:pPr>
          </w:p>
          <w:p w14:paraId="52D0B07A" w14:textId="77777777" w:rsidR="00C91E2F" w:rsidRDefault="00C91E2F">
            <w:pPr>
              <w:pStyle w:val="TableParagraph"/>
              <w:spacing w:line="242" w:lineRule="auto"/>
              <w:ind w:left="107" w:right="105"/>
              <w:rPr>
                <w:rFonts w:cs="Times New Roman" w:hint="eastAsia"/>
                <w:b/>
                <w:sz w:val="24"/>
              </w:rPr>
            </w:pPr>
          </w:p>
          <w:p w14:paraId="7F23DEF0" w14:textId="77777777" w:rsidR="00C91E2F" w:rsidRDefault="00C91E2F">
            <w:pPr>
              <w:pStyle w:val="TableParagraph"/>
              <w:spacing w:line="242" w:lineRule="auto"/>
              <w:ind w:left="107" w:right="105"/>
              <w:rPr>
                <w:rFonts w:cs="Times New Roman" w:hint="eastAsia"/>
                <w:b/>
                <w:sz w:val="24"/>
              </w:rPr>
            </w:pPr>
          </w:p>
          <w:p w14:paraId="30F51332" w14:textId="77777777" w:rsidR="00C91E2F" w:rsidRDefault="00C91E2F">
            <w:pPr>
              <w:pStyle w:val="TableParagraph"/>
              <w:spacing w:line="242" w:lineRule="auto"/>
              <w:ind w:left="107" w:right="105"/>
              <w:rPr>
                <w:rFonts w:cs="Times New Roman" w:hint="eastAsia"/>
                <w:b/>
                <w:sz w:val="24"/>
              </w:rPr>
            </w:pPr>
          </w:p>
          <w:p w14:paraId="02A63E88" w14:textId="77777777" w:rsidR="00C91E2F" w:rsidRDefault="00C91E2F">
            <w:pPr>
              <w:pStyle w:val="TableParagraph"/>
              <w:spacing w:line="242" w:lineRule="auto"/>
              <w:ind w:left="107" w:right="105"/>
              <w:rPr>
                <w:rFonts w:cs="Times New Roman" w:hint="eastAsia"/>
                <w:b/>
                <w:sz w:val="24"/>
              </w:rPr>
            </w:pPr>
          </w:p>
          <w:p w14:paraId="70D3C925" w14:textId="77777777" w:rsidR="00C91E2F" w:rsidRDefault="00C91E2F">
            <w:pPr>
              <w:pStyle w:val="TableParagraph"/>
              <w:spacing w:line="242" w:lineRule="auto"/>
              <w:ind w:left="107" w:right="105"/>
              <w:rPr>
                <w:rFonts w:cs="Times New Roman" w:hint="eastAsia"/>
                <w:b/>
                <w:sz w:val="24"/>
              </w:rPr>
            </w:pPr>
          </w:p>
          <w:p w14:paraId="18886ED5" w14:textId="77777777" w:rsidR="00C91E2F" w:rsidRDefault="00C91E2F">
            <w:pPr>
              <w:pStyle w:val="TableParagraph"/>
              <w:spacing w:line="242" w:lineRule="auto"/>
              <w:ind w:left="107" w:right="105"/>
              <w:rPr>
                <w:rFonts w:cs="Times New Roman" w:hint="eastAsia"/>
                <w:b/>
                <w:sz w:val="24"/>
              </w:rPr>
            </w:pPr>
          </w:p>
          <w:p w14:paraId="289002B5" w14:textId="77777777" w:rsidR="00C91E2F" w:rsidRDefault="00C91E2F">
            <w:pPr>
              <w:pStyle w:val="TableParagraph"/>
              <w:spacing w:line="242" w:lineRule="auto"/>
              <w:ind w:left="107" w:right="105"/>
              <w:rPr>
                <w:rFonts w:cs="Times New Roman" w:hint="eastAsia"/>
                <w:b/>
                <w:sz w:val="24"/>
              </w:rPr>
            </w:pPr>
          </w:p>
          <w:p w14:paraId="0BBB32FA" w14:textId="77777777" w:rsidR="00C91E2F" w:rsidRDefault="00C91E2F">
            <w:pPr>
              <w:pStyle w:val="TableParagraph"/>
              <w:spacing w:line="242" w:lineRule="auto"/>
              <w:ind w:left="107" w:right="105"/>
              <w:rPr>
                <w:rFonts w:cs="Times New Roman" w:hint="eastAsia"/>
                <w:b/>
                <w:sz w:val="24"/>
              </w:rPr>
            </w:pPr>
          </w:p>
          <w:p w14:paraId="28DBBD7A" w14:textId="77777777" w:rsidR="00C91E2F" w:rsidRDefault="00C91E2F">
            <w:pPr>
              <w:pStyle w:val="TableParagraph"/>
              <w:spacing w:line="242" w:lineRule="auto"/>
              <w:ind w:left="107" w:right="105"/>
              <w:rPr>
                <w:rFonts w:cs="Times New Roman" w:hint="eastAsia"/>
                <w:b/>
                <w:sz w:val="24"/>
              </w:rPr>
            </w:pPr>
          </w:p>
          <w:p w14:paraId="65E09CAD" w14:textId="77777777" w:rsidR="00C91E2F" w:rsidRDefault="00C91E2F">
            <w:pPr>
              <w:pStyle w:val="TableParagraph"/>
              <w:spacing w:line="242" w:lineRule="auto"/>
              <w:ind w:left="107" w:right="105"/>
              <w:rPr>
                <w:rFonts w:cs="Times New Roman" w:hint="eastAsia"/>
                <w:b/>
                <w:sz w:val="24"/>
              </w:rPr>
            </w:pPr>
          </w:p>
          <w:p w14:paraId="734F003F" w14:textId="77777777" w:rsidR="00C91E2F" w:rsidRDefault="00C91E2F">
            <w:pPr>
              <w:pStyle w:val="TableParagraph"/>
              <w:spacing w:line="242" w:lineRule="auto"/>
              <w:ind w:left="107" w:right="105"/>
              <w:rPr>
                <w:rFonts w:cs="Times New Roman" w:hint="eastAsia"/>
                <w:b/>
                <w:sz w:val="24"/>
              </w:rPr>
            </w:pPr>
          </w:p>
          <w:p w14:paraId="2132A60E" w14:textId="77777777" w:rsidR="00C91E2F" w:rsidRDefault="00C91E2F">
            <w:pPr>
              <w:pStyle w:val="TableParagraph"/>
              <w:spacing w:line="242" w:lineRule="auto"/>
              <w:ind w:left="107" w:right="105"/>
              <w:rPr>
                <w:rFonts w:cs="Times New Roman" w:hint="eastAsia"/>
                <w:b/>
                <w:sz w:val="24"/>
              </w:rPr>
            </w:pPr>
          </w:p>
          <w:p w14:paraId="74671217" w14:textId="77777777" w:rsidR="00C91E2F" w:rsidRDefault="00C91E2F">
            <w:pPr>
              <w:pStyle w:val="TableParagraph"/>
              <w:spacing w:line="242" w:lineRule="auto"/>
              <w:ind w:left="107" w:right="105"/>
              <w:rPr>
                <w:rFonts w:cs="Times New Roman" w:hint="eastAsia"/>
                <w:b/>
                <w:sz w:val="24"/>
              </w:rPr>
            </w:pPr>
          </w:p>
          <w:p w14:paraId="49730BF9" w14:textId="77777777" w:rsidR="00C91E2F" w:rsidRDefault="00C91E2F">
            <w:pPr>
              <w:pStyle w:val="TableParagraph"/>
              <w:spacing w:line="242" w:lineRule="auto"/>
              <w:ind w:left="107" w:right="105"/>
              <w:rPr>
                <w:rFonts w:cs="Times New Roman" w:hint="eastAsia"/>
                <w:b/>
                <w:sz w:val="24"/>
              </w:rPr>
            </w:pPr>
          </w:p>
          <w:p w14:paraId="3E92B3B0" w14:textId="77777777" w:rsidR="00C91E2F" w:rsidRDefault="00C91E2F">
            <w:pPr>
              <w:pStyle w:val="TableParagraph"/>
              <w:spacing w:line="242" w:lineRule="auto"/>
              <w:ind w:left="107" w:right="105"/>
              <w:rPr>
                <w:rFonts w:cs="Times New Roman" w:hint="eastAsia"/>
                <w:b/>
                <w:sz w:val="24"/>
              </w:rPr>
            </w:pPr>
          </w:p>
          <w:p w14:paraId="4464646D" w14:textId="77777777" w:rsidR="00C91E2F" w:rsidRDefault="00C91E2F">
            <w:pPr>
              <w:pStyle w:val="TableParagraph"/>
              <w:spacing w:line="242" w:lineRule="auto"/>
              <w:ind w:left="107" w:right="105"/>
              <w:rPr>
                <w:rFonts w:cs="Times New Roman" w:hint="eastAsia"/>
                <w:b/>
                <w:sz w:val="24"/>
              </w:rPr>
            </w:pPr>
          </w:p>
          <w:p w14:paraId="36105498" w14:textId="77777777" w:rsidR="00C91E2F" w:rsidRDefault="00C91E2F">
            <w:pPr>
              <w:pStyle w:val="TableParagraph"/>
              <w:spacing w:line="242" w:lineRule="auto"/>
              <w:ind w:left="107" w:right="105"/>
              <w:rPr>
                <w:rFonts w:cs="Times New Roman" w:hint="eastAsia"/>
                <w:b/>
                <w:sz w:val="24"/>
              </w:rPr>
            </w:pPr>
          </w:p>
          <w:p w14:paraId="6BDC77B7" w14:textId="77777777" w:rsidR="00C91E2F" w:rsidRDefault="00C91E2F">
            <w:pPr>
              <w:pStyle w:val="TableParagraph"/>
              <w:spacing w:line="242" w:lineRule="auto"/>
              <w:ind w:left="107" w:right="105"/>
              <w:rPr>
                <w:rFonts w:cs="Times New Roman" w:hint="eastAsia"/>
                <w:b/>
                <w:sz w:val="24"/>
              </w:rPr>
            </w:pPr>
          </w:p>
          <w:p w14:paraId="35685B2F" w14:textId="77777777" w:rsidR="00C91E2F" w:rsidRDefault="00C91E2F">
            <w:pPr>
              <w:pStyle w:val="TableParagraph"/>
              <w:spacing w:line="242" w:lineRule="auto"/>
              <w:ind w:left="107" w:right="105"/>
              <w:rPr>
                <w:rFonts w:cs="Times New Roman" w:hint="eastAsia"/>
                <w:b/>
                <w:sz w:val="24"/>
              </w:rPr>
            </w:pPr>
          </w:p>
          <w:p w14:paraId="4080764C" w14:textId="77777777" w:rsidR="00C91E2F" w:rsidRDefault="00C91E2F">
            <w:pPr>
              <w:pStyle w:val="TableParagraph"/>
              <w:spacing w:line="242" w:lineRule="auto"/>
              <w:ind w:left="107" w:right="105"/>
              <w:rPr>
                <w:rFonts w:cs="Times New Roman" w:hint="eastAsia"/>
                <w:b/>
                <w:sz w:val="24"/>
              </w:rPr>
            </w:pPr>
          </w:p>
          <w:p w14:paraId="123F9917" w14:textId="77777777" w:rsidR="00C91E2F" w:rsidRDefault="00C91E2F">
            <w:pPr>
              <w:pStyle w:val="TableParagraph"/>
              <w:spacing w:line="242" w:lineRule="auto"/>
              <w:ind w:left="107" w:right="105"/>
              <w:rPr>
                <w:rFonts w:cs="Times New Roman" w:hint="eastAsia"/>
                <w:b/>
                <w:sz w:val="24"/>
              </w:rPr>
            </w:pPr>
          </w:p>
          <w:p w14:paraId="458BC21E" w14:textId="77777777" w:rsidR="00C91E2F" w:rsidRDefault="00C91E2F">
            <w:pPr>
              <w:pStyle w:val="TableParagraph"/>
              <w:spacing w:line="242" w:lineRule="auto"/>
              <w:ind w:left="107" w:right="105"/>
              <w:rPr>
                <w:rFonts w:cs="Times New Roman" w:hint="eastAsia"/>
                <w:b/>
                <w:sz w:val="24"/>
              </w:rPr>
            </w:pPr>
          </w:p>
          <w:p w14:paraId="0BE59E0A" w14:textId="77777777" w:rsidR="00C91E2F" w:rsidRDefault="00C91E2F">
            <w:pPr>
              <w:pStyle w:val="TableParagraph"/>
              <w:spacing w:line="242" w:lineRule="auto"/>
              <w:ind w:left="107" w:right="105"/>
              <w:rPr>
                <w:rFonts w:cs="Times New Roman" w:hint="eastAsia"/>
                <w:b/>
                <w:sz w:val="24"/>
              </w:rPr>
            </w:pPr>
          </w:p>
          <w:p w14:paraId="4C557AD7" w14:textId="77777777" w:rsidR="00C91E2F" w:rsidRDefault="00C91E2F">
            <w:pPr>
              <w:pStyle w:val="TableParagraph"/>
              <w:spacing w:line="242" w:lineRule="auto"/>
              <w:ind w:left="107" w:right="105"/>
              <w:rPr>
                <w:rFonts w:cs="Times New Roman" w:hint="eastAsia"/>
                <w:b/>
                <w:sz w:val="24"/>
              </w:rPr>
            </w:pPr>
          </w:p>
          <w:p w14:paraId="3BA6DF31" w14:textId="77777777" w:rsidR="00C91E2F" w:rsidRDefault="00C91E2F">
            <w:pPr>
              <w:pStyle w:val="TableParagraph"/>
              <w:spacing w:line="242" w:lineRule="auto"/>
              <w:ind w:left="107" w:right="105"/>
              <w:rPr>
                <w:rFonts w:cs="Times New Roman" w:hint="eastAsia"/>
                <w:b/>
                <w:sz w:val="24"/>
              </w:rPr>
            </w:pPr>
          </w:p>
          <w:p w14:paraId="5AFBE2A7" w14:textId="77777777" w:rsidR="00C91E2F" w:rsidRDefault="00C91E2F">
            <w:pPr>
              <w:pStyle w:val="TableParagraph"/>
              <w:spacing w:line="242" w:lineRule="auto"/>
              <w:ind w:left="107" w:right="105"/>
              <w:rPr>
                <w:rFonts w:cs="Times New Roman" w:hint="eastAsia"/>
                <w:b/>
                <w:sz w:val="24"/>
              </w:rPr>
            </w:pPr>
          </w:p>
          <w:p w14:paraId="1DAF5D26" w14:textId="77777777" w:rsidR="00C91E2F" w:rsidRDefault="00C91E2F">
            <w:pPr>
              <w:pStyle w:val="TableParagraph"/>
              <w:spacing w:line="242" w:lineRule="auto"/>
              <w:ind w:left="107" w:right="105"/>
              <w:rPr>
                <w:rFonts w:cs="Times New Roman" w:hint="eastAsia"/>
                <w:b/>
                <w:sz w:val="24"/>
              </w:rPr>
            </w:pPr>
          </w:p>
          <w:p w14:paraId="54D5750F" w14:textId="77777777" w:rsidR="00C91E2F" w:rsidRDefault="00C91E2F">
            <w:pPr>
              <w:pStyle w:val="TableParagraph"/>
              <w:spacing w:line="242" w:lineRule="auto"/>
              <w:ind w:left="107" w:right="105"/>
              <w:rPr>
                <w:rFonts w:cs="Times New Roman" w:hint="eastAsia"/>
                <w:b/>
                <w:sz w:val="24"/>
              </w:rPr>
            </w:pPr>
          </w:p>
          <w:p w14:paraId="2F266DCF" w14:textId="77777777" w:rsidR="00C91E2F" w:rsidRDefault="00C91E2F">
            <w:pPr>
              <w:pStyle w:val="TableParagraph"/>
              <w:spacing w:line="242" w:lineRule="auto"/>
              <w:ind w:left="107" w:right="105"/>
              <w:rPr>
                <w:rFonts w:cs="Times New Roman" w:hint="eastAsia"/>
                <w:b/>
                <w:sz w:val="24"/>
              </w:rPr>
            </w:pPr>
          </w:p>
          <w:p w14:paraId="32B47534" w14:textId="77777777" w:rsidR="00C91E2F" w:rsidRDefault="00C91E2F">
            <w:pPr>
              <w:pStyle w:val="TableParagraph"/>
              <w:spacing w:line="242" w:lineRule="auto"/>
              <w:ind w:left="107" w:right="105"/>
              <w:rPr>
                <w:rFonts w:cs="Times New Roman" w:hint="eastAsia"/>
                <w:b/>
                <w:sz w:val="24"/>
              </w:rPr>
            </w:pPr>
          </w:p>
          <w:p w14:paraId="3D1669BC" w14:textId="77777777" w:rsidR="00C91E2F" w:rsidRDefault="00000000">
            <w:pPr>
              <w:pStyle w:val="TableParagraph"/>
              <w:spacing w:line="242" w:lineRule="auto"/>
              <w:ind w:left="107" w:right="105"/>
              <w:rPr>
                <w:rFonts w:cs="Times New Roman" w:hint="eastAsia"/>
                <w:b/>
                <w:sz w:val="24"/>
              </w:rPr>
            </w:pPr>
            <w:r>
              <w:rPr>
                <w:rFonts w:cs="Times New Roman" w:hint="eastAsia"/>
                <w:b/>
                <w:sz w:val="24"/>
              </w:rPr>
              <w:t>投资者关系活动主要内容介绍</w:t>
            </w:r>
          </w:p>
          <w:p w14:paraId="68A19365" w14:textId="77777777" w:rsidR="00C91E2F" w:rsidRDefault="00C91E2F">
            <w:pPr>
              <w:pStyle w:val="TableParagraph"/>
              <w:spacing w:line="242" w:lineRule="auto"/>
              <w:ind w:left="107" w:right="105"/>
              <w:rPr>
                <w:rFonts w:cs="Times New Roman" w:hint="eastAsia"/>
                <w:b/>
                <w:sz w:val="24"/>
              </w:rPr>
            </w:pPr>
          </w:p>
          <w:p w14:paraId="3AEBB500" w14:textId="77777777" w:rsidR="00C91E2F" w:rsidRDefault="00C91E2F">
            <w:pPr>
              <w:pStyle w:val="TableParagraph"/>
              <w:spacing w:line="242" w:lineRule="auto"/>
              <w:ind w:left="107" w:right="105"/>
              <w:rPr>
                <w:rFonts w:cs="Times New Roman" w:hint="eastAsia"/>
                <w:b/>
                <w:sz w:val="24"/>
              </w:rPr>
            </w:pPr>
          </w:p>
          <w:p w14:paraId="26C07E4F" w14:textId="77777777" w:rsidR="00C91E2F" w:rsidRDefault="00C91E2F">
            <w:pPr>
              <w:pStyle w:val="TableParagraph"/>
              <w:spacing w:line="242" w:lineRule="auto"/>
              <w:ind w:left="107" w:right="105"/>
              <w:rPr>
                <w:rFonts w:cs="Times New Roman" w:hint="eastAsia"/>
                <w:b/>
                <w:sz w:val="24"/>
              </w:rPr>
            </w:pPr>
          </w:p>
          <w:p w14:paraId="277F7389" w14:textId="77777777" w:rsidR="00C91E2F" w:rsidRDefault="00C91E2F">
            <w:pPr>
              <w:pStyle w:val="TableParagraph"/>
              <w:spacing w:line="242" w:lineRule="auto"/>
              <w:ind w:left="107" w:right="105"/>
              <w:rPr>
                <w:rFonts w:cs="Times New Roman" w:hint="eastAsia"/>
                <w:b/>
                <w:sz w:val="24"/>
              </w:rPr>
            </w:pPr>
          </w:p>
          <w:p w14:paraId="4D16BA3B" w14:textId="77777777" w:rsidR="00C91E2F" w:rsidRDefault="00C91E2F">
            <w:pPr>
              <w:pStyle w:val="TableParagraph"/>
              <w:spacing w:line="242" w:lineRule="auto"/>
              <w:ind w:left="107" w:right="105"/>
              <w:rPr>
                <w:rFonts w:cs="Times New Roman" w:hint="eastAsia"/>
                <w:b/>
                <w:sz w:val="24"/>
              </w:rPr>
            </w:pPr>
          </w:p>
          <w:p w14:paraId="3EB9227B" w14:textId="77777777" w:rsidR="00C91E2F" w:rsidRDefault="00C91E2F">
            <w:pPr>
              <w:pStyle w:val="TableParagraph"/>
              <w:spacing w:line="242" w:lineRule="auto"/>
              <w:ind w:left="107" w:right="105"/>
              <w:rPr>
                <w:rFonts w:cs="Times New Roman" w:hint="eastAsia"/>
                <w:b/>
                <w:sz w:val="24"/>
              </w:rPr>
            </w:pPr>
          </w:p>
          <w:p w14:paraId="658CC162" w14:textId="77777777" w:rsidR="00C91E2F" w:rsidRDefault="00C91E2F">
            <w:pPr>
              <w:pStyle w:val="TableParagraph"/>
              <w:spacing w:line="242" w:lineRule="auto"/>
              <w:ind w:left="107" w:right="105"/>
              <w:rPr>
                <w:rFonts w:cs="Times New Roman" w:hint="eastAsia"/>
                <w:b/>
                <w:sz w:val="24"/>
              </w:rPr>
            </w:pPr>
          </w:p>
          <w:p w14:paraId="34549699" w14:textId="77777777" w:rsidR="00C91E2F" w:rsidRDefault="00C91E2F">
            <w:pPr>
              <w:pStyle w:val="TableParagraph"/>
              <w:spacing w:line="242" w:lineRule="auto"/>
              <w:ind w:left="107" w:right="105"/>
              <w:rPr>
                <w:rFonts w:cs="Times New Roman" w:hint="eastAsia"/>
                <w:b/>
                <w:sz w:val="24"/>
              </w:rPr>
            </w:pPr>
          </w:p>
          <w:p w14:paraId="362ABBCF" w14:textId="77777777" w:rsidR="00C91E2F" w:rsidRDefault="00C91E2F">
            <w:pPr>
              <w:pStyle w:val="TableParagraph"/>
              <w:spacing w:line="242" w:lineRule="auto"/>
              <w:ind w:left="107" w:right="105"/>
              <w:rPr>
                <w:rFonts w:cs="Times New Roman" w:hint="eastAsia"/>
                <w:b/>
                <w:sz w:val="24"/>
              </w:rPr>
            </w:pPr>
          </w:p>
          <w:p w14:paraId="14837504" w14:textId="77777777" w:rsidR="00C91E2F" w:rsidRDefault="00C91E2F">
            <w:pPr>
              <w:pStyle w:val="TableParagraph"/>
              <w:spacing w:line="242" w:lineRule="auto"/>
              <w:ind w:left="107" w:right="105"/>
              <w:rPr>
                <w:rFonts w:cs="Times New Roman" w:hint="eastAsia"/>
                <w:b/>
                <w:sz w:val="24"/>
              </w:rPr>
            </w:pPr>
          </w:p>
          <w:p w14:paraId="5E0CDC4D" w14:textId="77777777" w:rsidR="00C91E2F" w:rsidRDefault="00C91E2F">
            <w:pPr>
              <w:pStyle w:val="TableParagraph"/>
              <w:spacing w:line="242" w:lineRule="auto"/>
              <w:ind w:left="107" w:right="105"/>
              <w:rPr>
                <w:rFonts w:cs="Times New Roman" w:hint="eastAsia"/>
                <w:b/>
                <w:sz w:val="24"/>
              </w:rPr>
            </w:pPr>
          </w:p>
          <w:p w14:paraId="0E55582F" w14:textId="77777777" w:rsidR="00C91E2F" w:rsidRDefault="00C91E2F">
            <w:pPr>
              <w:pStyle w:val="TableParagraph"/>
              <w:spacing w:line="242" w:lineRule="auto"/>
              <w:ind w:left="107" w:right="105"/>
              <w:rPr>
                <w:rFonts w:cs="Times New Roman" w:hint="eastAsia"/>
                <w:b/>
                <w:sz w:val="24"/>
              </w:rPr>
            </w:pPr>
          </w:p>
          <w:p w14:paraId="4A879060" w14:textId="77777777" w:rsidR="00C91E2F" w:rsidRDefault="00C91E2F">
            <w:pPr>
              <w:pStyle w:val="TableParagraph"/>
              <w:spacing w:line="242" w:lineRule="auto"/>
              <w:ind w:left="107" w:right="105"/>
              <w:rPr>
                <w:rFonts w:cs="Times New Roman" w:hint="eastAsia"/>
                <w:b/>
                <w:sz w:val="24"/>
              </w:rPr>
            </w:pPr>
          </w:p>
          <w:p w14:paraId="0BF0F4E9" w14:textId="77777777" w:rsidR="00C91E2F" w:rsidRDefault="00C91E2F">
            <w:pPr>
              <w:pStyle w:val="TableParagraph"/>
              <w:spacing w:line="242" w:lineRule="auto"/>
              <w:ind w:left="107" w:right="105"/>
              <w:rPr>
                <w:rFonts w:cs="Times New Roman" w:hint="eastAsia"/>
                <w:b/>
                <w:sz w:val="24"/>
              </w:rPr>
            </w:pPr>
          </w:p>
          <w:p w14:paraId="5D702D92" w14:textId="77777777" w:rsidR="00C91E2F" w:rsidRDefault="00C91E2F">
            <w:pPr>
              <w:pStyle w:val="TableParagraph"/>
              <w:spacing w:line="242" w:lineRule="auto"/>
              <w:ind w:left="107" w:right="105"/>
              <w:rPr>
                <w:rFonts w:cs="Times New Roman" w:hint="eastAsia"/>
                <w:b/>
                <w:sz w:val="24"/>
              </w:rPr>
            </w:pPr>
          </w:p>
          <w:p w14:paraId="60D3E37A" w14:textId="77777777" w:rsidR="00C91E2F" w:rsidRDefault="00C91E2F">
            <w:pPr>
              <w:pStyle w:val="TableParagraph"/>
              <w:spacing w:line="242" w:lineRule="auto"/>
              <w:ind w:left="107" w:right="105"/>
              <w:rPr>
                <w:rFonts w:cs="Times New Roman" w:hint="eastAsia"/>
                <w:b/>
                <w:sz w:val="24"/>
              </w:rPr>
            </w:pPr>
          </w:p>
          <w:p w14:paraId="67CCBB45" w14:textId="77777777" w:rsidR="00C91E2F" w:rsidRDefault="00C91E2F">
            <w:pPr>
              <w:pStyle w:val="TableParagraph"/>
              <w:spacing w:line="242" w:lineRule="auto"/>
              <w:ind w:left="107" w:right="105"/>
              <w:rPr>
                <w:rFonts w:cs="Times New Roman" w:hint="eastAsia"/>
                <w:b/>
                <w:sz w:val="24"/>
              </w:rPr>
            </w:pPr>
          </w:p>
          <w:p w14:paraId="721492D6" w14:textId="77777777" w:rsidR="00C91E2F" w:rsidRDefault="00C91E2F">
            <w:pPr>
              <w:pStyle w:val="TableParagraph"/>
              <w:spacing w:line="242" w:lineRule="auto"/>
              <w:ind w:left="107" w:right="105"/>
              <w:rPr>
                <w:rFonts w:cs="Times New Roman" w:hint="eastAsia"/>
                <w:b/>
                <w:sz w:val="24"/>
              </w:rPr>
            </w:pPr>
          </w:p>
          <w:p w14:paraId="7DAE3244" w14:textId="77777777" w:rsidR="00C91E2F" w:rsidRDefault="00C91E2F">
            <w:pPr>
              <w:pStyle w:val="TableParagraph"/>
              <w:spacing w:line="242" w:lineRule="auto"/>
              <w:ind w:right="105"/>
              <w:rPr>
                <w:rFonts w:cs="Times New Roman" w:hint="eastAsia"/>
                <w:b/>
                <w:sz w:val="24"/>
              </w:rPr>
            </w:pPr>
          </w:p>
        </w:tc>
        <w:tc>
          <w:tcPr>
            <w:tcW w:w="6366" w:type="dxa"/>
          </w:tcPr>
          <w:p w14:paraId="1ECB6194" w14:textId="77777777" w:rsidR="00C91E2F" w:rsidRDefault="00000000">
            <w:pPr>
              <w:pStyle w:val="TableParagraph"/>
              <w:spacing w:line="360" w:lineRule="auto"/>
              <w:ind w:firstLineChars="200" w:firstLine="482"/>
              <w:rPr>
                <w:rFonts w:cs="Times New Roman" w:hint="eastAsia"/>
                <w:b/>
                <w:bCs/>
                <w:sz w:val="24"/>
                <w:lang w:val="en-US"/>
              </w:rPr>
            </w:pPr>
            <w:r>
              <w:rPr>
                <w:rFonts w:cs="Times New Roman" w:hint="eastAsia"/>
                <w:b/>
                <w:bCs/>
                <w:sz w:val="24"/>
                <w:lang w:val="en-US"/>
              </w:rPr>
              <w:lastRenderedPageBreak/>
              <w:t>一、</w:t>
            </w:r>
            <w:r>
              <w:rPr>
                <w:rFonts w:cs="Times New Roman"/>
                <w:b/>
                <w:bCs/>
                <w:sz w:val="24"/>
                <w:lang w:val="en-US"/>
              </w:rPr>
              <w:t>现场参观</w:t>
            </w:r>
          </w:p>
          <w:p w14:paraId="7B6B1C71" w14:textId="77777777" w:rsidR="00C91E2F" w:rsidRDefault="00000000">
            <w:pPr>
              <w:pStyle w:val="TableParagraph"/>
              <w:spacing w:line="360" w:lineRule="auto"/>
              <w:ind w:firstLineChars="200" w:firstLine="480"/>
              <w:rPr>
                <w:rFonts w:cs="Times New Roman" w:hint="eastAsia"/>
                <w:sz w:val="24"/>
                <w:lang w:val="en-US"/>
              </w:rPr>
            </w:pPr>
            <w:r>
              <w:rPr>
                <w:rFonts w:ascii="Times New Roman" w:hAnsi="Times New Roman" w:cs="Times New Roman" w:hint="eastAsia"/>
                <w:sz w:val="24"/>
                <w:lang w:val="en-US"/>
              </w:rPr>
              <w:t>12</w:t>
            </w:r>
            <w:r>
              <w:rPr>
                <w:rFonts w:cs="Times New Roman" w:hint="eastAsia"/>
                <w:sz w:val="24"/>
                <w:lang w:val="en-US"/>
              </w:rPr>
              <w:t>月</w:t>
            </w:r>
            <w:r>
              <w:rPr>
                <w:rFonts w:ascii="Times New Roman" w:hAnsi="Times New Roman" w:cs="Times New Roman" w:hint="eastAsia"/>
                <w:sz w:val="24"/>
                <w:lang w:val="en-US"/>
              </w:rPr>
              <w:t>9</w:t>
            </w:r>
            <w:r>
              <w:rPr>
                <w:rFonts w:cs="Times New Roman" w:hint="eastAsia"/>
                <w:sz w:val="24"/>
                <w:lang w:val="en-US"/>
              </w:rPr>
              <w:t>日，由上交所推出的“我是股东</w:t>
            </w:r>
            <w:r>
              <w:rPr>
                <w:rFonts w:cs="Times New Roman"/>
                <w:sz w:val="24"/>
                <w:lang w:val="en-US"/>
              </w:rPr>
              <w:t>”</w:t>
            </w:r>
            <w:r>
              <w:rPr>
                <w:rFonts w:cs="Times New Roman" w:hint="eastAsia"/>
                <w:sz w:val="24"/>
                <w:lang w:val="en-US"/>
              </w:rPr>
              <w:t>品牌投教活动走进德林海。本次活动由上交所、国联证券主办，国联证券投教基地、国联证券无锡分公司承办，带领中小投资者走进德林海。本次活动中，董事会秘书刘彦萍引导调研团队参观了湖泊生态医院大楼，并全面系统地介绍了公司的核心品牌——湖泊生态医院。在参观过程中，董事会秘书刘彦萍向投资者逐一展示了湖泊生态医院的各个功能区域，介绍了公司在湖库富营养</w:t>
            </w:r>
            <w:r>
              <w:rPr>
                <w:rFonts w:cs="Times New Roman" w:hint="eastAsia"/>
                <w:sz w:val="24"/>
                <w:lang w:val="en-US"/>
              </w:rPr>
              <w:lastRenderedPageBreak/>
              <w:t>化内源治理领域所掌握的先进技术以及所积累的创新实践经验。</w:t>
            </w:r>
          </w:p>
          <w:p w14:paraId="572F054C" w14:textId="77777777" w:rsidR="00C91E2F" w:rsidRDefault="00000000">
            <w:pPr>
              <w:pStyle w:val="TableParagraph"/>
              <w:spacing w:before="240" w:line="360" w:lineRule="auto"/>
              <w:ind w:firstLineChars="200" w:firstLine="482"/>
              <w:rPr>
                <w:rFonts w:cs="Times New Roman" w:hint="eastAsia"/>
                <w:b/>
                <w:bCs/>
                <w:sz w:val="24"/>
                <w:lang w:val="en-US"/>
              </w:rPr>
            </w:pPr>
            <w:r>
              <w:rPr>
                <w:rFonts w:cs="Times New Roman"/>
                <w:b/>
                <w:bCs/>
                <w:sz w:val="24"/>
                <w:lang w:val="en-US"/>
              </w:rPr>
              <w:t>二、交流的主要问题及答复</w:t>
            </w:r>
          </w:p>
          <w:p w14:paraId="02094024" w14:textId="25C18D42" w:rsidR="00C91E2F" w:rsidRDefault="00000000">
            <w:pPr>
              <w:pStyle w:val="TableParagraph"/>
              <w:spacing w:line="360" w:lineRule="auto"/>
              <w:ind w:firstLineChars="200" w:firstLine="482"/>
              <w:rPr>
                <w:rFonts w:cs="Times New Roman" w:hint="eastAsia"/>
                <w:b/>
                <w:bCs/>
                <w:sz w:val="24"/>
                <w:lang w:val="en-US"/>
              </w:rPr>
            </w:pPr>
            <w:r>
              <w:rPr>
                <w:rFonts w:cs="Times New Roman" w:hint="eastAsia"/>
                <w:b/>
                <w:bCs/>
                <w:sz w:val="24"/>
                <w:lang w:val="en-US"/>
              </w:rPr>
              <w:t>1、随着公司的业务规模逐步扩大以及对应水域的水质逐步提升，蓝藻问题</w:t>
            </w:r>
            <w:r w:rsidR="00E64A8E">
              <w:rPr>
                <w:rFonts w:cs="Times New Roman" w:hint="eastAsia"/>
                <w:b/>
                <w:bCs/>
                <w:sz w:val="24"/>
                <w:lang w:val="en-US"/>
              </w:rPr>
              <w:t>是</w:t>
            </w:r>
            <w:r>
              <w:rPr>
                <w:rFonts w:cs="Times New Roman" w:hint="eastAsia"/>
                <w:b/>
                <w:bCs/>
                <w:sz w:val="24"/>
                <w:lang w:val="en-US"/>
              </w:rPr>
              <w:t>否会被公司彻底解决？</w:t>
            </w:r>
          </w:p>
          <w:p w14:paraId="37EE4C91" w14:textId="77777777" w:rsidR="00C91E2F" w:rsidRDefault="00000000">
            <w:pPr>
              <w:pStyle w:val="TableParagraph"/>
              <w:spacing w:line="360" w:lineRule="auto"/>
              <w:ind w:firstLineChars="200" w:firstLine="482"/>
              <w:rPr>
                <w:rFonts w:cs="Times New Roman" w:hint="eastAsia"/>
                <w:sz w:val="24"/>
                <w:lang w:val="en-US"/>
              </w:rPr>
            </w:pPr>
            <w:r>
              <w:rPr>
                <w:rFonts w:cs="Times New Roman" w:hint="eastAsia"/>
                <w:b/>
                <w:bCs/>
                <w:sz w:val="24"/>
                <w:lang w:val="en-US"/>
              </w:rPr>
              <w:t>答：</w:t>
            </w:r>
            <w:r>
              <w:rPr>
                <w:rFonts w:cs="Times New Roman" w:hint="eastAsia"/>
                <w:sz w:val="24"/>
                <w:lang w:val="en-US"/>
              </w:rPr>
              <w:t>对此，我们应从两个方面进行考量。首先，随着国家城镇化和工业化的不断推进，氮、磷等营养物质在湖泊中的富集现象日益严重，导致许多湖泊逐渐呈现出富营养化的特征。湖库富营养化内源治理是一个长期的过程。其次，蓝藻作为自然界中的一个正常物种，其存在对于水生态系统的平衡至关重要。问题在于如何控制其数量，防止其过度繁殖，避免蓝藻水华的形成，因为大面积的蓝藻聚集会对环境造成严重危害。公司通过多年的研究与实践，在蓝藻水华治理领域取得了显著成就，形成了行业领先的蓝藻水华灾害应急处置技术和蓝藻水华常态化防控技术（深潜原位控藻技术）。</w:t>
            </w:r>
          </w:p>
          <w:p w14:paraId="4BFC25F4" w14:textId="77777777" w:rsidR="00C91E2F" w:rsidRDefault="00000000">
            <w:pPr>
              <w:pStyle w:val="TableParagraph"/>
              <w:spacing w:line="360" w:lineRule="auto"/>
              <w:ind w:firstLineChars="200" w:firstLine="480"/>
              <w:rPr>
                <w:rFonts w:cs="Times New Roman" w:hint="eastAsia"/>
                <w:sz w:val="24"/>
                <w:lang w:val="en-US"/>
              </w:rPr>
            </w:pPr>
            <w:r>
              <w:rPr>
                <w:rFonts w:cs="Times New Roman" w:hint="eastAsia"/>
                <w:sz w:val="24"/>
                <w:lang w:val="en-US"/>
              </w:rPr>
              <w:t>治理湖泊富营养化的过程与治疗人类的“三高”（高血压、高血糖、高血脂）相似，需要从两个方面着手：一是控制外源，即通过饮食控制减少富营养化物质的产生；二是进行针对性的内源治疗，即通过药物治疗。对于湖泊富营养化的治理，同样需要从外源和内源两个方面进行。外源治理主要是减少流域内富营养化物质的产生，实施控源截污；内源治理则包括蓝藻水华的治理、底泥的处理以及生态修复。通过综合运用这些方法，可以有效地进行湖泊富营养化的治理。</w:t>
            </w:r>
          </w:p>
          <w:p w14:paraId="702B943D" w14:textId="77777777" w:rsidR="00C91E2F" w:rsidRDefault="00C91E2F">
            <w:pPr>
              <w:pStyle w:val="TableParagraph"/>
              <w:spacing w:line="360" w:lineRule="auto"/>
              <w:ind w:firstLineChars="200" w:firstLine="480"/>
              <w:rPr>
                <w:rFonts w:cs="Times New Roman" w:hint="eastAsia"/>
                <w:sz w:val="24"/>
                <w:lang w:val="en-US"/>
              </w:rPr>
            </w:pPr>
          </w:p>
          <w:p w14:paraId="52E2D721" w14:textId="77777777" w:rsidR="00C91E2F" w:rsidRDefault="00000000">
            <w:pPr>
              <w:pStyle w:val="TableParagraph"/>
              <w:spacing w:line="360" w:lineRule="auto"/>
              <w:ind w:firstLineChars="200" w:firstLine="482"/>
              <w:rPr>
                <w:rFonts w:cs="Times New Roman" w:hint="eastAsia"/>
                <w:b/>
                <w:bCs/>
                <w:sz w:val="24"/>
                <w:lang w:val="en-US"/>
              </w:rPr>
            </w:pPr>
            <w:r>
              <w:rPr>
                <w:rFonts w:ascii="Times New Roman" w:hAnsi="Times New Roman" w:cs="Times New Roman" w:hint="eastAsia"/>
                <w:b/>
                <w:bCs/>
                <w:sz w:val="24"/>
                <w:lang w:val="en-US"/>
              </w:rPr>
              <w:t>2</w:t>
            </w:r>
            <w:r>
              <w:rPr>
                <w:rFonts w:cs="Times New Roman" w:hint="eastAsia"/>
                <w:b/>
                <w:bCs/>
                <w:sz w:val="24"/>
                <w:lang w:val="en-US"/>
              </w:rPr>
              <w:t>、根据公司第三季度报告，目前在手订单共计</w:t>
            </w:r>
            <w:r>
              <w:rPr>
                <w:rFonts w:ascii="Times New Roman" w:hAnsi="Times New Roman" w:cs="Times New Roman" w:hint="eastAsia"/>
                <w:b/>
                <w:bCs/>
                <w:sz w:val="24"/>
                <w:lang w:val="en-US"/>
              </w:rPr>
              <w:t>5</w:t>
            </w:r>
            <w:r>
              <w:rPr>
                <w:rFonts w:cs="Times New Roman" w:hint="eastAsia"/>
                <w:b/>
                <w:bCs/>
                <w:sz w:val="24"/>
                <w:lang w:val="en-US"/>
              </w:rPr>
              <w:t>.</w:t>
            </w:r>
            <w:r>
              <w:rPr>
                <w:rFonts w:ascii="Times New Roman" w:hAnsi="Times New Roman" w:cs="Times New Roman" w:hint="eastAsia"/>
                <w:b/>
                <w:bCs/>
                <w:sz w:val="24"/>
                <w:lang w:val="en-US"/>
              </w:rPr>
              <w:t>78</w:t>
            </w:r>
            <w:r>
              <w:rPr>
                <w:rFonts w:cs="Times New Roman" w:hint="eastAsia"/>
                <w:b/>
                <w:bCs/>
                <w:sz w:val="24"/>
                <w:lang w:val="en-US"/>
              </w:rPr>
              <w:t>亿元，想问公司订单的转化率如何？</w:t>
            </w:r>
          </w:p>
          <w:p w14:paraId="1D977740" w14:textId="71CCFCE7" w:rsidR="00C91E2F" w:rsidRDefault="00000000">
            <w:pPr>
              <w:pStyle w:val="TableParagraph"/>
              <w:spacing w:line="360" w:lineRule="auto"/>
              <w:ind w:firstLineChars="200" w:firstLine="482"/>
              <w:rPr>
                <w:rFonts w:cs="Times New Roman" w:hint="eastAsia"/>
                <w:sz w:val="24"/>
              </w:rPr>
            </w:pPr>
            <w:r>
              <w:rPr>
                <w:rFonts w:cs="Times New Roman" w:hint="eastAsia"/>
                <w:b/>
                <w:bCs/>
                <w:sz w:val="24"/>
                <w:lang w:val="en-US"/>
              </w:rPr>
              <w:t>答：</w:t>
            </w:r>
            <w:r>
              <w:rPr>
                <w:rFonts w:cs="Times New Roman"/>
                <w:sz w:val="24"/>
              </w:rPr>
              <w:t>关于</w:t>
            </w:r>
            <w:r>
              <w:rPr>
                <w:rFonts w:cs="Times New Roman" w:hint="eastAsia"/>
                <w:sz w:val="24"/>
                <w:lang w:val="en-US"/>
              </w:rPr>
              <w:t>公</w:t>
            </w:r>
            <w:r>
              <w:rPr>
                <w:rFonts w:cs="Times New Roman"/>
                <w:sz w:val="24"/>
              </w:rPr>
              <w:t>司订单转化情况，现以梅梁湖蓝藻离岸防控工程二期项目为例</w:t>
            </w:r>
            <w:r>
              <w:rPr>
                <w:rFonts w:cs="Times New Roman" w:hint="eastAsia"/>
                <w:sz w:val="24"/>
                <w:lang w:val="en-US"/>
              </w:rPr>
              <w:t>进行说明</w:t>
            </w:r>
            <w:r>
              <w:rPr>
                <w:rFonts w:cs="Times New Roman"/>
                <w:sz w:val="24"/>
              </w:rPr>
              <w:t>。该项目于2023年10月成功中标，中标金额达人民币1.3亿元。今年6月，项目已圆满完成所有</w:t>
            </w:r>
            <w:r>
              <w:rPr>
                <w:rFonts w:cs="Times New Roman"/>
                <w:sz w:val="24"/>
              </w:rPr>
              <w:lastRenderedPageBreak/>
              <w:t>工程任务，并顺利通过了验收。作为</w:t>
            </w:r>
            <w:r>
              <w:rPr>
                <w:rFonts w:cs="Times New Roman" w:hint="eastAsia"/>
                <w:sz w:val="24"/>
                <w:lang w:val="en-US"/>
              </w:rPr>
              <w:t>公司</w:t>
            </w:r>
            <w:r>
              <w:rPr>
                <w:rFonts w:cs="Times New Roman"/>
                <w:sz w:val="24"/>
              </w:rPr>
              <w:t>承接的众多大型订单之一，深潜式高压灭藻成套装备不仅需要在水上构建离岸施工平台，而且其核心施工环节，包括钻井作业和主体设备安装，均须在水上平台上实施。相较于陆地施工，水上作业的难度显著提升。此外，由于湖面无遮挡物，相同条件下，湖面风浪强度较陆地高出2-3级，这进一步加剧了施工难度。然而，凭借</w:t>
            </w:r>
            <w:r w:rsidR="005110A0">
              <w:rPr>
                <w:rFonts w:cs="Times New Roman" w:hint="eastAsia"/>
                <w:sz w:val="24"/>
              </w:rPr>
              <w:t>公司</w:t>
            </w:r>
            <w:r>
              <w:rPr>
                <w:rFonts w:cs="Times New Roman"/>
                <w:sz w:val="24"/>
              </w:rPr>
              <w:t>高效的项目转化能力和丰富的承接大型订单经验，我们确保了订单转化的高效性。整个项目周期仅耗时240天，顺利实现了项目的转化和交付，充分彰显了</w:t>
            </w:r>
            <w:r>
              <w:rPr>
                <w:rFonts w:cs="Times New Roman" w:hint="eastAsia"/>
                <w:sz w:val="24"/>
                <w:lang w:val="en-US"/>
              </w:rPr>
              <w:t>公司</w:t>
            </w:r>
            <w:r>
              <w:rPr>
                <w:rFonts w:cs="Times New Roman"/>
                <w:sz w:val="24"/>
              </w:rPr>
              <w:t>承接大型订单的实力与能力。</w:t>
            </w:r>
          </w:p>
          <w:p w14:paraId="211B156F" w14:textId="77777777" w:rsidR="00CE4FB2" w:rsidRDefault="00CE4FB2">
            <w:pPr>
              <w:pStyle w:val="TableParagraph"/>
              <w:spacing w:line="360" w:lineRule="auto"/>
              <w:ind w:firstLineChars="200" w:firstLine="480"/>
              <w:rPr>
                <w:rFonts w:cs="Times New Roman" w:hint="eastAsia"/>
                <w:sz w:val="24"/>
                <w:lang w:val="en-US"/>
              </w:rPr>
            </w:pPr>
          </w:p>
          <w:p w14:paraId="03813132" w14:textId="77777777" w:rsidR="00C91E2F" w:rsidRDefault="00000000">
            <w:pPr>
              <w:pStyle w:val="TableParagraph"/>
              <w:spacing w:line="360" w:lineRule="auto"/>
              <w:ind w:firstLineChars="200" w:firstLine="482"/>
              <w:rPr>
                <w:rFonts w:cs="Times New Roman" w:hint="eastAsia"/>
                <w:b/>
                <w:bCs/>
                <w:sz w:val="24"/>
                <w:lang w:val="en-US"/>
              </w:rPr>
            </w:pPr>
            <w:r>
              <w:rPr>
                <w:rFonts w:cs="Times New Roman" w:hint="eastAsia"/>
                <w:b/>
                <w:bCs/>
                <w:sz w:val="24"/>
                <w:lang w:val="en-US"/>
              </w:rPr>
              <w:t>3、公司的碳资产开发已进行到了哪一阶段？</w:t>
            </w:r>
          </w:p>
          <w:p w14:paraId="1955A9B0" w14:textId="77777777" w:rsidR="00C91E2F" w:rsidRDefault="00000000">
            <w:pPr>
              <w:pStyle w:val="TableParagraph"/>
              <w:spacing w:line="360" w:lineRule="auto"/>
              <w:ind w:firstLineChars="200" w:firstLine="482"/>
              <w:rPr>
                <w:rFonts w:cs="Times New Roman" w:hint="eastAsia"/>
                <w:sz w:val="24"/>
                <w:lang w:val="en-US"/>
              </w:rPr>
            </w:pPr>
            <w:r>
              <w:rPr>
                <w:rFonts w:cs="Times New Roman" w:hint="eastAsia"/>
                <w:b/>
                <w:bCs/>
                <w:sz w:val="24"/>
                <w:lang w:val="en-US"/>
              </w:rPr>
              <w:t>答：</w:t>
            </w:r>
            <w:r>
              <w:rPr>
                <w:rFonts w:cs="Times New Roman" w:hint="eastAsia"/>
                <w:sz w:val="24"/>
                <w:lang w:val="en-US"/>
              </w:rPr>
              <w:t>公司在湖库富营养化内源治理中形成的资源化产品主要是指湖库精准清淤工作中实现甲烷减排并进行CCER的开发，通过技术创新实现减排取得碳资产并凭借其获得潜在增益收益。目前，碳资产业务尚处于方法学开发阶段。</w:t>
            </w:r>
          </w:p>
          <w:p w14:paraId="261B3B9C" w14:textId="77777777" w:rsidR="00C91E2F" w:rsidRDefault="00000000">
            <w:pPr>
              <w:pStyle w:val="TableParagraph"/>
              <w:spacing w:line="360" w:lineRule="auto"/>
              <w:ind w:firstLineChars="200" w:firstLine="480"/>
              <w:rPr>
                <w:rFonts w:cs="Times New Roman" w:hint="eastAsia"/>
                <w:sz w:val="24"/>
                <w:lang w:val="en-US"/>
              </w:rPr>
            </w:pPr>
            <w:r>
              <w:rPr>
                <w:rFonts w:cs="Times New Roman" w:hint="eastAsia"/>
                <w:sz w:val="24"/>
                <w:lang w:val="en-US"/>
              </w:rPr>
              <w:t>公司的富营养化湖库中宇宙数字孪生诊验系统和CCER所涉及的碳资产业务均体现了德林海在新质生产力方面应用实践。公司以湖泊生态医院为新质环保实现的平台，致力于将新质环保理念与传统模式相结合，积极探索湖库富营养化内源治理的最优路径。</w:t>
            </w:r>
          </w:p>
          <w:p w14:paraId="69D21B46" w14:textId="77777777" w:rsidR="00C91E2F" w:rsidRDefault="00C91E2F">
            <w:pPr>
              <w:pStyle w:val="TableParagraph"/>
              <w:spacing w:line="360" w:lineRule="auto"/>
              <w:rPr>
                <w:rFonts w:cs="Times New Roman" w:hint="eastAsia"/>
                <w:sz w:val="24"/>
                <w:lang w:val="en-US"/>
              </w:rPr>
            </w:pPr>
          </w:p>
          <w:p w14:paraId="549CFF5A" w14:textId="77777777" w:rsidR="00C91E2F" w:rsidRDefault="00000000">
            <w:pPr>
              <w:pStyle w:val="TableParagraph"/>
              <w:spacing w:line="360" w:lineRule="auto"/>
              <w:ind w:firstLineChars="200" w:firstLine="482"/>
              <w:rPr>
                <w:rFonts w:cs="Times New Roman" w:hint="eastAsia"/>
                <w:b/>
                <w:bCs/>
                <w:sz w:val="24"/>
                <w:lang w:val="en-US"/>
              </w:rPr>
            </w:pPr>
            <w:r>
              <w:rPr>
                <w:rFonts w:ascii="Times New Roman" w:hAnsi="Times New Roman" w:cs="Times New Roman" w:hint="eastAsia"/>
                <w:b/>
                <w:bCs/>
                <w:sz w:val="24"/>
                <w:lang w:val="en-US"/>
              </w:rPr>
              <w:t>4</w:t>
            </w:r>
            <w:r>
              <w:rPr>
                <w:rFonts w:cs="Times New Roman" w:hint="eastAsia"/>
                <w:b/>
                <w:bCs/>
                <w:sz w:val="24"/>
                <w:lang w:val="en-US"/>
              </w:rPr>
              <w:t>、公司计划如何向二级市场上的投资者传递信心？</w:t>
            </w:r>
          </w:p>
          <w:p w14:paraId="75057151" w14:textId="77777777" w:rsidR="00C91E2F" w:rsidRDefault="00000000">
            <w:pPr>
              <w:pStyle w:val="TableParagraph"/>
              <w:spacing w:line="360" w:lineRule="auto"/>
              <w:ind w:firstLineChars="200" w:firstLine="482"/>
              <w:rPr>
                <w:rFonts w:cs="Times New Roman" w:hint="eastAsia"/>
                <w:sz w:val="24"/>
                <w:lang w:val="en-US"/>
              </w:rPr>
            </w:pPr>
            <w:r>
              <w:rPr>
                <w:rFonts w:cs="Times New Roman" w:hint="eastAsia"/>
                <w:b/>
                <w:bCs/>
                <w:sz w:val="24"/>
                <w:lang w:val="en-US"/>
              </w:rPr>
              <w:t>答：</w:t>
            </w:r>
            <w:r>
              <w:rPr>
                <w:rFonts w:cs="Times New Roman" w:hint="eastAsia"/>
                <w:sz w:val="24"/>
                <w:lang w:val="en-US"/>
              </w:rPr>
              <w:t>公司董事长胡明明先生指出，资本市场具有非凡意义，若企业缺乏创新精神，则无须涉足资本市场。市值体现的是企业的未来发展潜力与创新能力。唯有不断创新，企业方能吸引资本市场的关注，并为社会创造更大的价值与增长。</w:t>
            </w:r>
          </w:p>
          <w:p w14:paraId="2BADA301" w14:textId="77777777" w:rsidR="00C91E2F" w:rsidRDefault="00000000">
            <w:pPr>
              <w:pStyle w:val="TableParagraph"/>
              <w:spacing w:line="360" w:lineRule="auto"/>
              <w:ind w:firstLineChars="200" w:firstLine="480"/>
              <w:rPr>
                <w:rFonts w:cs="Times New Roman" w:hint="eastAsia"/>
                <w:sz w:val="24"/>
                <w:lang w:val="en-US"/>
              </w:rPr>
            </w:pPr>
            <w:r>
              <w:rPr>
                <w:rFonts w:cs="Times New Roman" w:hint="eastAsia"/>
                <w:sz w:val="24"/>
                <w:lang w:val="en-US"/>
              </w:rPr>
              <w:t>作为上市公司，我们面向两大客户群体。首先，我们服务的业主群体专注于环境治理领域；其次，我们亦致力于满足资</w:t>
            </w:r>
            <w:r>
              <w:rPr>
                <w:rFonts w:cs="Times New Roman" w:hint="eastAsia"/>
                <w:sz w:val="24"/>
                <w:lang w:val="en-US"/>
              </w:rPr>
              <w:lastRenderedPageBreak/>
              <w:t>本市场投资者的需求。德林海公司极为重视投资者的回报，将遵循合规、健康且具有增值效应的策略来执行市值管理。</w:t>
            </w:r>
          </w:p>
          <w:p w14:paraId="0C7C6FB4" w14:textId="77777777" w:rsidR="00C91E2F" w:rsidRDefault="00000000">
            <w:pPr>
              <w:pStyle w:val="TableParagraph"/>
              <w:spacing w:line="360" w:lineRule="auto"/>
              <w:ind w:firstLineChars="200" w:firstLine="480"/>
              <w:rPr>
                <w:rFonts w:hint="eastAsia"/>
                <w:lang w:val="en-US"/>
              </w:rPr>
            </w:pPr>
            <w:r>
              <w:rPr>
                <w:rFonts w:cs="Times New Roman" w:hint="eastAsia"/>
                <w:sz w:val="24"/>
                <w:lang w:val="en-US"/>
              </w:rPr>
              <w:t>在市值管理领域，公司管理层始终给予高度重视，并持续不懈地努力。自上市以来，公司连续通过回购公司股份（累计回购672.8049万股，耗资约1.31亿元）、注销部分回购股份（累计注销281.064万股）、持续分红（累计派发现金红利1.32亿元）等方式，增强市场信心，维护投资者的利益。</w:t>
            </w:r>
          </w:p>
          <w:p w14:paraId="20CFC084" w14:textId="073702DE" w:rsidR="00C91E2F" w:rsidRPr="00F86D17" w:rsidRDefault="00000000" w:rsidP="00F86D17">
            <w:pPr>
              <w:spacing w:beforeLines="50" w:before="156" w:line="360" w:lineRule="auto"/>
              <w:ind w:firstLineChars="200" w:firstLine="480"/>
              <w:rPr>
                <w:rFonts w:ascii="楷体" w:eastAsia="楷体" w:hAnsi="楷体" w:cs="Times New Roman" w:hint="eastAsia"/>
                <w:sz w:val="24"/>
                <w:lang w:bidi="zh-CN"/>
              </w:rPr>
            </w:pPr>
            <w:r w:rsidRPr="00F86D17">
              <w:rPr>
                <w:rFonts w:ascii="楷体" w:eastAsia="楷体" w:hAnsi="楷体" w:cs="Times New Roman" w:hint="eastAsia"/>
                <w:sz w:val="24"/>
                <w:lang w:bidi="zh-CN"/>
              </w:rPr>
              <w:t>此外，公司亦致力于线上、线下投资人交流会等互动活动，以使各类投资者深入了解德林海。公司期望通过市值管理与日常业务的相互促进，达成正向循环增长，利用资本的力量推动业务扩展，并通过业务增长吸引更多的资本投入。展望未来，公司计划投入更多的人力、物力和精力，采用更加多元化、系统化的方法推进市值管理计划，实现内外协同的整体系统性发展。</w:t>
            </w:r>
          </w:p>
        </w:tc>
      </w:tr>
      <w:tr w:rsidR="00C91E2F" w14:paraId="29F74F17" w14:textId="77777777">
        <w:trPr>
          <w:trHeight w:val="539"/>
          <w:jc w:val="center"/>
        </w:trPr>
        <w:tc>
          <w:tcPr>
            <w:tcW w:w="2904" w:type="dxa"/>
            <w:vAlign w:val="center"/>
          </w:tcPr>
          <w:p w14:paraId="2C9C560A" w14:textId="77777777" w:rsidR="00C91E2F" w:rsidRDefault="00000000">
            <w:pPr>
              <w:pStyle w:val="TableParagraph"/>
              <w:spacing w:before="93"/>
              <w:ind w:left="107"/>
              <w:jc w:val="left"/>
              <w:rPr>
                <w:rFonts w:cs="Times New Roman" w:hint="eastAsia"/>
                <w:b/>
                <w:sz w:val="24"/>
              </w:rPr>
            </w:pPr>
            <w:r>
              <w:rPr>
                <w:rFonts w:cs="Times New Roman"/>
                <w:b/>
                <w:sz w:val="24"/>
              </w:rPr>
              <w:lastRenderedPageBreak/>
              <w:t>附件清单（如有）</w:t>
            </w:r>
          </w:p>
        </w:tc>
        <w:tc>
          <w:tcPr>
            <w:tcW w:w="6366" w:type="dxa"/>
            <w:vAlign w:val="center"/>
          </w:tcPr>
          <w:p w14:paraId="049D84AB" w14:textId="77777777" w:rsidR="00C91E2F" w:rsidRDefault="00000000">
            <w:pPr>
              <w:pStyle w:val="TableParagraph"/>
              <w:spacing w:before="93"/>
              <w:jc w:val="left"/>
              <w:rPr>
                <w:rFonts w:cs="Times New Roman" w:hint="eastAsia"/>
                <w:sz w:val="24"/>
              </w:rPr>
            </w:pPr>
            <w:r>
              <w:rPr>
                <w:rFonts w:cs="Times New Roman"/>
                <w:sz w:val="24"/>
              </w:rPr>
              <w:t>无</w:t>
            </w:r>
          </w:p>
        </w:tc>
      </w:tr>
      <w:tr w:rsidR="00C91E2F" w14:paraId="50DB7DDD" w14:textId="77777777">
        <w:trPr>
          <w:trHeight w:val="571"/>
          <w:jc w:val="center"/>
        </w:trPr>
        <w:tc>
          <w:tcPr>
            <w:tcW w:w="2904" w:type="dxa"/>
            <w:vAlign w:val="center"/>
          </w:tcPr>
          <w:p w14:paraId="0FA1FD53" w14:textId="77777777" w:rsidR="00C91E2F" w:rsidRDefault="00000000">
            <w:pPr>
              <w:pStyle w:val="TableParagraph"/>
              <w:spacing w:before="93"/>
              <w:ind w:left="107"/>
              <w:jc w:val="left"/>
              <w:rPr>
                <w:rFonts w:cs="Times New Roman" w:hint="eastAsia"/>
                <w:b/>
                <w:sz w:val="24"/>
              </w:rPr>
            </w:pPr>
            <w:r>
              <w:rPr>
                <w:rFonts w:cs="Times New Roman"/>
                <w:b/>
                <w:sz w:val="24"/>
              </w:rPr>
              <w:t>日期</w:t>
            </w:r>
          </w:p>
        </w:tc>
        <w:tc>
          <w:tcPr>
            <w:tcW w:w="6366" w:type="dxa"/>
            <w:vAlign w:val="center"/>
          </w:tcPr>
          <w:p w14:paraId="54801611" w14:textId="77777777" w:rsidR="00C91E2F" w:rsidRDefault="00000000">
            <w:pPr>
              <w:pStyle w:val="TableParagraph"/>
              <w:spacing w:before="93"/>
              <w:jc w:val="left"/>
              <w:rPr>
                <w:rFonts w:cs="Times New Roman" w:hint="eastAsia"/>
                <w:bCs/>
                <w:sz w:val="24"/>
              </w:rPr>
            </w:pPr>
            <w:r>
              <w:rPr>
                <w:rFonts w:ascii="Times New Roman" w:hAnsi="Times New Roman" w:cs="Times New Roman" w:hint="eastAsia"/>
                <w:bCs/>
                <w:sz w:val="24"/>
              </w:rPr>
              <w:t>2024</w:t>
            </w:r>
            <w:r>
              <w:rPr>
                <w:rFonts w:cs="Times New Roman" w:hint="eastAsia"/>
                <w:bCs/>
                <w:sz w:val="24"/>
              </w:rPr>
              <w:t>年</w:t>
            </w:r>
            <w:r>
              <w:rPr>
                <w:rFonts w:ascii="Times New Roman" w:hAnsi="Times New Roman" w:cs="Times New Roman" w:hint="eastAsia"/>
                <w:bCs/>
                <w:sz w:val="24"/>
              </w:rPr>
              <w:t>12</w:t>
            </w:r>
            <w:r>
              <w:rPr>
                <w:rFonts w:cs="Times New Roman" w:hint="eastAsia"/>
                <w:bCs/>
                <w:sz w:val="24"/>
              </w:rPr>
              <w:t>月</w:t>
            </w:r>
            <w:r>
              <w:rPr>
                <w:rFonts w:ascii="Times New Roman" w:hAnsi="Times New Roman" w:cs="Times New Roman" w:hint="eastAsia"/>
                <w:bCs/>
                <w:sz w:val="24"/>
              </w:rPr>
              <w:t>9</w:t>
            </w:r>
            <w:r>
              <w:rPr>
                <w:rFonts w:cs="Times New Roman" w:hint="eastAsia"/>
                <w:bCs/>
                <w:sz w:val="24"/>
              </w:rPr>
              <w:t>日</w:t>
            </w:r>
          </w:p>
        </w:tc>
      </w:tr>
    </w:tbl>
    <w:p w14:paraId="1ACDBC4C" w14:textId="77777777" w:rsidR="00C91E2F" w:rsidRDefault="00000000">
      <w:pPr>
        <w:widowControl/>
        <w:wordWrap w:val="0"/>
        <w:spacing w:line="360" w:lineRule="auto"/>
        <w:ind w:firstLineChars="200" w:firstLine="480"/>
        <w:jc w:val="right"/>
        <w:rPr>
          <w:rFonts w:ascii="Times New Roman" w:eastAsia="楷体" w:hAnsi="Times New Roman" w:cs="Times New Roman"/>
          <w:color w:val="000000"/>
          <w:kern w:val="0"/>
          <w:sz w:val="24"/>
          <w:lang w:bidi="ar"/>
        </w:rPr>
      </w:pPr>
      <w:r>
        <w:rPr>
          <w:rFonts w:ascii="Times New Roman" w:eastAsia="楷体" w:hAnsi="Times New Roman" w:cs="Times New Roman"/>
          <w:color w:val="000000"/>
          <w:kern w:val="0"/>
          <w:sz w:val="24"/>
          <w:lang w:bidi="ar"/>
        </w:rPr>
        <w:t xml:space="preserve">     </w:t>
      </w:r>
    </w:p>
    <w:sectPr w:rsidR="00C91E2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3NWJiMWJhMmI2MWU0MDczMjhjZGNiOGMwYWRlMWEifQ=="/>
  </w:docVars>
  <w:rsids>
    <w:rsidRoot w:val="5CDF3DD9"/>
    <w:rsid w:val="00002C07"/>
    <w:rsid w:val="00013124"/>
    <w:rsid w:val="000159DB"/>
    <w:rsid w:val="0002570E"/>
    <w:rsid w:val="00037734"/>
    <w:rsid w:val="000424D2"/>
    <w:rsid w:val="000835A8"/>
    <w:rsid w:val="000846A8"/>
    <w:rsid w:val="000A345B"/>
    <w:rsid w:val="000C72FA"/>
    <w:rsid w:val="00104444"/>
    <w:rsid w:val="001347F1"/>
    <w:rsid w:val="001446D5"/>
    <w:rsid w:val="00147B85"/>
    <w:rsid w:val="00164345"/>
    <w:rsid w:val="001A44D2"/>
    <w:rsid w:val="001B5390"/>
    <w:rsid w:val="001C3013"/>
    <w:rsid w:val="0020726A"/>
    <w:rsid w:val="00227A7C"/>
    <w:rsid w:val="0023239C"/>
    <w:rsid w:val="00233EFA"/>
    <w:rsid w:val="002572E2"/>
    <w:rsid w:val="0028091D"/>
    <w:rsid w:val="00291E2E"/>
    <w:rsid w:val="00292D29"/>
    <w:rsid w:val="002D363E"/>
    <w:rsid w:val="002F5651"/>
    <w:rsid w:val="002F57DE"/>
    <w:rsid w:val="00302A45"/>
    <w:rsid w:val="00305EF3"/>
    <w:rsid w:val="00310617"/>
    <w:rsid w:val="00332A01"/>
    <w:rsid w:val="00362F38"/>
    <w:rsid w:val="003F0C30"/>
    <w:rsid w:val="0040024A"/>
    <w:rsid w:val="00434029"/>
    <w:rsid w:val="00440A23"/>
    <w:rsid w:val="00473974"/>
    <w:rsid w:val="004B27D8"/>
    <w:rsid w:val="004F0764"/>
    <w:rsid w:val="004F75CB"/>
    <w:rsid w:val="00501BB5"/>
    <w:rsid w:val="00510E9A"/>
    <w:rsid w:val="005110A0"/>
    <w:rsid w:val="00517480"/>
    <w:rsid w:val="00544F93"/>
    <w:rsid w:val="005756B9"/>
    <w:rsid w:val="005871FE"/>
    <w:rsid w:val="005A4B99"/>
    <w:rsid w:val="005E7AE8"/>
    <w:rsid w:val="00602DCA"/>
    <w:rsid w:val="00622514"/>
    <w:rsid w:val="006573B9"/>
    <w:rsid w:val="0067202F"/>
    <w:rsid w:val="006770B4"/>
    <w:rsid w:val="006A0C79"/>
    <w:rsid w:val="006B0B7C"/>
    <w:rsid w:val="006F2D1A"/>
    <w:rsid w:val="006F3878"/>
    <w:rsid w:val="00705BA8"/>
    <w:rsid w:val="007214A6"/>
    <w:rsid w:val="007377A9"/>
    <w:rsid w:val="00764252"/>
    <w:rsid w:val="007B5907"/>
    <w:rsid w:val="0081150C"/>
    <w:rsid w:val="0081678F"/>
    <w:rsid w:val="00863896"/>
    <w:rsid w:val="008658E1"/>
    <w:rsid w:val="00874B8D"/>
    <w:rsid w:val="008802B5"/>
    <w:rsid w:val="00896050"/>
    <w:rsid w:val="008B3EBE"/>
    <w:rsid w:val="008C67BB"/>
    <w:rsid w:val="008E6569"/>
    <w:rsid w:val="00930F76"/>
    <w:rsid w:val="0093221B"/>
    <w:rsid w:val="00952697"/>
    <w:rsid w:val="00955B05"/>
    <w:rsid w:val="009C0623"/>
    <w:rsid w:val="009C79DC"/>
    <w:rsid w:val="009F2965"/>
    <w:rsid w:val="00A609AA"/>
    <w:rsid w:val="00A9410B"/>
    <w:rsid w:val="00AA5E45"/>
    <w:rsid w:val="00AC2776"/>
    <w:rsid w:val="00AD2200"/>
    <w:rsid w:val="00AD2350"/>
    <w:rsid w:val="00AF0F9E"/>
    <w:rsid w:val="00AF4F27"/>
    <w:rsid w:val="00B14A5E"/>
    <w:rsid w:val="00B26E59"/>
    <w:rsid w:val="00B43931"/>
    <w:rsid w:val="00B44392"/>
    <w:rsid w:val="00B65B04"/>
    <w:rsid w:val="00B70F92"/>
    <w:rsid w:val="00B9687F"/>
    <w:rsid w:val="00BB285E"/>
    <w:rsid w:val="00BC4450"/>
    <w:rsid w:val="00BD5F45"/>
    <w:rsid w:val="00BD7DD2"/>
    <w:rsid w:val="00C262B4"/>
    <w:rsid w:val="00C341DE"/>
    <w:rsid w:val="00C3788A"/>
    <w:rsid w:val="00C57762"/>
    <w:rsid w:val="00C73BF3"/>
    <w:rsid w:val="00C854E7"/>
    <w:rsid w:val="00C91E2F"/>
    <w:rsid w:val="00CE4FB2"/>
    <w:rsid w:val="00D50974"/>
    <w:rsid w:val="00DA20F9"/>
    <w:rsid w:val="00E24946"/>
    <w:rsid w:val="00E33179"/>
    <w:rsid w:val="00E64A8E"/>
    <w:rsid w:val="00E700A9"/>
    <w:rsid w:val="00EB5E58"/>
    <w:rsid w:val="00F055B9"/>
    <w:rsid w:val="00F1692E"/>
    <w:rsid w:val="00F501C8"/>
    <w:rsid w:val="00F56109"/>
    <w:rsid w:val="00F57AEA"/>
    <w:rsid w:val="00F60B8C"/>
    <w:rsid w:val="00F708E5"/>
    <w:rsid w:val="00F86D17"/>
    <w:rsid w:val="00F969C2"/>
    <w:rsid w:val="00FA1462"/>
    <w:rsid w:val="00FB0CD2"/>
    <w:rsid w:val="00FF13D6"/>
    <w:rsid w:val="019D73AC"/>
    <w:rsid w:val="01AF01D4"/>
    <w:rsid w:val="08FB7D0A"/>
    <w:rsid w:val="0BF51686"/>
    <w:rsid w:val="10851396"/>
    <w:rsid w:val="14106672"/>
    <w:rsid w:val="14305E5E"/>
    <w:rsid w:val="1B7E11E2"/>
    <w:rsid w:val="1D516744"/>
    <w:rsid w:val="1E9014CE"/>
    <w:rsid w:val="1FD14D80"/>
    <w:rsid w:val="20A2107E"/>
    <w:rsid w:val="22CB61DA"/>
    <w:rsid w:val="28A31429"/>
    <w:rsid w:val="338871D2"/>
    <w:rsid w:val="38324446"/>
    <w:rsid w:val="3F1B695B"/>
    <w:rsid w:val="40E65FC9"/>
    <w:rsid w:val="4A6A7730"/>
    <w:rsid w:val="4AF57B88"/>
    <w:rsid w:val="4CE40729"/>
    <w:rsid w:val="4F572462"/>
    <w:rsid w:val="50A54F35"/>
    <w:rsid w:val="5486504B"/>
    <w:rsid w:val="571124CB"/>
    <w:rsid w:val="57242D62"/>
    <w:rsid w:val="5B03028C"/>
    <w:rsid w:val="5CDF3DD9"/>
    <w:rsid w:val="5E0551B1"/>
    <w:rsid w:val="638766EA"/>
    <w:rsid w:val="65AA6EAC"/>
    <w:rsid w:val="675D7F82"/>
    <w:rsid w:val="67F5543B"/>
    <w:rsid w:val="68690056"/>
    <w:rsid w:val="6D862208"/>
    <w:rsid w:val="6F3531A8"/>
    <w:rsid w:val="7065622B"/>
    <w:rsid w:val="777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25CE"/>
  <w15:docId w15:val="{3A629AFA-116B-4F7E-A56F-AAB71B68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paragraph" w:customStyle="1" w:styleId="TableParagraph">
    <w:name w:val="Table Paragraph"/>
    <w:basedOn w:val="a"/>
    <w:uiPriority w:val="1"/>
    <w:qFormat/>
    <w:rPr>
      <w:rFonts w:ascii="楷体" w:eastAsia="楷体" w:hAnsi="楷体" w:cs="楷体"/>
      <w:lang w:val="zh-CN" w:bidi="zh-CN"/>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
    <w:name w:val="修订1"/>
    <w:hidden/>
    <w:uiPriority w:val="99"/>
    <w:semiHidden/>
    <w:rPr>
      <w:rFonts w:asciiTheme="minorHAnsi" w:eastAsiaTheme="minorEastAsia" w:hAnsiTheme="minorHAnsi" w:cstheme="minorBidi"/>
      <w:kern w:val="2"/>
      <w:sz w:val="21"/>
      <w:szCs w:val="24"/>
    </w:rPr>
  </w:style>
  <w:style w:type="paragraph" w:customStyle="1" w:styleId="2">
    <w:name w:val="修订2"/>
    <w:hidden/>
    <w:uiPriority w:val="99"/>
    <w:unhideWhenUsed/>
    <w:rPr>
      <w:rFonts w:asciiTheme="minorHAnsi" w:eastAsiaTheme="minorEastAsia" w:hAnsiTheme="minorHAnsi" w:cstheme="minorBidi"/>
      <w:kern w:val="2"/>
      <w:sz w:val="21"/>
      <w:szCs w:val="24"/>
    </w:rPr>
  </w:style>
  <w:style w:type="paragraph" w:styleId="ae">
    <w:name w:val="Revision"/>
    <w:hidden/>
    <w:uiPriority w:val="99"/>
    <w:unhideWhenUsed/>
    <w:rsid w:val="00F86D1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1B960C1-B868-41EE-8B27-C817A5A00795}">
  <ds:schemaRefs>
    <ds:schemaRef ds:uri="http://www.yonyou.com/relation"/>
  </ds:schemaRefs>
</ds:datastoreItem>
</file>

<file path=customXml/itemProps2.xml><?xml version="1.0" encoding="utf-8"?>
<ds:datastoreItem xmlns:ds="http://schemas.openxmlformats.org/officeDocument/2006/customXml" ds:itemID="{30DBD88F-6A91-4D4F-8677-4583C5962B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LYYYF</dc:creator>
  <cp:lastModifiedBy>邵纬</cp:lastModifiedBy>
  <cp:revision>12</cp:revision>
  <dcterms:created xsi:type="dcterms:W3CDTF">2024-12-10T06:53:00Z</dcterms:created>
  <dcterms:modified xsi:type="dcterms:W3CDTF">2024-12-10T07:59:00Z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233CE139A74842A3B06053291C96B232_12</vt:lpwstr>
  </property>
</Properties>
</file>