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5B56B">
      <w:pPr>
        <w:spacing w:line="560" w:lineRule="exact"/>
        <w:rPr>
          <w:rFonts w:ascii="宋体" w:hAnsi="宋体"/>
          <w:bCs/>
          <w:iCs/>
          <w:color w:val="000000"/>
          <w:sz w:val="24"/>
          <w:szCs w:val="24"/>
        </w:rPr>
      </w:pPr>
      <w:r>
        <w:rPr>
          <w:rFonts w:hint="eastAsia" w:ascii="宋体" w:hAnsi="宋体"/>
          <w:bCs/>
          <w:iCs/>
          <w:color w:val="000000"/>
          <w:sz w:val="24"/>
          <w:szCs w:val="24"/>
        </w:rPr>
        <w:t xml:space="preserve">证券代码：605196                            </w:t>
      </w:r>
      <w:r>
        <w:rPr>
          <w:rFonts w:ascii="宋体" w:hAnsi="宋体"/>
          <w:bCs/>
          <w:iCs/>
          <w:color w:val="000000"/>
          <w:sz w:val="24"/>
          <w:szCs w:val="24"/>
        </w:rPr>
        <w:t xml:space="preserve">     </w:t>
      </w:r>
      <w:r>
        <w:rPr>
          <w:rFonts w:hint="eastAsia" w:ascii="宋体" w:hAnsi="宋体"/>
          <w:bCs/>
          <w:iCs/>
          <w:color w:val="000000"/>
          <w:sz w:val="24"/>
          <w:szCs w:val="24"/>
        </w:rPr>
        <w:t xml:space="preserve">  证券简称：华通线缆</w:t>
      </w:r>
    </w:p>
    <w:p w14:paraId="3B8D7841">
      <w:pPr>
        <w:spacing w:line="560" w:lineRule="exact"/>
        <w:jc w:val="center"/>
        <w:rPr>
          <w:rFonts w:ascii="宋体" w:hAnsi="宋体"/>
          <w:b/>
          <w:bCs/>
          <w:iCs/>
          <w:color w:val="000000"/>
          <w:sz w:val="28"/>
          <w:szCs w:val="28"/>
        </w:rPr>
      </w:pPr>
      <w:r>
        <w:rPr>
          <w:rFonts w:hint="eastAsia" w:ascii="宋体" w:hAnsi="宋体"/>
          <w:b/>
          <w:bCs/>
          <w:iCs/>
          <w:color w:val="000000"/>
          <w:sz w:val="28"/>
          <w:szCs w:val="28"/>
        </w:rPr>
        <w:t>河北华通线缆集团股份有限公司</w:t>
      </w:r>
    </w:p>
    <w:p w14:paraId="3D4B19CC">
      <w:pPr>
        <w:spacing w:line="560" w:lineRule="exact"/>
        <w:jc w:val="center"/>
        <w:rPr>
          <w:rFonts w:ascii="宋体" w:hAnsi="宋体"/>
          <w:b/>
          <w:bCs/>
          <w:iCs/>
          <w:color w:val="000000"/>
          <w:sz w:val="28"/>
          <w:szCs w:val="28"/>
        </w:rPr>
      </w:pPr>
      <w:r>
        <w:rPr>
          <w:rFonts w:hint="eastAsia" w:ascii="宋体" w:hAnsi="宋体"/>
          <w:b/>
          <w:bCs/>
          <w:iCs/>
          <w:color w:val="000000"/>
          <w:sz w:val="28"/>
          <w:szCs w:val="28"/>
        </w:rPr>
        <w:t>投资者关系活动记录表</w:t>
      </w:r>
    </w:p>
    <w:p w14:paraId="05298C31">
      <w:pPr>
        <w:spacing w:line="560" w:lineRule="exact"/>
        <w:rPr>
          <w:rFonts w:hint="eastAsia" w:ascii="宋体" w:hAnsi="宋体" w:eastAsia="宋体"/>
          <w:bCs/>
          <w:iCs/>
          <w:color w:val="000000"/>
          <w:sz w:val="24"/>
          <w:szCs w:val="24"/>
          <w:lang w:eastAsia="zh-CN"/>
        </w:rPr>
      </w:pPr>
      <w:r>
        <w:rPr>
          <w:rFonts w:hint="eastAsia" w:ascii="宋体" w:hAnsi="宋体"/>
          <w:bCs/>
          <w:iCs/>
          <w:color w:val="000000"/>
          <w:sz w:val="28"/>
          <w:szCs w:val="28"/>
        </w:rPr>
        <w:t xml:space="preserve">                                        </w:t>
      </w:r>
      <w:r>
        <w:rPr>
          <w:rFonts w:ascii="宋体" w:hAnsi="宋体"/>
          <w:bCs/>
          <w:iCs/>
          <w:color w:val="000000"/>
          <w:sz w:val="28"/>
          <w:szCs w:val="28"/>
        </w:rPr>
        <w:t xml:space="preserve">   </w:t>
      </w:r>
      <w:r>
        <w:rPr>
          <w:rFonts w:hint="eastAsia" w:ascii="宋体" w:hAnsi="宋体"/>
          <w:bCs/>
          <w:iCs/>
          <w:color w:val="000000"/>
          <w:sz w:val="28"/>
          <w:szCs w:val="28"/>
        </w:rPr>
        <w:t xml:space="preserve">  </w:t>
      </w:r>
      <w:r>
        <w:rPr>
          <w:rFonts w:hint="eastAsia" w:ascii="宋体" w:hAnsi="宋体"/>
          <w:bCs/>
          <w:iCs/>
          <w:color w:val="000000"/>
          <w:sz w:val="24"/>
          <w:szCs w:val="24"/>
        </w:rPr>
        <w:t>编号：2</w:t>
      </w:r>
      <w:r>
        <w:rPr>
          <w:rFonts w:ascii="宋体" w:hAnsi="宋体"/>
          <w:bCs/>
          <w:iCs/>
          <w:color w:val="000000"/>
          <w:sz w:val="24"/>
          <w:szCs w:val="24"/>
        </w:rPr>
        <w:t>02</w:t>
      </w:r>
      <w:r>
        <w:rPr>
          <w:rFonts w:hint="eastAsia" w:ascii="宋体" w:hAnsi="宋体"/>
          <w:bCs/>
          <w:iCs/>
          <w:color w:val="000000"/>
          <w:sz w:val="24"/>
          <w:szCs w:val="24"/>
        </w:rPr>
        <w:t>4</w:t>
      </w:r>
      <w:r>
        <w:rPr>
          <w:rFonts w:ascii="宋体" w:hAnsi="宋体"/>
          <w:bCs/>
          <w:iCs/>
          <w:color w:val="000000"/>
          <w:sz w:val="24"/>
          <w:szCs w:val="24"/>
        </w:rPr>
        <w:t>-02</w:t>
      </w:r>
      <w:r>
        <w:rPr>
          <w:rFonts w:hint="default" w:ascii="宋体" w:hAnsi="宋体"/>
          <w:bCs/>
          <w:iCs/>
          <w:color w:val="000000"/>
          <w:sz w:val="24"/>
          <w:szCs w:val="24"/>
          <w:lang w:val="en-US" w:eastAsia="zh-CN"/>
        </w:rPr>
        <w:t>4</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782"/>
        <w:gridCol w:w="1783"/>
        <w:gridCol w:w="1783"/>
        <w:gridCol w:w="1786"/>
      </w:tblGrid>
      <w:tr w14:paraId="6318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25F3E88D">
            <w:pPr>
              <w:spacing w:line="560" w:lineRule="exact"/>
              <w:jc w:val="center"/>
              <w:rPr>
                <w:rFonts w:ascii="宋体" w:hAnsi="宋体"/>
                <w:bCs/>
                <w:iCs/>
                <w:color w:val="000000"/>
                <w:sz w:val="24"/>
                <w:szCs w:val="24"/>
              </w:rPr>
            </w:pPr>
            <w:r>
              <w:rPr>
                <w:rFonts w:hint="eastAsia" w:ascii="宋体" w:hAnsi="宋体"/>
                <w:bCs/>
                <w:iCs/>
                <w:color w:val="000000"/>
                <w:sz w:val="24"/>
                <w:szCs w:val="24"/>
              </w:rPr>
              <w:t>投资者关系活动类别</w:t>
            </w:r>
          </w:p>
        </w:tc>
        <w:tc>
          <w:tcPr>
            <w:tcW w:w="418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92D3E45">
            <w:pPr>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特定对象调研      </w:t>
            </w:r>
            <w:r>
              <w:rPr>
                <w:rFonts w:ascii="宋体" w:hAnsi="宋体"/>
                <w:color w:val="000000"/>
                <w:sz w:val="24"/>
                <w:szCs w:val="24"/>
              </w:rPr>
              <w:t xml:space="preserve">  </w:t>
            </w:r>
            <w:r>
              <w:rPr>
                <w:rFonts w:hint="eastAsia" w:ascii="宋体" w:hAnsi="宋体"/>
                <w:bCs/>
                <w:iCs/>
                <w:color w:val="000000"/>
                <w:sz w:val="24"/>
                <w:szCs w:val="24"/>
              </w:rPr>
              <w:t>□</w:t>
            </w:r>
            <w:r>
              <w:rPr>
                <w:rFonts w:hint="eastAsia" w:ascii="宋体" w:hAnsi="宋体"/>
                <w:color w:val="000000"/>
                <w:sz w:val="24"/>
                <w:szCs w:val="24"/>
              </w:rPr>
              <w:t>分析师会议</w:t>
            </w:r>
          </w:p>
          <w:p w14:paraId="77BA96C2">
            <w:pPr>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媒体采访            </w:t>
            </w:r>
            <w:r>
              <w:rPr>
                <w:rFonts w:hint="eastAsia" w:ascii="宋体" w:hAnsi="宋体"/>
                <w:bCs/>
                <w:iCs/>
                <w:color w:val="000000"/>
                <w:sz w:val="24"/>
                <w:szCs w:val="24"/>
              </w:rPr>
              <w:t>□</w:t>
            </w:r>
            <w:r>
              <w:rPr>
                <w:rFonts w:hint="eastAsia" w:ascii="宋体" w:hAnsi="宋体"/>
                <w:color w:val="000000"/>
                <w:sz w:val="24"/>
                <w:szCs w:val="24"/>
              </w:rPr>
              <w:t>业绩说明会</w:t>
            </w:r>
          </w:p>
          <w:p w14:paraId="4C368B6F">
            <w:pPr>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新闻发布会          </w:t>
            </w:r>
            <w:r>
              <w:rPr>
                <w:rFonts w:hint="eastAsia" w:ascii="宋体" w:hAnsi="宋体"/>
                <w:bCs/>
                <w:iCs/>
                <w:color w:val="000000"/>
                <w:sz w:val="24"/>
                <w:szCs w:val="24"/>
              </w:rPr>
              <w:t>□</w:t>
            </w:r>
            <w:r>
              <w:rPr>
                <w:rFonts w:hint="eastAsia" w:ascii="宋体" w:hAnsi="宋体"/>
                <w:color w:val="000000"/>
                <w:sz w:val="24"/>
                <w:szCs w:val="24"/>
              </w:rPr>
              <w:t>路演活动</w:t>
            </w:r>
          </w:p>
          <w:p w14:paraId="26108704">
            <w:pPr>
              <w:tabs>
                <w:tab w:val="left" w:pos="3045"/>
                <w:tab w:val="center" w:pos="3199"/>
              </w:tabs>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现场参观            </w:t>
            </w:r>
            <w:r>
              <w:rPr>
                <w:rFonts w:hint="eastAsia" w:ascii="宋体" w:hAnsi="宋体"/>
                <w:bCs/>
                <w:iCs/>
                <w:color w:val="000000"/>
                <w:sz w:val="24"/>
                <w:szCs w:val="24"/>
              </w:rPr>
              <w:t>□</w:t>
            </w:r>
            <w:r>
              <w:rPr>
                <w:rFonts w:hint="eastAsia" w:ascii="宋体" w:hAnsi="宋体"/>
                <w:color w:val="000000"/>
                <w:sz w:val="24"/>
                <w:szCs w:val="24"/>
              </w:rPr>
              <w:t>其他</w:t>
            </w:r>
          </w:p>
        </w:tc>
      </w:tr>
      <w:tr w14:paraId="160B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pct"/>
            <w:vMerge w:val="restart"/>
            <w:tcBorders>
              <w:top w:val="single" w:color="auto" w:sz="4" w:space="0"/>
              <w:left w:val="single" w:color="auto" w:sz="4" w:space="0"/>
              <w:right w:val="single" w:color="auto" w:sz="4" w:space="0"/>
            </w:tcBorders>
            <w:shd w:val="clear" w:color="auto" w:fill="auto"/>
            <w:vAlign w:val="center"/>
          </w:tcPr>
          <w:p w14:paraId="3D27DB20">
            <w:pPr>
              <w:spacing w:line="560" w:lineRule="exact"/>
              <w:jc w:val="center"/>
              <w:rPr>
                <w:rFonts w:ascii="宋体" w:hAnsi="宋体"/>
                <w:bCs/>
                <w:iCs/>
                <w:color w:val="000000"/>
                <w:sz w:val="24"/>
                <w:szCs w:val="24"/>
              </w:rPr>
            </w:pPr>
            <w:r>
              <w:rPr>
                <w:rFonts w:hint="eastAsia" w:ascii="宋体" w:hAnsi="宋体"/>
                <w:bCs/>
                <w:iCs/>
                <w:color w:val="000000"/>
                <w:sz w:val="24"/>
                <w:szCs w:val="24"/>
              </w:rPr>
              <w:t>参与单位名称及人员名称</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72950936">
            <w:pPr>
              <w:keepNext w:val="0"/>
              <w:keepLines w:val="0"/>
              <w:widowControl/>
              <w:suppressLineNumbers w:val="0"/>
              <w:jc w:val="center"/>
              <w:textAlignment w:val="center"/>
              <w:rPr>
                <w:rFonts w:hint="eastAsia" w:ascii="宋体" w:hAnsi="宋体" w:eastAsia="宋体" w:cs="宋体"/>
                <w:bCs/>
                <w:iCs/>
                <w:color w:val="000000"/>
                <w:sz w:val="24"/>
                <w:szCs w:val="24"/>
              </w:rPr>
            </w:pPr>
            <w:r>
              <w:rPr>
                <w:rFonts w:hint="eastAsia" w:ascii="宋体" w:hAnsi="宋体" w:eastAsia="宋体" w:cs="宋体"/>
                <w:i w:val="0"/>
                <w:iCs w:val="0"/>
                <w:color w:val="000000"/>
                <w:kern w:val="0"/>
                <w:sz w:val="24"/>
                <w:szCs w:val="24"/>
                <w:u w:val="none"/>
                <w:lang w:val="en-US" w:eastAsia="zh-CN" w:bidi="ar"/>
              </w:rPr>
              <w:t>长江证券</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57268257">
            <w:pPr>
              <w:keepNext w:val="0"/>
              <w:keepLines w:val="0"/>
              <w:widowControl/>
              <w:suppressLineNumbers w:val="0"/>
              <w:jc w:val="center"/>
              <w:textAlignment w:val="center"/>
              <w:rPr>
                <w:rFonts w:hint="eastAsia" w:ascii="宋体" w:hAnsi="宋体" w:eastAsia="宋体" w:cs="宋体"/>
                <w:bCs/>
                <w:iCs/>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东北证券</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033713F1">
            <w:pPr>
              <w:keepNext w:val="0"/>
              <w:keepLines w:val="0"/>
              <w:widowControl/>
              <w:suppressLineNumbers w:val="0"/>
              <w:jc w:val="center"/>
              <w:textAlignment w:val="center"/>
              <w:rPr>
                <w:rFonts w:hint="eastAsia" w:ascii="宋体" w:hAnsi="宋体" w:eastAsia="宋体" w:cs="宋体"/>
                <w:bCs/>
                <w:iCs/>
                <w:color w:val="00000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西南证券</w:t>
            </w: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14:paraId="21A233B4">
            <w:pPr>
              <w:keepNext w:val="0"/>
              <w:keepLines w:val="0"/>
              <w:widowControl/>
              <w:suppressLineNumbers w:val="0"/>
              <w:jc w:val="center"/>
              <w:textAlignment w:val="center"/>
              <w:rPr>
                <w:rFonts w:hint="eastAsia" w:ascii="宋体" w:hAnsi="宋体" w:eastAsia="宋体" w:cs="宋体"/>
                <w:bCs/>
                <w:iCs/>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东兴基金</w:t>
            </w:r>
          </w:p>
        </w:tc>
      </w:tr>
      <w:tr w14:paraId="4BEB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pct"/>
            <w:vMerge w:val="continue"/>
            <w:tcBorders>
              <w:left w:val="single" w:color="auto" w:sz="4" w:space="0"/>
              <w:right w:val="single" w:color="auto" w:sz="4" w:space="0"/>
            </w:tcBorders>
            <w:shd w:val="clear" w:color="auto" w:fill="auto"/>
            <w:vAlign w:val="center"/>
          </w:tcPr>
          <w:p w14:paraId="487BB2A9">
            <w:pPr>
              <w:spacing w:line="560" w:lineRule="exact"/>
              <w:jc w:val="center"/>
              <w:rPr>
                <w:rFonts w:hint="eastAsia" w:ascii="宋体" w:hAnsi="宋体"/>
                <w:bCs/>
                <w:iCs/>
                <w:color w:val="000000"/>
                <w:sz w:val="24"/>
                <w:szCs w:val="24"/>
              </w:rPr>
            </w:pP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2D094B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嘉实基金</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5D5D12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民生加银</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4828D9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兴源投资</w:t>
            </w: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14:paraId="2C1B2E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全天候投资</w:t>
            </w:r>
          </w:p>
        </w:tc>
      </w:tr>
      <w:tr w14:paraId="08A0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pct"/>
            <w:vMerge w:val="continue"/>
            <w:tcBorders>
              <w:left w:val="single" w:color="auto" w:sz="4" w:space="0"/>
              <w:right w:val="single" w:color="auto" w:sz="4" w:space="0"/>
            </w:tcBorders>
            <w:shd w:val="clear" w:color="auto" w:fill="auto"/>
            <w:vAlign w:val="center"/>
          </w:tcPr>
          <w:p w14:paraId="4C6FDE49">
            <w:pPr>
              <w:spacing w:line="560" w:lineRule="exact"/>
              <w:jc w:val="center"/>
              <w:rPr>
                <w:rFonts w:hint="eastAsia" w:ascii="宋体" w:hAnsi="宋体"/>
                <w:bCs/>
                <w:iCs/>
                <w:color w:val="000000"/>
                <w:sz w:val="24"/>
                <w:szCs w:val="24"/>
              </w:rPr>
            </w:pP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17BC26EA">
            <w:pPr>
              <w:keepNext w:val="0"/>
              <w:keepLines w:val="0"/>
              <w:widowControl/>
              <w:suppressLineNumbers w:val="0"/>
              <w:jc w:val="center"/>
              <w:textAlignment w:val="center"/>
              <w:rPr>
                <w:rFonts w:hint="eastAsia" w:ascii="宋体" w:hAnsi="宋体" w:eastAsia="宋体" w:cs="宋体"/>
                <w:bCs/>
                <w:iCs/>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合远基金</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438F2973">
            <w:pPr>
              <w:keepNext w:val="0"/>
              <w:keepLines w:val="0"/>
              <w:widowControl/>
              <w:suppressLineNumbers w:val="0"/>
              <w:jc w:val="center"/>
              <w:textAlignment w:val="center"/>
              <w:rPr>
                <w:rFonts w:hint="eastAsia" w:ascii="宋体" w:hAnsi="宋体" w:eastAsia="宋体" w:cs="宋体"/>
                <w:bCs/>
                <w:iCs/>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新华基金</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06776EA8">
            <w:pPr>
              <w:keepNext w:val="0"/>
              <w:keepLines w:val="0"/>
              <w:widowControl/>
              <w:suppressLineNumbers w:val="0"/>
              <w:jc w:val="center"/>
              <w:textAlignment w:val="center"/>
              <w:rPr>
                <w:rFonts w:hint="eastAsia" w:ascii="宋体" w:hAnsi="宋体" w:eastAsia="宋体" w:cs="宋体"/>
                <w:bCs/>
                <w:iCs/>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工银瑞信</w:t>
            </w: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14:paraId="23149519">
            <w:pPr>
              <w:keepNext w:val="0"/>
              <w:keepLines w:val="0"/>
              <w:widowControl/>
              <w:suppressLineNumbers w:val="0"/>
              <w:jc w:val="center"/>
              <w:textAlignment w:val="center"/>
              <w:rPr>
                <w:rFonts w:hint="eastAsia" w:ascii="宋体" w:hAnsi="宋体" w:eastAsia="宋体" w:cs="宋体"/>
                <w:bCs/>
                <w:iCs/>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汐泰投资</w:t>
            </w:r>
          </w:p>
        </w:tc>
      </w:tr>
      <w:tr w14:paraId="1C12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pct"/>
            <w:vMerge w:val="continue"/>
            <w:tcBorders>
              <w:left w:val="single" w:color="auto" w:sz="4" w:space="0"/>
              <w:right w:val="single" w:color="auto" w:sz="4" w:space="0"/>
            </w:tcBorders>
            <w:shd w:val="clear" w:color="auto" w:fill="auto"/>
            <w:vAlign w:val="center"/>
          </w:tcPr>
          <w:p w14:paraId="0E540204">
            <w:pPr>
              <w:spacing w:line="560" w:lineRule="exact"/>
              <w:jc w:val="center"/>
              <w:rPr>
                <w:rFonts w:hint="eastAsia" w:ascii="宋体" w:hAnsi="宋体"/>
                <w:bCs/>
                <w:iCs/>
                <w:color w:val="000000"/>
                <w:sz w:val="24"/>
                <w:szCs w:val="24"/>
              </w:rPr>
            </w:pP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267C3DDE">
            <w:pPr>
              <w:keepNext w:val="0"/>
              <w:keepLines w:val="0"/>
              <w:widowControl/>
              <w:suppressLineNumbers w:val="0"/>
              <w:jc w:val="center"/>
              <w:textAlignment w:val="center"/>
              <w:rPr>
                <w:rFonts w:hint="eastAsia" w:ascii="宋体" w:hAnsi="宋体" w:eastAsia="宋体" w:cs="宋体"/>
                <w:bCs/>
                <w:iCs/>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一乾私募</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4CFC764F">
            <w:pPr>
              <w:keepNext w:val="0"/>
              <w:keepLines w:val="0"/>
              <w:widowControl/>
              <w:suppressLineNumbers w:val="0"/>
              <w:jc w:val="center"/>
              <w:textAlignment w:val="center"/>
              <w:rPr>
                <w:rFonts w:hint="eastAsia" w:ascii="宋体" w:hAnsi="宋体" w:eastAsia="宋体" w:cs="宋体"/>
                <w:bCs/>
                <w:iCs/>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千禧投资</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2284D6FD">
            <w:pPr>
              <w:keepNext w:val="0"/>
              <w:keepLines w:val="0"/>
              <w:widowControl/>
              <w:suppressLineNumbers w:val="0"/>
              <w:jc w:val="center"/>
              <w:textAlignment w:val="center"/>
              <w:rPr>
                <w:rFonts w:hint="eastAsia" w:ascii="宋体" w:hAnsi="宋体" w:eastAsia="宋体" w:cs="宋体"/>
                <w:bCs/>
                <w:iCs/>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中信资管</w:t>
            </w: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14:paraId="24ADA288">
            <w:pPr>
              <w:keepNext w:val="0"/>
              <w:keepLines w:val="0"/>
              <w:widowControl/>
              <w:suppressLineNumbers w:val="0"/>
              <w:jc w:val="center"/>
              <w:textAlignment w:val="center"/>
              <w:rPr>
                <w:rFonts w:hint="eastAsia" w:ascii="宋体" w:hAnsi="宋体" w:eastAsia="宋体" w:cs="宋体"/>
                <w:bCs/>
                <w:iCs/>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中泰证券</w:t>
            </w:r>
          </w:p>
        </w:tc>
      </w:tr>
      <w:tr w14:paraId="1CEF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pct"/>
            <w:vMerge w:val="continue"/>
            <w:tcBorders>
              <w:left w:val="single" w:color="auto" w:sz="4" w:space="0"/>
              <w:right w:val="single" w:color="auto" w:sz="4" w:space="0"/>
            </w:tcBorders>
            <w:shd w:val="clear" w:color="auto" w:fill="auto"/>
            <w:vAlign w:val="center"/>
          </w:tcPr>
          <w:p w14:paraId="47CA12DE">
            <w:pPr>
              <w:spacing w:line="560" w:lineRule="exact"/>
              <w:jc w:val="center"/>
              <w:rPr>
                <w:rFonts w:hint="eastAsia" w:ascii="宋体" w:hAnsi="宋体"/>
                <w:bCs/>
                <w:iCs/>
                <w:color w:val="000000"/>
                <w:sz w:val="24"/>
                <w:szCs w:val="24"/>
              </w:rPr>
            </w:pP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5553EAF5">
            <w:pPr>
              <w:keepNext w:val="0"/>
              <w:keepLines w:val="0"/>
              <w:widowControl/>
              <w:suppressLineNumbers w:val="0"/>
              <w:jc w:val="center"/>
              <w:textAlignment w:val="center"/>
              <w:rPr>
                <w:rFonts w:hint="eastAsia" w:ascii="宋体" w:hAnsi="宋体" w:eastAsia="宋体" w:cs="宋体"/>
                <w:bCs/>
                <w:iCs/>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淡水泉</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7C52C425">
            <w:pPr>
              <w:keepNext w:val="0"/>
              <w:keepLines w:val="0"/>
              <w:widowControl/>
              <w:suppressLineNumbers w:val="0"/>
              <w:jc w:val="center"/>
              <w:textAlignment w:val="center"/>
              <w:rPr>
                <w:rFonts w:hint="eastAsia" w:ascii="宋体" w:hAnsi="宋体" w:eastAsia="宋体" w:cs="宋体"/>
                <w:bCs/>
                <w:iCs/>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源乐晟</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55A3D017">
            <w:pPr>
              <w:keepNext w:val="0"/>
              <w:keepLines w:val="0"/>
              <w:widowControl/>
              <w:suppressLineNumbers w:val="0"/>
              <w:jc w:val="center"/>
              <w:textAlignment w:val="center"/>
              <w:rPr>
                <w:rFonts w:hint="eastAsia" w:ascii="宋体" w:hAnsi="宋体" w:eastAsia="宋体" w:cs="宋体"/>
                <w:bCs/>
                <w:iCs/>
                <w:color w:val="000000"/>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景林资产</w:t>
            </w: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14:paraId="5D61ACE4">
            <w:pPr>
              <w:keepNext w:val="0"/>
              <w:keepLines w:val="0"/>
              <w:widowControl/>
              <w:suppressLineNumbers w:val="0"/>
              <w:jc w:val="center"/>
              <w:textAlignment w:val="center"/>
              <w:rPr>
                <w:rFonts w:hint="eastAsia" w:ascii="宋体" w:hAnsi="宋体" w:eastAsia="宋体" w:cs="宋体"/>
                <w:bCs/>
                <w:iCs/>
                <w:color w:val="000000"/>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英大资产</w:t>
            </w:r>
          </w:p>
        </w:tc>
      </w:tr>
      <w:tr w14:paraId="21E6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pct"/>
            <w:vMerge w:val="continue"/>
            <w:tcBorders>
              <w:left w:val="single" w:color="auto" w:sz="4" w:space="0"/>
              <w:right w:val="single" w:color="auto" w:sz="4" w:space="0"/>
            </w:tcBorders>
            <w:shd w:val="clear" w:color="auto" w:fill="auto"/>
            <w:vAlign w:val="center"/>
          </w:tcPr>
          <w:p w14:paraId="5097CFCA">
            <w:pPr>
              <w:spacing w:line="560" w:lineRule="exact"/>
              <w:jc w:val="center"/>
              <w:rPr>
                <w:rFonts w:hint="eastAsia" w:ascii="宋体" w:hAnsi="宋体"/>
                <w:bCs/>
                <w:iCs/>
                <w:color w:val="000000"/>
                <w:sz w:val="24"/>
                <w:szCs w:val="24"/>
              </w:rPr>
            </w:pP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6DF7FEB5">
            <w:pPr>
              <w:keepNext w:val="0"/>
              <w:keepLines w:val="0"/>
              <w:widowControl/>
              <w:suppressLineNumbers w:val="0"/>
              <w:jc w:val="center"/>
              <w:textAlignment w:val="center"/>
              <w:rPr>
                <w:rFonts w:hint="eastAsia" w:ascii="宋体" w:hAnsi="宋体" w:eastAsia="宋体" w:cs="宋体"/>
                <w:bCs/>
                <w:iCs/>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泓德基金</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58A554E5">
            <w:pPr>
              <w:keepNext w:val="0"/>
              <w:keepLines w:val="0"/>
              <w:widowControl/>
              <w:suppressLineNumbers w:val="0"/>
              <w:jc w:val="center"/>
              <w:textAlignment w:val="center"/>
              <w:rPr>
                <w:rFonts w:hint="eastAsia" w:ascii="宋体" w:hAnsi="宋体" w:eastAsia="宋体" w:cs="宋体"/>
                <w:bCs/>
                <w:iCs/>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正御资产</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0D836DFE">
            <w:pPr>
              <w:keepNext w:val="0"/>
              <w:keepLines w:val="0"/>
              <w:widowControl/>
              <w:suppressLineNumbers w:val="0"/>
              <w:jc w:val="center"/>
              <w:textAlignment w:val="center"/>
              <w:rPr>
                <w:rFonts w:hint="eastAsia" w:ascii="宋体" w:hAnsi="宋体" w:eastAsia="宋体" w:cs="宋体"/>
                <w:bCs/>
                <w:iCs/>
                <w:color w:val="000000"/>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金鹰基金</w:t>
            </w: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14:paraId="56C68A73">
            <w:pPr>
              <w:keepNext w:val="0"/>
              <w:keepLines w:val="0"/>
              <w:widowControl/>
              <w:suppressLineNumbers w:val="0"/>
              <w:jc w:val="center"/>
              <w:textAlignment w:val="center"/>
              <w:rPr>
                <w:rFonts w:hint="eastAsia" w:ascii="宋体" w:hAnsi="宋体" w:eastAsia="宋体" w:cs="宋体"/>
                <w:bCs/>
                <w:iCs/>
                <w:color w:val="000000"/>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勤辰资产</w:t>
            </w:r>
          </w:p>
        </w:tc>
      </w:tr>
      <w:tr w14:paraId="480E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3" w:type="pct"/>
            <w:vMerge w:val="continue"/>
            <w:tcBorders>
              <w:left w:val="single" w:color="auto" w:sz="4" w:space="0"/>
              <w:right w:val="single" w:color="auto" w:sz="4" w:space="0"/>
            </w:tcBorders>
            <w:shd w:val="clear" w:color="auto" w:fill="auto"/>
            <w:vAlign w:val="center"/>
          </w:tcPr>
          <w:p w14:paraId="14067621">
            <w:pPr>
              <w:spacing w:line="560" w:lineRule="exact"/>
              <w:jc w:val="center"/>
              <w:rPr>
                <w:rFonts w:hint="eastAsia" w:ascii="宋体" w:hAnsi="宋体"/>
                <w:bCs/>
                <w:iCs/>
                <w:color w:val="000000"/>
                <w:sz w:val="24"/>
                <w:szCs w:val="24"/>
              </w:rPr>
            </w:pP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4E6B23B0">
            <w:pPr>
              <w:keepNext w:val="0"/>
              <w:keepLines w:val="0"/>
              <w:widowControl/>
              <w:suppressLineNumbers w:val="0"/>
              <w:jc w:val="center"/>
              <w:textAlignment w:val="center"/>
              <w:rPr>
                <w:rFonts w:hint="eastAsia" w:ascii="宋体" w:hAnsi="宋体" w:eastAsia="宋体" w:cs="宋体"/>
                <w:bCs/>
                <w:iCs/>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观火投研</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7E2103AA">
            <w:pPr>
              <w:keepNext w:val="0"/>
              <w:keepLines w:val="0"/>
              <w:widowControl/>
              <w:suppressLineNumbers w:val="0"/>
              <w:jc w:val="center"/>
              <w:textAlignment w:val="center"/>
              <w:rPr>
                <w:rFonts w:hint="eastAsia" w:ascii="宋体" w:hAnsi="宋体" w:eastAsia="宋体" w:cs="宋体"/>
                <w:bCs/>
                <w:iCs/>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星石投资</w:t>
            </w:r>
          </w:p>
        </w:tc>
        <w:tc>
          <w:tcPr>
            <w:tcW w:w="1046" w:type="pct"/>
            <w:tcBorders>
              <w:top w:val="single" w:color="auto" w:sz="4" w:space="0"/>
              <w:left w:val="single" w:color="auto" w:sz="4" w:space="0"/>
              <w:bottom w:val="single" w:color="auto" w:sz="4" w:space="0"/>
              <w:right w:val="single" w:color="auto" w:sz="4" w:space="0"/>
            </w:tcBorders>
            <w:shd w:val="clear" w:color="auto" w:fill="auto"/>
            <w:vAlign w:val="center"/>
          </w:tcPr>
          <w:p w14:paraId="19BC0A02">
            <w:pPr>
              <w:keepNext w:val="0"/>
              <w:keepLines w:val="0"/>
              <w:widowControl/>
              <w:suppressLineNumbers w:val="0"/>
              <w:jc w:val="center"/>
              <w:textAlignment w:val="center"/>
              <w:rPr>
                <w:rFonts w:hint="eastAsia" w:ascii="宋体" w:hAnsi="宋体" w:eastAsia="宋体" w:cs="宋体"/>
                <w:bCs/>
                <w:iCs/>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恒安标准人寿</w:t>
            </w: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14:paraId="27B69000">
            <w:pPr>
              <w:keepNext w:val="0"/>
              <w:keepLines w:val="0"/>
              <w:widowControl/>
              <w:suppressLineNumbers w:val="0"/>
              <w:jc w:val="center"/>
              <w:textAlignment w:val="center"/>
              <w:rPr>
                <w:rFonts w:hint="eastAsia" w:ascii="宋体" w:hAnsi="宋体" w:eastAsia="宋体" w:cs="宋体"/>
                <w:bCs/>
                <w:iCs/>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煜徳投资</w:t>
            </w:r>
          </w:p>
        </w:tc>
      </w:tr>
      <w:tr w14:paraId="1F7B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669568ED">
            <w:pPr>
              <w:spacing w:line="560" w:lineRule="exact"/>
              <w:jc w:val="center"/>
              <w:rPr>
                <w:rFonts w:ascii="宋体" w:hAnsi="宋体"/>
                <w:bCs/>
                <w:iCs/>
                <w:color w:val="000000"/>
                <w:sz w:val="24"/>
                <w:szCs w:val="24"/>
              </w:rPr>
            </w:pPr>
            <w:r>
              <w:rPr>
                <w:rFonts w:hint="eastAsia" w:ascii="宋体" w:hAnsi="宋体"/>
                <w:bCs/>
                <w:iCs/>
                <w:color w:val="000000"/>
                <w:sz w:val="24"/>
                <w:szCs w:val="24"/>
              </w:rPr>
              <w:t>时间</w:t>
            </w:r>
          </w:p>
        </w:tc>
        <w:tc>
          <w:tcPr>
            <w:tcW w:w="418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E74629">
            <w:pPr>
              <w:bidi w:val="0"/>
              <w:rPr>
                <w:rFonts w:hint="eastAsia" w:eastAsia="宋体"/>
                <w:lang w:eastAsia="zh-CN"/>
              </w:rPr>
            </w:pPr>
            <w:r>
              <w:rPr>
                <w:rFonts w:hint="eastAsia"/>
              </w:rPr>
              <w:t>2024年</w:t>
            </w:r>
            <w:r>
              <w:t>1</w:t>
            </w:r>
            <w:r>
              <w:rPr>
                <w:rFonts w:hint="default"/>
                <w:lang w:val="en-US"/>
              </w:rPr>
              <w:t>2</w:t>
            </w:r>
            <w:r>
              <w:rPr>
                <w:rFonts w:hint="eastAsia"/>
              </w:rPr>
              <w:t>月</w:t>
            </w:r>
            <w:r>
              <w:rPr>
                <w:rFonts w:hint="default"/>
                <w:lang w:val="en-US" w:eastAsia="zh-CN"/>
              </w:rPr>
              <w:t>10</w:t>
            </w:r>
            <w:r>
              <w:rPr>
                <w:rFonts w:hint="eastAsia"/>
              </w:rPr>
              <w:t>日</w:t>
            </w:r>
          </w:p>
        </w:tc>
      </w:tr>
      <w:tr w14:paraId="0177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56A9634C">
            <w:pPr>
              <w:spacing w:line="560" w:lineRule="exact"/>
              <w:jc w:val="center"/>
              <w:rPr>
                <w:rFonts w:ascii="宋体" w:hAnsi="宋体"/>
                <w:bCs/>
                <w:iCs/>
                <w:color w:val="000000"/>
                <w:sz w:val="24"/>
                <w:szCs w:val="24"/>
              </w:rPr>
            </w:pPr>
            <w:r>
              <w:rPr>
                <w:rFonts w:hint="eastAsia" w:ascii="宋体" w:hAnsi="宋体"/>
                <w:bCs/>
                <w:iCs/>
                <w:color w:val="000000"/>
                <w:sz w:val="24"/>
                <w:szCs w:val="24"/>
              </w:rPr>
              <w:t>地点</w:t>
            </w:r>
          </w:p>
        </w:tc>
        <w:tc>
          <w:tcPr>
            <w:tcW w:w="418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B53307A">
            <w:pPr>
              <w:spacing w:line="360" w:lineRule="auto"/>
              <w:rPr>
                <w:color w:val="000000"/>
                <w:sz w:val="24"/>
                <w:szCs w:val="24"/>
              </w:rPr>
            </w:pPr>
            <w:r>
              <w:rPr>
                <w:rFonts w:hint="eastAsia"/>
                <w:color w:val="000000"/>
                <w:sz w:val="24"/>
                <w:szCs w:val="24"/>
                <w:lang w:val="en-US" w:eastAsia="zh-CN"/>
              </w:rPr>
              <w:t>线下：华通线缆四楼会议室；</w:t>
            </w:r>
            <w:r>
              <w:rPr>
                <w:rFonts w:hint="eastAsia"/>
                <w:color w:val="000000"/>
                <w:sz w:val="24"/>
                <w:szCs w:val="24"/>
              </w:rPr>
              <w:t>线上：</w:t>
            </w:r>
            <w:r>
              <w:rPr>
                <w:rFonts w:hint="eastAsia"/>
                <w:color w:val="000000"/>
                <w:sz w:val="24"/>
                <w:szCs w:val="24"/>
                <w:lang w:val="en-US" w:eastAsia="zh-CN"/>
              </w:rPr>
              <w:t>腾讯</w:t>
            </w:r>
            <w:r>
              <w:rPr>
                <w:rFonts w:hint="eastAsia"/>
                <w:color w:val="000000"/>
                <w:sz w:val="24"/>
                <w:szCs w:val="24"/>
              </w:rPr>
              <w:t>会议</w:t>
            </w:r>
          </w:p>
        </w:tc>
      </w:tr>
      <w:tr w14:paraId="419D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641AB5F6">
            <w:pPr>
              <w:spacing w:line="560" w:lineRule="exact"/>
              <w:jc w:val="center"/>
              <w:rPr>
                <w:rFonts w:ascii="宋体" w:hAnsi="宋体"/>
                <w:bCs/>
                <w:iCs/>
                <w:color w:val="000000"/>
                <w:sz w:val="24"/>
                <w:szCs w:val="24"/>
              </w:rPr>
            </w:pPr>
            <w:r>
              <w:rPr>
                <w:rFonts w:hint="eastAsia" w:ascii="宋体" w:hAnsi="宋体"/>
                <w:bCs/>
                <w:iCs/>
                <w:color w:val="000000"/>
                <w:sz w:val="24"/>
                <w:szCs w:val="24"/>
              </w:rPr>
              <w:t>上市公司接待人员姓名</w:t>
            </w:r>
          </w:p>
        </w:tc>
        <w:tc>
          <w:tcPr>
            <w:tcW w:w="418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EFDA7E">
            <w:pPr>
              <w:spacing w:line="360" w:lineRule="auto"/>
              <w:rPr>
                <w:rFonts w:ascii="宋体" w:hAnsi="宋体"/>
                <w:bCs/>
                <w:iCs/>
                <w:color w:val="000000"/>
                <w:sz w:val="24"/>
                <w:szCs w:val="24"/>
              </w:rPr>
            </w:pPr>
            <w:r>
              <w:rPr>
                <w:rFonts w:hint="eastAsia" w:ascii="宋体" w:hAnsi="宋体"/>
                <w:bCs/>
                <w:iCs/>
                <w:color w:val="000000"/>
                <w:sz w:val="24"/>
                <w:szCs w:val="24"/>
              </w:rPr>
              <w:t>董事会秘书兼财务总监罗效愚</w:t>
            </w:r>
          </w:p>
        </w:tc>
      </w:tr>
      <w:tr w14:paraId="7C8B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621BF86E">
            <w:pPr>
              <w:spacing w:line="560" w:lineRule="exact"/>
              <w:jc w:val="center"/>
              <w:rPr>
                <w:rFonts w:ascii="宋体" w:hAnsi="宋体"/>
                <w:bCs/>
                <w:iCs/>
                <w:color w:val="000000"/>
                <w:sz w:val="24"/>
                <w:szCs w:val="24"/>
              </w:rPr>
            </w:pPr>
            <w:r>
              <w:rPr>
                <w:rFonts w:hint="eastAsia" w:ascii="宋体" w:hAnsi="宋体"/>
                <w:bCs/>
                <w:iCs/>
                <w:color w:val="000000"/>
                <w:sz w:val="24"/>
                <w:szCs w:val="24"/>
              </w:rPr>
              <w:t>投资者关系活动主要内容介绍</w:t>
            </w:r>
          </w:p>
        </w:tc>
        <w:tc>
          <w:tcPr>
            <w:tcW w:w="418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8CC3D2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公司管理层交流</w:t>
            </w:r>
          </w:p>
          <w:p w14:paraId="1E51B7B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公司管理层与参会投资者进行互动交流，主要沟通内容如下：</w:t>
            </w:r>
          </w:p>
          <w:p w14:paraId="47639D5B">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1、公司产品毛利率情况如何？</w:t>
            </w:r>
          </w:p>
          <w:p w14:paraId="6AD50A9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目前两个主营板块为电线电缆及油气服务，整体而言油服产品毛利率高于线缆产品，海外线缆板块盈利能力高于国内线缆板块，其中国内线缆领域行业集中度较低，线缆厂家较多，行业竞争激烈。公司同种产品毛利率情况基本稳定，竞争力较强的产品如管缆产品毛利率情况有上升趋势。</w:t>
            </w:r>
          </w:p>
          <w:p w14:paraId="625A2E8B">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2、公司目前的资本开支情况？</w:t>
            </w:r>
          </w:p>
          <w:p w14:paraId="24C3B2BD">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both"/>
              <w:textAlignment w:val="auto"/>
              <w:rPr>
                <w:rFonts w:hint="eastAsia" w:ascii="宋体" w:hAnsi="宋体" w:eastAsia="宋体" w:cs="宋体"/>
                <w:sz w:val="24"/>
                <w:szCs w:val="24"/>
              </w:rPr>
            </w:pPr>
            <w:r>
              <w:rPr>
                <w:rFonts w:ascii="宋体" w:hAnsi="宋体" w:eastAsia="宋体" w:cs="宋体"/>
                <w:kern w:val="2"/>
                <w:sz w:val="24"/>
                <w:szCs w:val="24"/>
                <w:lang w:bidi="ar-SA"/>
              </w:rPr>
              <w:t>公司当前最</w:t>
            </w:r>
            <w:r>
              <w:rPr>
                <w:rFonts w:hint="eastAsia" w:ascii="宋体" w:hAnsi="宋体" w:cs="宋体"/>
                <w:kern w:val="2"/>
                <w:sz w:val="24"/>
                <w:szCs w:val="24"/>
                <w:lang w:val="en-US" w:eastAsia="zh-CN" w:bidi="ar-SA"/>
              </w:rPr>
              <w:t>主</w:t>
            </w:r>
            <w:r>
              <w:rPr>
                <w:rFonts w:ascii="宋体" w:hAnsi="宋体" w:eastAsia="宋体" w:cs="宋体"/>
                <w:kern w:val="2"/>
                <w:sz w:val="24"/>
                <w:szCs w:val="24"/>
                <w:lang w:bidi="ar-SA"/>
              </w:rPr>
              <w:t>要的资本支出为海外工厂建设费用</w:t>
            </w:r>
            <w:r>
              <w:rPr>
                <w:rFonts w:hint="eastAsia" w:ascii="宋体" w:hAnsi="宋体" w:eastAsia="宋体" w:cs="宋体"/>
                <w:sz w:val="24"/>
                <w:szCs w:val="24"/>
              </w:rPr>
              <w:t>，其中涉及到新设工厂建设及工厂扩建开支</w:t>
            </w:r>
            <w:bookmarkStart w:id="0" w:name="_GoBack"/>
            <w:bookmarkEnd w:id="0"/>
            <w:r>
              <w:rPr>
                <w:rFonts w:hint="eastAsia" w:ascii="宋体" w:hAnsi="宋体" w:eastAsia="宋体" w:cs="宋体"/>
                <w:sz w:val="24"/>
                <w:szCs w:val="24"/>
              </w:rPr>
              <w:t>，线缆行业前期建设资金投入占比不大，主要为后期流动资金占用需求。公司各海外工厂的建设情况主要依据公司整体发展战略，公司充分协同公司内部资源以及资金资源进行建设，并将继续践行“国内与国外市场并重，发达国家与新兴市场同步发展”的全球化战略布局，保持公司在全球市场的竞争力。</w:t>
            </w:r>
          </w:p>
          <w:p w14:paraId="4183A6CE">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3、公司在海内外协同管理方面有什么经验？</w:t>
            </w:r>
          </w:p>
          <w:p w14:paraId="2844D2B2">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海内外协同管理是一个复杂而多维的任务，它涉及到多个层面和策略。首先需要公司制度保障，公司目前已经建立了比较完善的海内外管理制度进行公司治理，在制度层面保证公司协同发展；此外，公司还致力于强化远程协作能力，通过优化公司内部系统及多样化工具使用确保团队成员之间的无缝连接和高效协作；公司还在文化建设方面进行努力，开设葡萄牙语、西班牙语、韩语等课程，促进团队成员之间的沟通与理解。</w:t>
            </w:r>
          </w:p>
          <w:p w14:paraId="77AE677F">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4、目前海运费情况如何？</w:t>
            </w:r>
          </w:p>
          <w:p w14:paraId="7B1B457C">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目前运费情况基本稳定，比前期有一定的价格回落。公司海外业务广泛，具体的运费承担方主要依据和客户签订的合同约定，且合约价格也会依据海运费实际情况进行调整。</w:t>
            </w:r>
          </w:p>
          <w:p w14:paraId="1C4CC9C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5、公司目前的回购方案进展如何？</w:t>
            </w:r>
          </w:p>
          <w:p w14:paraId="06145973">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已经于2024年11月25日召开2024年第四次临时股东大会审议通过了《关于以集中竞价交易方式回购公司股份方案的议案》方案。截止2024年11月底，公司暂未实施股份回购，目前回购方案正在按照计划进行，公司将会按照相关信息披露要求及时发布回购进展公告。</w:t>
            </w:r>
          </w:p>
          <w:p w14:paraId="12CAD60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二、风险提示</w:t>
            </w:r>
          </w:p>
          <w:p w14:paraId="0A807168">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ascii="宋体" w:hAnsi="宋体"/>
                <w:sz w:val="24"/>
                <w:szCs w:val="24"/>
              </w:rPr>
            </w:pPr>
            <w:r>
              <w:rPr>
                <w:rFonts w:hint="eastAsia" w:ascii="宋体" w:hAnsi="宋体" w:eastAsia="宋体" w:cs="宋体"/>
                <w:sz w:val="24"/>
                <w:szCs w:val="24"/>
              </w:rPr>
              <w:t>公司郑重提醒广大投资者，有关公司信息以公司在上海证券交易所网站（www.sse.com.cn）和法定信息披露媒体刊登的相关公告为准。本公告中如涉及对外部环境判断、公司发展战略、未来计划等描述，不构成公司对投资者的实质承诺，敬请广大投资者理性投资，注意投资风险。</w:t>
            </w:r>
          </w:p>
        </w:tc>
      </w:tr>
      <w:tr w14:paraId="3678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06344DC7">
            <w:pPr>
              <w:spacing w:line="560" w:lineRule="exact"/>
              <w:jc w:val="center"/>
              <w:rPr>
                <w:rFonts w:ascii="宋体" w:hAnsi="宋体"/>
                <w:bCs/>
                <w:iCs/>
                <w:color w:val="000000"/>
                <w:sz w:val="24"/>
                <w:szCs w:val="24"/>
              </w:rPr>
            </w:pPr>
            <w:r>
              <w:rPr>
                <w:rFonts w:hint="eastAsia" w:ascii="宋体" w:hAnsi="宋体"/>
                <w:bCs/>
                <w:iCs/>
                <w:color w:val="000000"/>
                <w:sz w:val="24"/>
                <w:szCs w:val="24"/>
              </w:rPr>
              <w:t>附件清单（如有）</w:t>
            </w:r>
          </w:p>
        </w:tc>
        <w:tc>
          <w:tcPr>
            <w:tcW w:w="418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9872C8">
            <w:pPr>
              <w:spacing w:line="560" w:lineRule="exact"/>
              <w:jc w:val="left"/>
              <w:rPr>
                <w:rFonts w:ascii="宋体" w:hAnsi="宋体"/>
                <w:bCs/>
                <w:iCs/>
                <w:color w:val="000000"/>
                <w:sz w:val="24"/>
                <w:szCs w:val="24"/>
              </w:rPr>
            </w:pPr>
            <w:r>
              <w:rPr>
                <w:rFonts w:hint="eastAsia" w:ascii="宋体" w:hAnsi="宋体"/>
                <w:bCs/>
                <w:iCs/>
                <w:color w:val="000000"/>
                <w:sz w:val="24"/>
                <w:szCs w:val="24"/>
              </w:rPr>
              <w:t>无</w:t>
            </w:r>
          </w:p>
        </w:tc>
      </w:tr>
      <w:tr w14:paraId="556E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14:paraId="3C20580B">
            <w:pPr>
              <w:spacing w:line="560" w:lineRule="exact"/>
              <w:jc w:val="center"/>
              <w:rPr>
                <w:rFonts w:ascii="宋体" w:hAnsi="宋体"/>
                <w:bCs/>
                <w:iCs/>
                <w:color w:val="000000"/>
                <w:sz w:val="24"/>
                <w:szCs w:val="24"/>
              </w:rPr>
            </w:pPr>
            <w:r>
              <w:rPr>
                <w:rFonts w:hint="eastAsia" w:ascii="宋体" w:hAnsi="宋体"/>
                <w:bCs/>
                <w:iCs/>
                <w:color w:val="000000"/>
                <w:sz w:val="24"/>
                <w:szCs w:val="24"/>
              </w:rPr>
              <w:t>时间</w:t>
            </w:r>
          </w:p>
        </w:tc>
        <w:tc>
          <w:tcPr>
            <w:tcW w:w="418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FDE7D01">
            <w:pPr>
              <w:spacing w:line="560" w:lineRule="exact"/>
              <w:jc w:val="left"/>
              <w:rPr>
                <w:rFonts w:ascii="宋体" w:hAnsi="宋体"/>
                <w:bCs/>
                <w:iCs/>
                <w:color w:val="000000"/>
                <w:sz w:val="24"/>
                <w:szCs w:val="24"/>
              </w:rPr>
            </w:pPr>
            <w:r>
              <w:rPr>
                <w:rFonts w:hint="eastAsia" w:ascii="宋体" w:hAnsi="宋体"/>
                <w:bCs/>
                <w:iCs/>
                <w:color w:val="000000"/>
                <w:sz w:val="24"/>
                <w:szCs w:val="24"/>
              </w:rPr>
              <w:t>2024年</w:t>
            </w:r>
            <w:r>
              <w:rPr>
                <w:rFonts w:ascii="宋体" w:hAnsi="宋体"/>
                <w:bCs/>
                <w:iCs/>
                <w:color w:val="000000"/>
                <w:sz w:val="24"/>
                <w:szCs w:val="24"/>
              </w:rPr>
              <w:t>1</w:t>
            </w:r>
            <w:r>
              <w:rPr>
                <w:rFonts w:hint="eastAsia" w:ascii="宋体" w:hAnsi="宋体"/>
                <w:bCs/>
                <w:iCs/>
                <w:color w:val="000000"/>
                <w:sz w:val="24"/>
                <w:szCs w:val="24"/>
                <w:lang w:val="en-US" w:eastAsia="zh-CN"/>
              </w:rPr>
              <w:t>2</w:t>
            </w:r>
            <w:r>
              <w:rPr>
                <w:rFonts w:hint="eastAsia" w:ascii="宋体" w:hAnsi="宋体"/>
                <w:bCs/>
                <w:iCs/>
                <w:color w:val="000000"/>
                <w:sz w:val="24"/>
                <w:szCs w:val="24"/>
              </w:rPr>
              <w:t>月</w:t>
            </w:r>
            <w:r>
              <w:rPr>
                <w:rFonts w:hint="eastAsia" w:ascii="宋体" w:hAnsi="宋体"/>
                <w:bCs/>
                <w:iCs/>
                <w:color w:val="000000"/>
                <w:sz w:val="24"/>
                <w:szCs w:val="24"/>
                <w:lang w:val="en-US" w:eastAsia="zh-CN"/>
              </w:rPr>
              <w:t>11</w:t>
            </w:r>
            <w:r>
              <w:rPr>
                <w:rFonts w:hint="eastAsia" w:ascii="宋体" w:hAnsi="宋体"/>
                <w:bCs/>
                <w:iCs/>
                <w:color w:val="000000"/>
                <w:sz w:val="24"/>
                <w:szCs w:val="24"/>
              </w:rPr>
              <w:t>日</w:t>
            </w:r>
          </w:p>
        </w:tc>
      </w:tr>
    </w:tbl>
    <w:p w14:paraId="60D70660">
      <w:pPr>
        <w:keepNext w:val="0"/>
        <w:keepLines w:val="0"/>
        <w:pageBreakBefore w:val="0"/>
        <w:widowControl w:val="0"/>
        <w:kinsoku/>
        <w:wordWrap/>
        <w:overflowPunct/>
        <w:topLinePunct w:val="0"/>
        <w:autoSpaceDE/>
        <w:autoSpaceDN/>
        <w:bidi w:val="0"/>
        <w:adjustRightInd/>
        <w:snapToGrid/>
        <w:spacing w:before="157" w:beforeLines="50" w:line="360" w:lineRule="auto"/>
        <w:ind w:firstLine="440" w:firstLineChars="200"/>
        <w:textAlignment w:val="auto"/>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384E9A"/>
    <w:multiLevelType w:val="multilevel"/>
    <w:tmpl w:val="74384E9A"/>
    <w:lvl w:ilvl="0" w:tentative="0">
      <w:start w:val="6"/>
      <w:numFmt w:val="decimal"/>
      <w:pStyle w:val="11"/>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1MThiYzc4ZjkxNWQ3ZDZkZTdjZjYyMTM0ZGFjODMifQ=="/>
  </w:docVars>
  <w:rsids>
    <w:rsidRoot w:val="00172A27"/>
    <w:rsid w:val="000009B4"/>
    <w:rsid w:val="00000DDB"/>
    <w:rsid w:val="00002164"/>
    <w:rsid w:val="00004DBC"/>
    <w:rsid w:val="0001101E"/>
    <w:rsid w:val="00030402"/>
    <w:rsid w:val="00034C10"/>
    <w:rsid w:val="0004177C"/>
    <w:rsid w:val="00043A46"/>
    <w:rsid w:val="000537F7"/>
    <w:rsid w:val="000661A4"/>
    <w:rsid w:val="00066580"/>
    <w:rsid w:val="00071768"/>
    <w:rsid w:val="00074853"/>
    <w:rsid w:val="00076E94"/>
    <w:rsid w:val="00077558"/>
    <w:rsid w:val="00077898"/>
    <w:rsid w:val="00080BE8"/>
    <w:rsid w:val="000827E0"/>
    <w:rsid w:val="0008723C"/>
    <w:rsid w:val="0009156B"/>
    <w:rsid w:val="000A4713"/>
    <w:rsid w:val="000A51AB"/>
    <w:rsid w:val="000A6344"/>
    <w:rsid w:val="000A6638"/>
    <w:rsid w:val="000B2786"/>
    <w:rsid w:val="000B5782"/>
    <w:rsid w:val="000B7B88"/>
    <w:rsid w:val="000C3E87"/>
    <w:rsid w:val="000C6873"/>
    <w:rsid w:val="000C7CD5"/>
    <w:rsid w:val="000D3389"/>
    <w:rsid w:val="000D67FA"/>
    <w:rsid w:val="000E1E3B"/>
    <w:rsid w:val="000E67A1"/>
    <w:rsid w:val="000F46FA"/>
    <w:rsid w:val="000F5227"/>
    <w:rsid w:val="000F71B4"/>
    <w:rsid w:val="000F7B33"/>
    <w:rsid w:val="00100C69"/>
    <w:rsid w:val="0010400C"/>
    <w:rsid w:val="00110FC5"/>
    <w:rsid w:val="00112311"/>
    <w:rsid w:val="00113A86"/>
    <w:rsid w:val="00114B34"/>
    <w:rsid w:val="00124664"/>
    <w:rsid w:val="00130570"/>
    <w:rsid w:val="001329DD"/>
    <w:rsid w:val="001356FE"/>
    <w:rsid w:val="001357F1"/>
    <w:rsid w:val="001367E0"/>
    <w:rsid w:val="001538E2"/>
    <w:rsid w:val="001573F4"/>
    <w:rsid w:val="00157433"/>
    <w:rsid w:val="00157908"/>
    <w:rsid w:val="0017126A"/>
    <w:rsid w:val="00172A27"/>
    <w:rsid w:val="001738B8"/>
    <w:rsid w:val="00181787"/>
    <w:rsid w:val="00182BFA"/>
    <w:rsid w:val="001A2820"/>
    <w:rsid w:val="001A6560"/>
    <w:rsid w:val="001B175A"/>
    <w:rsid w:val="001B2DCD"/>
    <w:rsid w:val="001B6A0C"/>
    <w:rsid w:val="001C477A"/>
    <w:rsid w:val="001C4A69"/>
    <w:rsid w:val="001D188B"/>
    <w:rsid w:val="001D58AA"/>
    <w:rsid w:val="001E0755"/>
    <w:rsid w:val="001E7CB2"/>
    <w:rsid w:val="001F1E72"/>
    <w:rsid w:val="002008F6"/>
    <w:rsid w:val="00201EAC"/>
    <w:rsid w:val="002124EE"/>
    <w:rsid w:val="00212A15"/>
    <w:rsid w:val="0021672A"/>
    <w:rsid w:val="0022094A"/>
    <w:rsid w:val="002221DB"/>
    <w:rsid w:val="002334E6"/>
    <w:rsid w:val="00233F63"/>
    <w:rsid w:val="00241012"/>
    <w:rsid w:val="002410FD"/>
    <w:rsid w:val="00242D28"/>
    <w:rsid w:val="00243FD0"/>
    <w:rsid w:val="0025322F"/>
    <w:rsid w:val="00260C7D"/>
    <w:rsid w:val="00265EC3"/>
    <w:rsid w:val="0026623B"/>
    <w:rsid w:val="0027297E"/>
    <w:rsid w:val="00274364"/>
    <w:rsid w:val="0027545A"/>
    <w:rsid w:val="00275C7C"/>
    <w:rsid w:val="00277461"/>
    <w:rsid w:val="002879B3"/>
    <w:rsid w:val="002B100F"/>
    <w:rsid w:val="002B2A68"/>
    <w:rsid w:val="002C6489"/>
    <w:rsid w:val="002C7E32"/>
    <w:rsid w:val="002E1F2D"/>
    <w:rsid w:val="002F1379"/>
    <w:rsid w:val="002F538A"/>
    <w:rsid w:val="00300B27"/>
    <w:rsid w:val="0030476C"/>
    <w:rsid w:val="00312574"/>
    <w:rsid w:val="00313769"/>
    <w:rsid w:val="003170E8"/>
    <w:rsid w:val="00317F1E"/>
    <w:rsid w:val="00321386"/>
    <w:rsid w:val="0033010E"/>
    <w:rsid w:val="0033047E"/>
    <w:rsid w:val="0033441C"/>
    <w:rsid w:val="00334FF5"/>
    <w:rsid w:val="003461A9"/>
    <w:rsid w:val="0035019F"/>
    <w:rsid w:val="00351724"/>
    <w:rsid w:val="00360171"/>
    <w:rsid w:val="00360753"/>
    <w:rsid w:val="00360BA1"/>
    <w:rsid w:val="00364D60"/>
    <w:rsid w:val="00370FBE"/>
    <w:rsid w:val="003750B0"/>
    <w:rsid w:val="003762B2"/>
    <w:rsid w:val="003817B9"/>
    <w:rsid w:val="00387DEE"/>
    <w:rsid w:val="00390A57"/>
    <w:rsid w:val="00392244"/>
    <w:rsid w:val="003975A4"/>
    <w:rsid w:val="003A2230"/>
    <w:rsid w:val="003A4F3E"/>
    <w:rsid w:val="003B0CCD"/>
    <w:rsid w:val="003B0E3B"/>
    <w:rsid w:val="003B15ED"/>
    <w:rsid w:val="003B475C"/>
    <w:rsid w:val="003C0F63"/>
    <w:rsid w:val="003C436C"/>
    <w:rsid w:val="003D109C"/>
    <w:rsid w:val="003D1C45"/>
    <w:rsid w:val="003D3A88"/>
    <w:rsid w:val="003E5075"/>
    <w:rsid w:val="003E76E6"/>
    <w:rsid w:val="003F3853"/>
    <w:rsid w:val="003F3ACB"/>
    <w:rsid w:val="004034AA"/>
    <w:rsid w:val="00404345"/>
    <w:rsid w:val="004100F6"/>
    <w:rsid w:val="004102D6"/>
    <w:rsid w:val="00410514"/>
    <w:rsid w:val="0041370C"/>
    <w:rsid w:val="00421532"/>
    <w:rsid w:val="00422AA8"/>
    <w:rsid w:val="0042569E"/>
    <w:rsid w:val="004261D1"/>
    <w:rsid w:val="004275B9"/>
    <w:rsid w:val="004329C0"/>
    <w:rsid w:val="00433955"/>
    <w:rsid w:val="00440C64"/>
    <w:rsid w:val="00453754"/>
    <w:rsid w:val="00465B1D"/>
    <w:rsid w:val="0046782B"/>
    <w:rsid w:val="004801CE"/>
    <w:rsid w:val="0048216F"/>
    <w:rsid w:val="0048609A"/>
    <w:rsid w:val="0049142F"/>
    <w:rsid w:val="004A0365"/>
    <w:rsid w:val="004A1871"/>
    <w:rsid w:val="004A45CB"/>
    <w:rsid w:val="004B276B"/>
    <w:rsid w:val="004B3357"/>
    <w:rsid w:val="004B6E7C"/>
    <w:rsid w:val="004C45BF"/>
    <w:rsid w:val="004D4716"/>
    <w:rsid w:val="004E0710"/>
    <w:rsid w:val="004E243F"/>
    <w:rsid w:val="004E556F"/>
    <w:rsid w:val="004E5A0E"/>
    <w:rsid w:val="004F252F"/>
    <w:rsid w:val="004F2952"/>
    <w:rsid w:val="004F542F"/>
    <w:rsid w:val="004F6292"/>
    <w:rsid w:val="004F6B5A"/>
    <w:rsid w:val="004F7D88"/>
    <w:rsid w:val="0050109D"/>
    <w:rsid w:val="00504376"/>
    <w:rsid w:val="00505A9D"/>
    <w:rsid w:val="00510316"/>
    <w:rsid w:val="005162D0"/>
    <w:rsid w:val="0052029F"/>
    <w:rsid w:val="00520D58"/>
    <w:rsid w:val="00522DD5"/>
    <w:rsid w:val="0052316A"/>
    <w:rsid w:val="005244FE"/>
    <w:rsid w:val="005248FA"/>
    <w:rsid w:val="00540AC7"/>
    <w:rsid w:val="005413BD"/>
    <w:rsid w:val="00552271"/>
    <w:rsid w:val="0056053B"/>
    <w:rsid w:val="005605BE"/>
    <w:rsid w:val="00564530"/>
    <w:rsid w:val="00564EE0"/>
    <w:rsid w:val="0057696B"/>
    <w:rsid w:val="00577048"/>
    <w:rsid w:val="0059029C"/>
    <w:rsid w:val="005959D1"/>
    <w:rsid w:val="005B0504"/>
    <w:rsid w:val="005B3C14"/>
    <w:rsid w:val="005B7823"/>
    <w:rsid w:val="005C1C2D"/>
    <w:rsid w:val="005D0246"/>
    <w:rsid w:val="005D1B3C"/>
    <w:rsid w:val="005E3F18"/>
    <w:rsid w:val="005E63FF"/>
    <w:rsid w:val="005E70CA"/>
    <w:rsid w:val="005F07AE"/>
    <w:rsid w:val="005F4DFC"/>
    <w:rsid w:val="005F5C28"/>
    <w:rsid w:val="005F7C75"/>
    <w:rsid w:val="0060562F"/>
    <w:rsid w:val="006140D7"/>
    <w:rsid w:val="00615903"/>
    <w:rsid w:val="00615BEE"/>
    <w:rsid w:val="00621C29"/>
    <w:rsid w:val="00622A91"/>
    <w:rsid w:val="00623B1D"/>
    <w:rsid w:val="00625F1F"/>
    <w:rsid w:val="00627B0D"/>
    <w:rsid w:val="00627BEE"/>
    <w:rsid w:val="006310FF"/>
    <w:rsid w:val="00633D8F"/>
    <w:rsid w:val="006372CE"/>
    <w:rsid w:val="00637F2C"/>
    <w:rsid w:val="00643067"/>
    <w:rsid w:val="00644FB1"/>
    <w:rsid w:val="00645010"/>
    <w:rsid w:val="00645E14"/>
    <w:rsid w:val="006464FE"/>
    <w:rsid w:val="00647A14"/>
    <w:rsid w:val="006555F5"/>
    <w:rsid w:val="00660948"/>
    <w:rsid w:val="00660F4C"/>
    <w:rsid w:val="006657EF"/>
    <w:rsid w:val="006664E6"/>
    <w:rsid w:val="00666EEB"/>
    <w:rsid w:val="0067570B"/>
    <w:rsid w:val="00687555"/>
    <w:rsid w:val="0069230B"/>
    <w:rsid w:val="006A443B"/>
    <w:rsid w:val="006A7034"/>
    <w:rsid w:val="006B5239"/>
    <w:rsid w:val="006C357D"/>
    <w:rsid w:val="006E4E15"/>
    <w:rsid w:val="006F3651"/>
    <w:rsid w:val="006F4CBC"/>
    <w:rsid w:val="006F4EF8"/>
    <w:rsid w:val="006F51DD"/>
    <w:rsid w:val="006F7739"/>
    <w:rsid w:val="00700BA6"/>
    <w:rsid w:val="007047E3"/>
    <w:rsid w:val="00714062"/>
    <w:rsid w:val="00715779"/>
    <w:rsid w:val="0071670F"/>
    <w:rsid w:val="007204C0"/>
    <w:rsid w:val="00722929"/>
    <w:rsid w:val="007230F3"/>
    <w:rsid w:val="00730BA3"/>
    <w:rsid w:val="00730D38"/>
    <w:rsid w:val="007419A4"/>
    <w:rsid w:val="007420BE"/>
    <w:rsid w:val="00742EBF"/>
    <w:rsid w:val="00744F05"/>
    <w:rsid w:val="00747DB4"/>
    <w:rsid w:val="007504CD"/>
    <w:rsid w:val="00755FA2"/>
    <w:rsid w:val="00761C17"/>
    <w:rsid w:val="007711A5"/>
    <w:rsid w:val="00772918"/>
    <w:rsid w:val="00780C68"/>
    <w:rsid w:val="00783868"/>
    <w:rsid w:val="0078395B"/>
    <w:rsid w:val="00784193"/>
    <w:rsid w:val="007907BA"/>
    <w:rsid w:val="00790A5E"/>
    <w:rsid w:val="00790D0F"/>
    <w:rsid w:val="0079233D"/>
    <w:rsid w:val="00793AA6"/>
    <w:rsid w:val="00794D24"/>
    <w:rsid w:val="007965C7"/>
    <w:rsid w:val="007B07C7"/>
    <w:rsid w:val="007B4A25"/>
    <w:rsid w:val="007C744C"/>
    <w:rsid w:val="007D3823"/>
    <w:rsid w:val="007E179A"/>
    <w:rsid w:val="007E21E5"/>
    <w:rsid w:val="007E5149"/>
    <w:rsid w:val="007E53FC"/>
    <w:rsid w:val="007F588F"/>
    <w:rsid w:val="007F5ABE"/>
    <w:rsid w:val="00800B1F"/>
    <w:rsid w:val="00801369"/>
    <w:rsid w:val="00804EA2"/>
    <w:rsid w:val="008207FE"/>
    <w:rsid w:val="008255D0"/>
    <w:rsid w:val="00827ECF"/>
    <w:rsid w:val="0083595C"/>
    <w:rsid w:val="008400DF"/>
    <w:rsid w:val="00842540"/>
    <w:rsid w:val="00844854"/>
    <w:rsid w:val="0084558D"/>
    <w:rsid w:val="00853E04"/>
    <w:rsid w:val="008552A2"/>
    <w:rsid w:val="008604C6"/>
    <w:rsid w:val="00860DBC"/>
    <w:rsid w:val="0087049D"/>
    <w:rsid w:val="00876D0C"/>
    <w:rsid w:val="008828A5"/>
    <w:rsid w:val="00884BB7"/>
    <w:rsid w:val="00892816"/>
    <w:rsid w:val="0089432B"/>
    <w:rsid w:val="008A545F"/>
    <w:rsid w:val="008A595C"/>
    <w:rsid w:val="008A6E8A"/>
    <w:rsid w:val="008A7295"/>
    <w:rsid w:val="008B20EB"/>
    <w:rsid w:val="008B6410"/>
    <w:rsid w:val="008B68F3"/>
    <w:rsid w:val="008C4FF9"/>
    <w:rsid w:val="008C642A"/>
    <w:rsid w:val="008D30FB"/>
    <w:rsid w:val="008D3494"/>
    <w:rsid w:val="008D760F"/>
    <w:rsid w:val="008E1E3E"/>
    <w:rsid w:val="008E5029"/>
    <w:rsid w:val="008F16C2"/>
    <w:rsid w:val="008F7F9D"/>
    <w:rsid w:val="0090038D"/>
    <w:rsid w:val="00907FCC"/>
    <w:rsid w:val="00910570"/>
    <w:rsid w:val="00912BB1"/>
    <w:rsid w:val="009258A8"/>
    <w:rsid w:val="00926952"/>
    <w:rsid w:val="00940C1D"/>
    <w:rsid w:val="00964B42"/>
    <w:rsid w:val="00965650"/>
    <w:rsid w:val="00972788"/>
    <w:rsid w:val="00973717"/>
    <w:rsid w:val="00975188"/>
    <w:rsid w:val="00984670"/>
    <w:rsid w:val="009870EF"/>
    <w:rsid w:val="009958C2"/>
    <w:rsid w:val="00996D8F"/>
    <w:rsid w:val="009A7322"/>
    <w:rsid w:val="009B01A2"/>
    <w:rsid w:val="009B4B04"/>
    <w:rsid w:val="009B6ECB"/>
    <w:rsid w:val="009C3AA1"/>
    <w:rsid w:val="009D09FF"/>
    <w:rsid w:val="009D281F"/>
    <w:rsid w:val="009E3240"/>
    <w:rsid w:val="009E4391"/>
    <w:rsid w:val="009E5AF1"/>
    <w:rsid w:val="009F0C30"/>
    <w:rsid w:val="009F347E"/>
    <w:rsid w:val="00A016B1"/>
    <w:rsid w:val="00A12204"/>
    <w:rsid w:val="00A127BE"/>
    <w:rsid w:val="00A158CF"/>
    <w:rsid w:val="00A3126E"/>
    <w:rsid w:val="00A33842"/>
    <w:rsid w:val="00A37F53"/>
    <w:rsid w:val="00A43631"/>
    <w:rsid w:val="00A44A9F"/>
    <w:rsid w:val="00A44CB3"/>
    <w:rsid w:val="00A4616D"/>
    <w:rsid w:val="00A47115"/>
    <w:rsid w:val="00A53E60"/>
    <w:rsid w:val="00A553CC"/>
    <w:rsid w:val="00A57E85"/>
    <w:rsid w:val="00A6111A"/>
    <w:rsid w:val="00A67054"/>
    <w:rsid w:val="00A71B3F"/>
    <w:rsid w:val="00A8769A"/>
    <w:rsid w:val="00A8777D"/>
    <w:rsid w:val="00A90A0E"/>
    <w:rsid w:val="00A9115A"/>
    <w:rsid w:val="00A9450D"/>
    <w:rsid w:val="00A95876"/>
    <w:rsid w:val="00AB018A"/>
    <w:rsid w:val="00AB4407"/>
    <w:rsid w:val="00AC09D8"/>
    <w:rsid w:val="00AC5050"/>
    <w:rsid w:val="00AC6ADB"/>
    <w:rsid w:val="00AC7307"/>
    <w:rsid w:val="00AC754F"/>
    <w:rsid w:val="00AC764D"/>
    <w:rsid w:val="00AD12AF"/>
    <w:rsid w:val="00AE23C8"/>
    <w:rsid w:val="00AE4967"/>
    <w:rsid w:val="00AF060B"/>
    <w:rsid w:val="00AF10A7"/>
    <w:rsid w:val="00AF1271"/>
    <w:rsid w:val="00AF140E"/>
    <w:rsid w:val="00AF2071"/>
    <w:rsid w:val="00B01B35"/>
    <w:rsid w:val="00B10F12"/>
    <w:rsid w:val="00B119F9"/>
    <w:rsid w:val="00B240C1"/>
    <w:rsid w:val="00B242FE"/>
    <w:rsid w:val="00B24550"/>
    <w:rsid w:val="00B27053"/>
    <w:rsid w:val="00B33197"/>
    <w:rsid w:val="00B33985"/>
    <w:rsid w:val="00B36FA6"/>
    <w:rsid w:val="00B51034"/>
    <w:rsid w:val="00B510B0"/>
    <w:rsid w:val="00B52A33"/>
    <w:rsid w:val="00B54D4C"/>
    <w:rsid w:val="00B5518B"/>
    <w:rsid w:val="00B7020D"/>
    <w:rsid w:val="00B73D83"/>
    <w:rsid w:val="00B77B38"/>
    <w:rsid w:val="00B8420F"/>
    <w:rsid w:val="00B84FAA"/>
    <w:rsid w:val="00B863A2"/>
    <w:rsid w:val="00B91144"/>
    <w:rsid w:val="00BA398E"/>
    <w:rsid w:val="00BB1219"/>
    <w:rsid w:val="00BB3771"/>
    <w:rsid w:val="00BB4AA6"/>
    <w:rsid w:val="00BC6E8E"/>
    <w:rsid w:val="00BC7C32"/>
    <w:rsid w:val="00BD258C"/>
    <w:rsid w:val="00BD3FDF"/>
    <w:rsid w:val="00BE4350"/>
    <w:rsid w:val="00C140F2"/>
    <w:rsid w:val="00C173FC"/>
    <w:rsid w:val="00C24142"/>
    <w:rsid w:val="00C35E0D"/>
    <w:rsid w:val="00C40331"/>
    <w:rsid w:val="00C4311D"/>
    <w:rsid w:val="00C438E0"/>
    <w:rsid w:val="00C515A0"/>
    <w:rsid w:val="00C52699"/>
    <w:rsid w:val="00C53135"/>
    <w:rsid w:val="00C53BAA"/>
    <w:rsid w:val="00C57202"/>
    <w:rsid w:val="00C74BCF"/>
    <w:rsid w:val="00C75EBA"/>
    <w:rsid w:val="00C80397"/>
    <w:rsid w:val="00C81A52"/>
    <w:rsid w:val="00C831CF"/>
    <w:rsid w:val="00C863E8"/>
    <w:rsid w:val="00C86731"/>
    <w:rsid w:val="00C91A50"/>
    <w:rsid w:val="00C92B3B"/>
    <w:rsid w:val="00C92DCC"/>
    <w:rsid w:val="00CA1B83"/>
    <w:rsid w:val="00CA2324"/>
    <w:rsid w:val="00CA5C44"/>
    <w:rsid w:val="00CB13D6"/>
    <w:rsid w:val="00CB2179"/>
    <w:rsid w:val="00CB351E"/>
    <w:rsid w:val="00CB35AC"/>
    <w:rsid w:val="00CC38B6"/>
    <w:rsid w:val="00CC5473"/>
    <w:rsid w:val="00CD2480"/>
    <w:rsid w:val="00CE2EC7"/>
    <w:rsid w:val="00CF3116"/>
    <w:rsid w:val="00CF4255"/>
    <w:rsid w:val="00CF7B5B"/>
    <w:rsid w:val="00D00AFE"/>
    <w:rsid w:val="00D04BBF"/>
    <w:rsid w:val="00D06C71"/>
    <w:rsid w:val="00D06E89"/>
    <w:rsid w:val="00D0709F"/>
    <w:rsid w:val="00D07F32"/>
    <w:rsid w:val="00D12DD3"/>
    <w:rsid w:val="00D15786"/>
    <w:rsid w:val="00D167D0"/>
    <w:rsid w:val="00D20A7C"/>
    <w:rsid w:val="00D210CE"/>
    <w:rsid w:val="00D23341"/>
    <w:rsid w:val="00D266A5"/>
    <w:rsid w:val="00D30D66"/>
    <w:rsid w:val="00D325E6"/>
    <w:rsid w:val="00D350C8"/>
    <w:rsid w:val="00D37555"/>
    <w:rsid w:val="00D408D6"/>
    <w:rsid w:val="00D41556"/>
    <w:rsid w:val="00D43913"/>
    <w:rsid w:val="00D4713B"/>
    <w:rsid w:val="00D56339"/>
    <w:rsid w:val="00D61959"/>
    <w:rsid w:val="00D71190"/>
    <w:rsid w:val="00D779F8"/>
    <w:rsid w:val="00D83D0B"/>
    <w:rsid w:val="00D85695"/>
    <w:rsid w:val="00D872C1"/>
    <w:rsid w:val="00D87F80"/>
    <w:rsid w:val="00D95282"/>
    <w:rsid w:val="00D95910"/>
    <w:rsid w:val="00DA7CF0"/>
    <w:rsid w:val="00DB3242"/>
    <w:rsid w:val="00DC1651"/>
    <w:rsid w:val="00DC61B8"/>
    <w:rsid w:val="00DD7A78"/>
    <w:rsid w:val="00DF68AE"/>
    <w:rsid w:val="00E02EAF"/>
    <w:rsid w:val="00E11DC7"/>
    <w:rsid w:val="00E11E08"/>
    <w:rsid w:val="00E12E9E"/>
    <w:rsid w:val="00E135FC"/>
    <w:rsid w:val="00E14AE2"/>
    <w:rsid w:val="00E30553"/>
    <w:rsid w:val="00E316DA"/>
    <w:rsid w:val="00E4217B"/>
    <w:rsid w:val="00E450AA"/>
    <w:rsid w:val="00E536E4"/>
    <w:rsid w:val="00E54775"/>
    <w:rsid w:val="00E55281"/>
    <w:rsid w:val="00E63BFA"/>
    <w:rsid w:val="00E758C4"/>
    <w:rsid w:val="00E8247C"/>
    <w:rsid w:val="00E83A75"/>
    <w:rsid w:val="00E92508"/>
    <w:rsid w:val="00EA39D4"/>
    <w:rsid w:val="00EA45B2"/>
    <w:rsid w:val="00EB395E"/>
    <w:rsid w:val="00EB69C6"/>
    <w:rsid w:val="00EC4F17"/>
    <w:rsid w:val="00EC53F8"/>
    <w:rsid w:val="00EC5E11"/>
    <w:rsid w:val="00EC66E9"/>
    <w:rsid w:val="00ED0DDE"/>
    <w:rsid w:val="00ED1BA3"/>
    <w:rsid w:val="00ED3531"/>
    <w:rsid w:val="00ED5AC7"/>
    <w:rsid w:val="00EE7323"/>
    <w:rsid w:val="00EF4198"/>
    <w:rsid w:val="00EF50D6"/>
    <w:rsid w:val="00EF7FE4"/>
    <w:rsid w:val="00F00E49"/>
    <w:rsid w:val="00F01351"/>
    <w:rsid w:val="00F0377D"/>
    <w:rsid w:val="00F03FF8"/>
    <w:rsid w:val="00F06CEF"/>
    <w:rsid w:val="00F103BD"/>
    <w:rsid w:val="00F1114E"/>
    <w:rsid w:val="00F22A8C"/>
    <w:rsid w:val="00F23291"/>
    <w:rsid w:val="00F31C69"/>
    <w:rsid w:val="00F3202D"/>
    <w:rsid w:val="00F33A63"/>
    <w:rsid w:val="00F44D98"/>
    <w:rsid w:val="00F5053B"/>
    <w:rsid w:val="00F63882"/>
    <w:rsid w:val="00F72221"/>
    <w:rsid w:val="00F74113"/>
    <w:rsid w:val="00F778AB"/>
    <w:rsid w:val="00F93CD1"/>
    <w:rsid w:val="00F9566A"/>
    <w:rsid w:val="00FA0AE4"/>
    <w:rsid w:val="00FA71CC"/>
    <w:rsid w:val="00FB1DB9"/>
    <w:rsid w:val="00FB4039"/>
    <w:rsid w:val="00FB6E6D"/>
    <w:rsid w:val="00FB7C3F"/>
    <w:rsid w:val="00FC3CB9"/>
    <w:rsid w:val="00FC3ED4"/>
    <w:rsid w:val="00FC471A"/>
    <w:rsid w:val="00FD3E63"/>
    <w:rsid w:val="00FE014B"/>
    <w:rsid w:val="00FE0CC6"/>
    <w:rsid w:val="00FE1642"/>
    <w:rsid w:val="00FE2070"/>
    <w:rsid w:val="00FE3600"/>
    <w:rsid w:val="00FE4062"/>
    <w:rsid w:val="015C7009"/>
    <w:rsid w:val="01A2611B"/>
    <w:rsid w:val="02251150"/>
    <w:rsid w:val="02511F45"/>
    <w:rsid w:val="02B5233B"/>
    <w:rsid w:val="031C2553"/>
    <w:rsid w:val="0345286E"/>
    <w:rsid w:val="034C0D5A"/>
    <w:rsid w:val="04001E75"/>
    <w:rsid w:val="04473600"/>
    <w:rsid w:val="05353DA0"/>
    <w:rsid w:val="059E3AE0"/>
    <w:rsid w:val="06252A6E"/>
    <w:rsid w:val="066044F4"/>
    <w:rsid w:val="06B156A8"/>
    <w:rsid w:val="08077D9A"/>
    <w:rsid w:val="08A454C4"/>
    <w:rsid w:val="08BA69F7"/>
    <w:rsid w:val="0914398A"/>
    <w:rsid w:val="0A0F696E"/>
    <w:rsid w:val="0A770BB5"/>
    <w:rsid w:val="0AD40116"/>
    <w:rsid w:val="0C17413F"/>
    <w:rsid w:val="0C3721AC"/>
    <w:rsid w:val="0CB65903"/>
    <w:rsid w:val="0CB9159D"/>
    <w:rsid w:val="0EDF13E9"/>
    <w:rsid w:val="0FE4089C"/>
    <w:rsid w:val="10755A24"/>
    <w:rsid w:val="107C576B"/>
    <w:rsid w:val="108D4A90"/>
    <w:rsid w:val="109A0F5B"/>
    <w:rsid w:val="11076A5B"/>
    <w:rsid w:val="1142587A"/>
    <w:rsid w:val="11AB1672"/>
    <w:rsid w:val="12907B19"/>
    <w:rsid w:val="13135720"/>
    <w:rsid w:val="14101C60"/>
    <w:rsid w:val="144F06C0"/>
    <w:rsid w:val="14AA1ABA"/>
    <w:rsid w:val="14E770CC"/>
    <w:rsid w:val="150317C5"/>
    <w:rsid w:val="15455939"/>
    <w:rsid w:val="15743E00"/>
    <w:rsid w:val="16526560"/>
    <w:rsid w:val="16704C38"/>
    <w:rsid w:val="186D58D3"/>
    <w:rsid w:val="18B01392"/>
    <w:rsid w:val="190B0C48"/>
    <w:rsid w:val="19E576EB"/>
    <w:rsid w:val="1A50725A"/>
    <w:rsid w:val="1ACA2ABE"/>
    <w:rsid w:val="1AED4E80"/>
    <w:rsid w:val="1AF44089"/>
    <w:rsid w:val="1BE55780"/>
    <w:rsid w:val="1CBF4223"/>
    <w:rsid w:val="1D126A49"/>
    <w:rsid w:val="1D37025D"/>
    <w:rsid w:val="1E1B192D"/>
    <w:rsid w:val="201B5C14"/>
    <w:rsid w:val="20B83463"/>
    <w:rsid w:val="20F10F57"/>
    <w:rsid w:val="218B0B78"/>
    <w:rsid w:val="21A34546"/>
    <w:rsid w:val="21FC002A"/>
    <w:rsid w:val="22050073"/>
    <w:rsid w:val="22B365D8"/>
    <w:rsid w:val="22CA56D0"/>
    <w:rsid w:val="237A3CFD"/>
    <w:rsid w:val="23E822B1"/>
    <w:rsid w:val="23FF584D"/>
    <w:rsid w:val="24831FDA"/>
    <w:rsid w:val="26885C79"/>
    <w:rsid w:val="27090EBD"/>
    <w:rsid w:val="271E5FEA"/>
    <w:rsid w:val="27873FEC"/>
    <w:rsid w:val="27D17500"/>
    <w:rsid w:val="291B6C85"/>
    <w:rsid w:val="2A9C0162"/>
    <w:rsid w:val="2BA946BE"/>
    <w:rsid w:val="2BB4007F"/>
    <w:rsid w:val="2C701096"/>
    <w:rsid w:val="2D6329A9"/>
    <w:rsid w:val="2DD438A6"/>
    <w:rsid w:val="2EA4771D"/>
    <w:rsid w:val="2EB067DF"/>
    <w:rsid w:val="2EC21BE6"/>
    <w:rsid w:val="2F1C7E9A"/>
    <w:rsid w:val="306739E5"/>
    <w:rsid w:val="30A752A2"/>
    <w:rsid w:val="31140B8A"/>
    <w:rsid w:val="31A0241D"/>
    <w:rsid w:val="31B97611"/>
    <w:rsid w:val="323E39E4"/>
    <w:rsid w:val="32412817"/>
    <w:rsid w:val="32B75C71"/>
    <w:rsid w:val="335A1288"/>
    <w:rsid w:val="347D2E82"/>
    <w:rsid w:val="35BC359E"/>
    <w:rsid w:val="35CB558F"/>
    <w:rsid w:val="362B08D8"/>
    <w:rsid w:val="36A22794"/>
    <w:rsid w:val="375673DE"/>
    <w:rsid w:val="38163439"/>
    <w:rsid w:val="39096AFA"/>
    <w:rsid w:val="3AAB14A0"/>
    <w:rsid w:val="3AD06507"/>
    <w:rsid w:val="3B862684"/>
    <w:rsid w:val="3BAE3989"/>
    <w:rsid w:val="3D0733C4"/>
    <w:rsid w:val="3DA42DCB"/>
    <w:rsid w:val="3ED10EB7"/>
    <w:rsid w:val="40491ED2"/>
    <w:rsid w:val="40692574"/>
    <w:rsid w:val="407D712F"/>
    <w:rsid w:val="412C5A7C"/>
    <w:rsid w:val="419B675D"/>
    <w:rsid w:val="42C41CE4"/>
    <w:rsid w:val="43D321DE"/>
    <w:rsid w:val="447C2876"/>
    <w:rsid w:val="4484797D"/>
    <w:rsid w:val="46C92DA7"/>
    <w:rsid w:val="46D86895"/>
    <w:rsid w:val="47076C6D"/>
    <w:rsid w:val="48276F9D"/>
    <w:rsid w:val="48B87BF5"/>
    <w:rsid w:val="495D4A4D"/>
    <w:rsid w:val="499B614F"/>
    <w:rsid w:val="49C10D2B"/>
    <w:rsid w:val="4A7D1CCB"/>
    <w:rsid w:val="4AAF6DD6"/>
    <w:rsid w:val="4B6A7155"/>
    <w:rsid w:val="4BDD2F4F"/>
    <w:rsid w:val="4C474817"/>
    <w:rsid w:val="4C884D42"/>
    <w:rsid w:val="4D77007F"/>
    <w:rsid w:val="4EEC684A"/>
    <w:rsid w:val="4F732AC8"/>
    <w:rsid w:val="4FFB7B14"/>
    <w:rsid w:val="500D1A9A"/>
    <w:rsid w:val="50A65A6D"/>
    <w:rsid w:val="51597A9B"/>
    <w:rsid w:val="520E4D2A"/>
    <w:rsid w:val="52552958"/>
    <w:rsid w:val="52F932E4"/>
    <w:rsid w:val="53733096"/>
    <w:rsid w:val="54F14BBA"/>
    <w:rsid w:val="564F4D48"/>
    <w:rsid w:val="56C43A70"/>
    <w:rsid w:val="57931F59"/>
    <w:rsid w:val="587E1439"/>
    <w:rsid w:val="596040BD"/>
    <w:rsid w:val="5A61633E"/>
    <w:rsid w:val="5AA77AC9"/>
    <w:rsid w:val="5DE3467B"/>
    <w:rsid w:val="5E062D59"/>
    <w:rsid w:val="5E0B0E29"/>
    <w:rsid w:val="5E130209"/>
    <w:rsid w:val="5EEB4428"/>
    <w:rsid w:val="5EF57055"/>
    <w:rsid w:val="5EF7101F"/>
    <w:rsid w:val="5F465B03"/>
    <w:rsid w:val="5F8959EF"/>
    <w:rsid w:val="60206352"/>
    <w:rsid w:val="60C56EFB"/>
    <w:rsid w:val="60C74214"/>
    <w:rsid w:val="60E94F09"/>
    <w:rsid w:val="617B530A"/>
    <w:rsid w:val="617F3A95"/>
    <w:rsid w:val="624E7B5D"/>
    <w:rsid w:val="625642AF"/>
    <w:rsid w:val="64267CB1"/>
    <w:rsid w:val="64A57817"/>
    <w:rsid w:val="65EA4BC1"/>
    <w:rsid w:val="65F8567D"/>
    <w:rsid w:val="66A7157D"/>
    <w:rsid w:val="671309C0"/>
    <w:rsid w:val="684F4465"/>
    <w:rsid w:val="693E3CEF"/>
    <w:rsid w:val="69676DA1"/>
    <w:rsid w:val="6A0E64AD"/>
    <w:rsid w:val="6A3D1DC1"/>
    <w:rsid w:val="6A486BD3"/>
    <w:rsid w:val="6B9F679B"/>
    <w:rsid w:val="6BA51E03"/>
    <w:rsid w:val="6BD83F86"/>
    <w:rsid w:val="6C411B2C"/>
    <w:rsid w:val="6DE9247B"/>
    <w:rsid w:val="6E511DCE"/>
    <w:rsid w:val="6F8561D3"/>
    <w:rsid w:val="70875F7B"/>
    <w:rsid w:val="70CB40BA"/>
    <w:rsid w:val="71593E5C"/>
    <w:rsid w:val="719374FA"/>
    <w:rsid w:val="72A162F1"/>
    <w:rsid w:val="73506AF8"/>
    <w:rsid w:val="73D414D7"/>
    <w:rsid w:val="743326A2"/>
    <w:rsid w:val="74943AA6"/>
    <w:rsid w:val="74950D3A"/>
    <w:rsid w:val="7535244A"/>
    <w:rsid w:val="755C3532"/>
    <w:rsid w:val="75761AAE"/>
    <w:rsid w:val="75D04E21"/>
    <w:rsid w:val="76EE202B"/>
    <w:rsid w:val="77D9075A"/>
    <w:rsid w:val="77ED5A40"/>
    <w:rsid w:val="77ED700C"/>
    <w:rsid w:val="78203570"/>
    <w:rsid w:val="786F17CF"/>
    <w:rsid w:val="795D3D1D"/>
    <w:rsid w:val="796926C2"/>
    <w:rsid w:val="79FC3536"/>
    <w:rsid w:val="7A7C2861"/>
    <w:rsid w:val="7A9279F6"/>
    <w:rsid w:val="7BB120FE"/>
    <w:rsid w:val="7C3674AE"/>
    <w:rsid w:val="7C3A6597"/>
    <w:rsid w:val="7C8E2521"/>
    <w:rsid w:val="7C9D6654"/>
    <w:rsid w:val="7D2C7C8E"/>
    <w:rsid w:val="7D5176F5"/>
    <w:rsid w:val="7D951CD7"/>
    <w:rsid w:val="7DEB18F7"/>
    <w:rsid w:val="7E0916E2"/>
    <w:rsid w:val="7E6B66E1"/>
    <w:rsid w:val="7EDE76AE"/>
    <w:rsid w:val="7FBA58F0"/>
    <w:rsid w:val="7FD51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autoRedefine/>
    <w:qFormat/>
    <w:uiPriority w:val="99"/>
    <w:rPr>
      <w:sz w:val="18"/>
      <w:szCs w:val="18"/>
    </w:rPr>
  </w:style>
  <w:style w:type="paragraph" w:styleId="11">
    <w:name w:val="List Paragraph"/>
    <w:basedOn w:val="1"/>
    <w:autoRedefine/>
    <w:qFormat/>
    <w:uiPriority w:val="99"/>
    <w:pPr>
      <w:numPr>
        <w:ilvl w:val="0"/>
        <w:numId w:val="1"/>
      </w:numPr>
      <w:adjustRightInd w:val="0"/>
      <w:snapToGrid w:val="0"/>
      <w:spacing w:line="360" w:lineRule="auto"/>
      <w:ind w:left="0" w:firstLine="48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1220</Words>
  <Characters>1267</Characters>
  <Lines>11</Lines>
  <Paragraphs>3</Paragraphs>
  <TotalTime>63</TotalTime>
  <ScaleCrop>false</ScaleCrop>
  <LinksUpToDate>false</LinksUpToDate>
  <CharactersWithSpaces>1389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2020-06-19T09:42:00Z</dcterms:created>
  <dc:creator>杨凤</dc:creator>
  <cp:lastModifiedBy>杨颖鑫</cp:lastModifiedBy>
  <cp:lastPrinted>2022-03-09T05:04:00Z</cp:lastPrinted>
  <dcterms:modified xsi:type="dcterms:W3CDTF">2024-12-11T07:56:45Z</dcterms:modified>
  <cp:revision>730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D445F8B48171439796851707025EFD4F_13</vt:lpwstr>
  </property>
</Properties>
</file>