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07BE" w14:textId="77777777" w:rsidR="006D7AF0" w:rsidRDefault="00EA3FDE">
      <w:pPr>
        <w:spacing w:beforeLines="30" w:before="93" w:afterLines="20" w:after="62" w:line="360" w:lineRule="auto"/>
        <w:ind w:leftChars="-60" w:left="-126"/>
        <w:jc w:val="center"/>
        <w:rPr>
          <w:sz w:val="24"/>
        </w:rPr>
      </w:pPr>
      <w:r>
        <w:rPr>
          <w:rFonts w:hint="eastAsia"/>
          <w:sz w:val="24"/>
        </w:rPr>
        <w:t>证券简称：达梦数据</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股票代码：</w:t>
      </w:r>
      <w:r>
        <w:rPr>
          <w:rFonts w:hint="eastAsia"/>
          <w:sz w:val="24"/>
        </w:rPr>
        <w:t>688692</w:t>
      </w:r>
    </w:p>
    <w:p w14:paraId="4293A5DC" w14:textId="77777777" w:rsidR="006D7AF0" w:rsidRDefault="00EA3FDE">
      <w:pPr>
        <w:spacing w:beforeLines="40" w:before="124" w:afterLines="20" w:after="62" w:line="360" w:lineRule="auto"/>
        <w:jc w:val="center"/>
        <w:rPr>
          <w:rFonts w:ascii="宋体" w:hAnsi="宋体"/>
          <w:b/>
          <w:sz w:val="36"/>
          <w:szCs w:val="32"/>
        </w:rPr>
      </w:pPr>
      <w:r>
        <w:rPr>
          <w:rFonts w:ascii="宋体" w:hAnsi="宋体" w:hint="eastAsia"/>
          <w:b/>
          <w:sz w:val="36"/>
          <w:szCs w:val="32"/>
        </w:rPr>
        <w:t>武汉达梦数据库股份有限公司</w:t>
      </w:r>
    </w:p>
    <w:p w14:paraId="3B0384C2" w14:textId="77777777" w:rsidR="006D7AF0" w:rsidRDefault="00EA3FDE">
      <w:pPr>
        <w:spacing w:beforeLines="40" w:before="124" w:afterLines="20" w:after="62" w:line="360" w:lineRule="auto"/>
        <w:jc w:val="center"/>
        <w:rPr>
          <w:b/>
          <w:sz w:val="36"/>
          <w:szCs w:val="32"/>
        </w:rPr>
      </w:pPr>
      <w:r>
        <w:rPr>
          <w:rFonts w:hint="eastAsia"/>
          <w:b/>
          <w:sz w:val="36"/>
          <w:szCs w:val="32"/>
        </w:rPr>
        <w:t>投资者关系活动记录表</w:t>
      </w:r>
    </w:p>
    <w:p w14:paraId="6C76EBED" w14:textId="064A4236" w:rsidR="006D7AF0" w:rsidRDefault="00EA3FDE">
      <w:pPr>
        <w:spacing w:beforeLines="30" w:before="93" w:afterLines="20" w:after="62" w:line="360" w:lineRule="auto"/>
        <w:ind w:firstLineChars="200" w:firstLine="480"/>
        <w:jc w:val="right"/>
        <w:rPr>
          <w:sz w:val="24"/>
        </w:rPr>
      </w:pPr>
      <w:r>
        <w:rPr>
          <w:rFonts w:hint="eastAsia"/>
          <w:sz w:val="24"/>
        </w:rPr>
        <w:t>编号：</w:t>
      </w:r>
      <w:r>
        <w:rPr>
          <w:rFonts w:hint="eastAsia"/>
          <w:sz w:val="24"/>
        </w:rPr>
        <w:t>2024-00</w:t>
      </w:r>
      <w:r w:rsidR="00F33A97">
        <w:rPr>
          <w:sz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91"/>
      </w:tblGrid>
      <w:tr w:rsidR="006D7AF0" w14:paraId="67986CF4" w14:textId="77777777">
        <w:tc>
          <w:tcPr>
            <w:tcW w:w="2405" w:type="dxa"/>
            <w:vAlign w:val="center"/>
          </w:tcPr>
          <w:p w14:paraId="53DC0265"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投资者关系活动类别</w:t>
            </w:r>
          </w:p>
        </w:tc>
        <w:tc>
          <w:tcPr>
            <w:tcW w:w="5891" w:type="dxa"/>
          </w:tcPr>
          <w:p w14:paraId="571C38AC" w14:textId="3A23E2A0" w:rsidR="006D7AF0" w:rsidRDefault="00B12559">
            <w:pPr>
              <w:spacing w:line="360" w:lineRule="auto"/>
              <w:rPr>
                <w:rFonts w:ascii="宋体" w:hAnsi="宋体"/>
                <w:bCs/>
                <w:iCs/>
                <w:sz w:val="24"/>
                <w:szCs w:val="24"/>
              </w:rPr>
            </w:pPr>
            <w:r>
              <w:rPr>
                <w:rFonts w:ascii="宋体" w:hAnsi="宋体" w:hint="eastAsia"/>
                <w:bCs/>
                <w:iCs/>
                <w:sz w:val="24"/>
                <w:szCs w:val="24"/>
              </w:rPr>
              <w:sym w:font="Wingdings 2" w:char="F052"/>
            </w:r>
            <w:r w:rsidR="00EA3FDE" w:rsidRPr="00313EB3">
              <w:rPr>
                <w:rFonts w:ascii="宋体" w:hAnsi="宋体" w:hint="eastAsia"/>
                <w:bCs/>
                <w:sz w:val="24"/>
                <w:szCs w:val="24"/>
              </w:rPr>
              <w:t xml:space="preserve">特定对象调研 </w:t>
            </w:r>
            <w:r w:rsidR="00EA3FDE">
              <w:rPr>
                <w:rFonts w:ascii="宋体" w:hAnsi="宋体" w:hint="eastAsia"/>
                <w:b/>
                <w:bCs/>
                <w:sz w:val="24"/>
                <w:szCs w:val="24"/>
              </w:rPr>
              <w:t xml:space="preserve"> </w:t>
            </w:r>
            <w:r w:rsidR="00EA3FDE">
              <w:rPr>
                <w:rFonts w:ascii="宋体" w:hAnsi="宋体" w:hint="eastAsia"/>
                <w:sz w:val="24"/>
                <w:szCs w:val="24"/>
              </w:rPr>
              <w:t xml:space="preserve">      </w:t>
            </w:r>
            <w:r w:rsidR="00EA3FDE">
              <w:rPr>
                <w:rFonts w:ascii="宋体" w:hAnsi="宋体" w:hint="eastAsia"/>
                <w:bCs/>
                <w:iCs/>
                <w:sz w:val="24"/>
                <w:szCs w:val="24"/>
              </w:rPr>
              <w:t>□</w:t>
            </w:r>
            <w:r w:rsidR="00EA3FDE">
              <w:rPr>
                <w:rFonts w:ascii="宋体" w:hAnsi="宋体" w:hint="eastAsia"/>
                <w:sz w:val="24"/>
                <w:szCs w:val="24"/>
              </w:rPr>
              <w:t>分析师会议</w:t>
            </w:r>
          </w:p>
          <w:p w14:paraId="1F767440" w14:textId="0DB9F769" w:rsidR="006D7AF0" w:rsidRDefault="00EA3FDE">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sidR="00B12559">
              <w:rPr>
                <w:rFonts w:ascii="宋体" w:hAnsi="宋体" w:hint="eastAsia"/>
                <w:bCs/>
                <w:iCs/>
                <w:sz w:val="24"/>
                <w:szCs w:val="24"/>
              </w:rPr>
              <w:t>□</w:t>
            </w:r>
            <w:r>
              <w:rPr>
                <w:rFonts w:ascii="宋体" w:hAnsi="宋体" w:hint="eastAsia"/>
                <w:sz w:val="24"/>
                <w:szCs w:val="24"/>
              </w:rPr>
              <w:t>业绩说明会</w:t>
            </w:r>
          </w:p>
          <w:p w14:paraId="7AD5CB13" w14:textId="77777777" w:rsidR="006D7AF0" w:rsidRDefault="00EA3FDE">
            <w:pPr>
              <w:spacing w:line="360" w:lineRule="auto"/>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2005D552" w14:textId="77777777" w:rsidR="006D7AF0" w:rsidRDefault="00EA3FDE">
            <w:pPr>
              <w:tabs>
                <w:tab w:val="left" w:pos="2685"/>
                <w:tab w:val="center" w:pos="3199"/>
              </w:tabs>
              <w:spacing w:line="360" w:lineRule="auto"/>
              <w:rPr>
                <w:rFonts w:ascii="宋体" w:hAnsi="宋体"/>
                <w:sz w:val="24"/>
                <w:szCs w:val="24"/>
                <w:u w:val="single"/>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r>
              <w:rPr>
                <w:rFonts w:ascii="宋体" w:hAnsi="宋体" w:cs="Segoe UI Symbol" w:hint="eastAsia"/>
                <w:bCs/>
                <w:iCs/>
                <w:sz w:val="24"/>
                <w:szCs w:val="24"/>
              </w:rPr>
              <w:t>□</w:t>
            </w:r>
            <w:r>
              <w:rPr>
                <w:rFonts w:ascii="宋体" w:hAnsi="宋体" w:hint="eastAsia"/>
                <w:sz w:val="24"/>
                <w:szCs w:val="24"/>
              </w:rPr>
              <w:t xml:space="preserve">其他 </w:t>
            </w:r>
            <w:r>
              <w:rPr>
                <w:rFonts w:ascii="宋体" w:hAnsi="宋体" w:hint="eastAsia"/>
                <w:sz w:val="24"/>
                <w:szCs w:val="24"/>
                <w:u w:val="single"/>
              </w:rPr>
              <w:t xml:space="preserve">     </w:t>
            </w:r>
          </w:p>
        </w:tc>
      </w:tr>
      <w:tr w:rsidR="006D7AF0" w14:paraId="1C8A2314" w14:textId="77777777">
        <w:tc>
          <w:tcPr>
            <w:tcW w:w="2405" w:type="dxa"/>
            <w:vAlign w:val="center"/>
          </w:tcPr>
          <w:p w14:paraId="660EB962"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参与单位名称</w:t>
            </w:r>
          </w:p>
        </w:tc>
        <w:tc>
          <w:tcPr>
            <w:tcW w:w="5891" w:type="dxa"/>
          </w:tcPr>
          <w:p w14:paraId="53230D7F" w14:textId="2ECC01A2" w:rsidR="006D7AF0" w:rsidRDefault="00F33A97" w:rsidP="00F33A97">
            <w:pPr>
              <w:spacing w:line="360" w:lineRule="auto"/>
              <w:rPr>
                <w:rFonts w:ascii="宋体" w:hAnsi="宋体"/>
                <w:bCs/>
                <w:iCs/>
                <w:sz w:val="24"/>
                <w:szCs w:val="24"/>
              </w:rPr>
            </w:pPr>
            <w:r>
              <w:rPr>
                <w:rFonts w:ascii="宋体" w:hAnsi="宋体" w:hint="eastAsia"/>
                <w:bCs/>
                <w:iCs/>
                <w:sz w:val="24"/>
                <w:szCs w:val="24"/>
              </w:rPr>
              <w:t>人保资产、富国基金、中欧基金、汇安基金、财通资管、</w:t>
            </w:r>
            <w:bookmarkStart w:id="0" w:name="OLE_LINK1"/>
            <w:bookmarkStart w:id="1" w:name="OLE_LINK2"/>
            <w:r>
              <w:rPr>
                <w:rFonts w:ascii="宋体" w:hAnsi="宋体" w:hint="eastAsia"/>
                <w:bCs/>
                <w:iCs/>
                <w:sz w:val="24"/>
                <w:szCs w:val="24"/>
              </w:rPr>
              <w:t>申万菱信</w:t>
            </w:r>
            <w:bookmarkEnd w:id="0"/>
            <w:bookmarkEnd w:id="1"/>
            <w:r>
              <w:rPr>
                <w:rFonts w:ascii="宋体" w:hAnsi="宋体" w:hint="eastAsia"/>
                <w:bCs/>
                <w:iCs/>
                <w:sz w:val="24"/>
                <w:szCs w:val="24"/>
              </w:rPr>
              <w:t>基金、</w:t>
            </w:r>
            <w:r w:rsidR="00B12559">
              <w:rPr>
                <w:rFonts w:ascii="宋体" w:hAnsi="宋体" w:hint="eastAsia"/>
                <w:bCs/>
                <w:iCs/>
                <w:sz w:val="24"/>
                <w:szCs w:val="24"/>
              </w:rPr>
              <w:t>兴业证券、天风证券、</w:t>
            </w:r>
            <w:r>
              <w:rPr>
                <w:rFonts w:ascii="宋体" w:hAnsi="宋体" w:hint="eastAsia"/>
                <w:bCs/>
                <w:iCs/>
                <w:sz w:val="24"/>
                <w:szCs w:val="24"/>
              </w:rPr>
              <w:t>信达证券、开源</w:t>
            </w:r>
            <w:r w:rsidR="00B12559">
              <w:rPr>
                <w:rFonts w:ascii="宋体" w:hAnsi="宋体" w:hint="eastAsia"/>
                <w:bCs/>
                <w:iCs/>
                <w:sz w:val="24"/>
                <w:szCs w:val="24"/>
              </w:rPr>
              <w:t>证券等机构共</w:t>
            </w:r>
            <w:r>
              <w:rPr>
                <w:rFonts w:ascii="宋体" w:hAnsi="宋体" w:hint="eastAsia"/>
                <w:bCs/>
                <w:iCs/>
                <w:sz w:val="24"/>
                <w:szCs w:val="24"/>
              </w:rPr>
              <w:t>1</w:t>
            </w:r>
            <w:r w:rsidR="00383AF0">
              <w:rPr>
                <w:rFonts w:ascii="宋体" w:hAnsi="宋体" w:hint="eastAsia"/>
                <w:bCs/>
                <w:iCs/>
                <w:sz w:val="24"/>
                <w:szCs w:val="24"/>
              </w:rPr>
              <w:t>5</w:t>
            </w:r>
            <w:r w:rsidR="00B12559">
              <w:rPr>
                <w:rFonts w:ascii="宋体" w:hAnsi="宋体" w:hint="eastAsia"/>
                <w:bCs/>
                <w:iCs/>
                <w:sz w:val="24"/>
                <w:szCs w:val="24"/>
              </w:rPr>
              <w:t>人</w:t>
            </w:r>
          </w:p>
        </w:tc>
      </w:tr>
      <w:tr w:rsidR="006D7AF0" w14:paraId="16844C9D" w14:textId="77777777">
        <w:tc>
          <w:tcPr>
            <w:tcW w:w="2405" w:type="dxa"/>
            <w:vAlign w:val="center"/>
          </w:tcPr>
          <w:p w14:paraId="25D4C390"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会议时间</w:t>
            </w:r>
          </w:p>
        </w:tc>
        <w:tc>
          <w:tcPr>
            <w:tcW w:w="5891" w:type="dxa"/>
          </w:tcPr>
          <w:p w14:paraId="31993194" w14:textId="40BA5939" w:rsidR="006D7AF0" w:rsidRDefault="00735ACD" w:rsidP="00B12559">
            <w:pPr>
              <w:spacing w:line="360" w:lineRule="auto"/>
              <w:rPr>
                <w:rFonts w:ascii="宋体" w:hAnsi="宋体"/>
                <w:bCs/>
                <w:iCs/>
                <w:sz w:val="24"/>
                <w:szCs w:val="24"/>
              </w:rPr>
            </w:pPr>
            <w:r w:rsidRPr="00735ACD">
              <w:rPr>
                <w:rFonts w:ascii="宋体" w:hAnsi="宋体" w:hint="eastAsia"/>
                <w:bCs/>
                <w:iCs/>
                <w:sz w:val="24"/>
                <w:szCs w:val="24"/>
              </w:rPr>
              <w:t>2024年1</w:t>
            </w:r>
            <w:r w:rsidR="00F33A97">
              <w:rPr>
                <w:rFonts w:ascii="宋体" w:hAnsi="宋体"/>
                <w:bCs/>
                <w:iCs/>
                <w:sz w:val="24"/>
                <w:szCs w:val="24"/>
              </w:rPr>
              <w:t>2</w:t>
            </w:r>
            <w:r w:rsidRPr="00735ACD">
              <w:rPr>
                <w:rFonts w:ascii="宋体" w:hAnsi="宋体" w:hint="eastAsia"/>
                <w:bCs/>
                <w:iCs/>
                <w:sz w:val="24"/>
                <w:szCs w:val="24"/>
              </w:rPr>
              <w:t>月</w:t>
            </w:r>
            <w:r w:rsidR="00F33A97">
              <w:rPr>
                <w:rFonts w:ascii="宋体" w:hAnsi="宋体"/>
                <w:bCs/>
                <w:iCs/>
                <w:sz w:val="24"/>
                <w:szCs w:val="24"/>
              </w:rPr>
              <w:t>11</w:t>
            </w:r>
            <w:r w:rsidRPr="00735ACD">
              <w:rPr>
                <w:rFonts w:ascii="宋体" w:hAnsi="宋体" w:hint="eastAsia"/>
                <w:bCs/>
                <w:iCs/>
                <w:sz w:val="24"/>
                <w:szCs w:val="24"/>
              </w:rPr>
              <w:t>日</w:t>
            </w:r>
            <w:r w:rsidR="00B12559">
              <w:rPr>
                <w:rFonts w:ascii="宋体" w:hAnsi="宋体" w:hint="eastAsia"/>
                <w:bCs/>
                <w:iCs/>
                <w:sz w:val="24"/>
                <w:szCs w:val="24"/>
              </w:rPr>
              <w:t>-</w:t>
            </w:r>
            <w:r w:rsidR="00B12559">
              <w:rPr>
                <w:rFonts w:ascii="宋体" w:hAnsi="宋体"/>
                <w:bCs/>
                <w:iCs/>
                <w:sz w:val="24"/>
                <w:szCs w:val="24"/>
              </w:rPr>
              <w:t>1</w:t>
            </w:r>
            <w:r w:rsidR="00F33A97">
              <w:rPr>
                <w:rFonts w:ascii="宋体" w:hAnsi="宋体"/>
                <w:bCs/>
                <w:iCs/>
                <w:sz w:val="24"/>
                <w:szCs w:val="24"/>
              </w:rPr>
              <w:t>2</w:t>
            </w:r>
            <w:r w:rsidR="00B12559">
              <w:rPr>
                <w:rFonts w:ascii="宋体" w:hAnsi="宋体"/>
                <w:bCs/>
                <w:iCs/>
                <w:sz w:val="24"/>
                <w:szCs w:val="24"/>
              </w:rPr>
              <w:t>月</w:t>
            </w:r>
            <w:r w:rsidR="00F33A97">
              <w:rPr>
                <w:rFonts w:ascii="宋体" w:hAnsi="宋体" w:hint="eastAsia"/>
                <w:bCs/>
                <w:iCs/>
                <w:sz w:val="24"/>
                <w:szCs w:val="24"/>
              </w:rPr>
              <w:t>12</w:t>
            </w:r>
            <w:r w:rsidR="00B12559">
              <w:rPr>
                <w:rFonts w:ascii="宋体" w:hAnsi="宋体" w:hint="eastAsia"/>
                <w:bCs/>
                <w:iCs/>
                <w:sz w:val="24"/>
                <w:szCs w:val="24"/>
              </w:rPr>
              <w:t>日</w:t>
            </w:r>
          </w:p>
        </w:tc>
      </w:tr>
      <w:tr w:rsidR="006D7AF0" w14:paraId="0DA9A416" w14:textId="77777777" w:rsidTr="00735ACD">
        <w:trPr>
          <w:trHeight w:val="423"/>
        </w:trPr>
        <w:tc>
          <w:tcPr>
            <w:tcW w:w="2405" w:type="dxa"/>
            <w:vAlign w:val="center"/>
          </w:tcPr>
          <w:p w14:paraId="7561830D"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参会地点</w:t>
            </w:r>
          </w:p>
        </w:tc>
        <w:tc>
          <w:tcPr>
            <w:tcW w:w="5891" w:type="dxa"/>
          </w:tcPr>
          <w:p w14:paraId="4A6B8FBB" w14:textId="7FB6A3D6" w:rsidR="006D7AF0" w:rsidRDefault="00B12559" w:rsidP="00B12559">
            <w:pPr>
              <w:spacing w:line="360" w:lineRule="auto"/>
              <w:rPr>
                <w:rFonts w:ascii="宋体" w:hAnsi="宋体"/>
                <w:bCs/>
                <w:iCs/>
                <w:sz w:val="24"/>
                <w:szCs w:val="24"/>
              </w:rPr>
            </w:pPr>
            <w:r>
              <w:rPr>
                <w:rFonts w:ascii="宋体" w:hAnsi="宋体" w:hint="eastAsia"/>
                <w:bCs/>
                <w:iCs/>
                <w:sz w:val="24"/>
                <w:szCs w:val="24"/>
              </w:rPr>
              <w:t>公司会议室</w:t>
            </w:r>
          </w:p>
        </w:tc>
      </w:tr>
      <w:tr w:rsidR="006D7AF0" w14:paraId="4640DAAD" w14:textId="77777777">
        <w:trPr>
          <w:trHeight w:val="934"/>
        </w:trPr>
        <w:tc>
          <w:tcPr>
            <w:tcW w:w="2405" w:type="dxa"/>
            <w:vAlign w:val="center"/>
          </w:tcPr>
          <w:p w14:paraId="3F4FBB5A"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公司接待人员姓名</w:t>
            </w:r>
          </w:p>
        </w:tc>
        <w:tc>
          <w:tcPr>
            <w:tcW w:w="5891" w:type="dxa"/>
            <w:vAlign w:val="center"/>
          </w:tcPr>
          <w:p w14:paraId="1AA92ABE" w14:textId="77777777" w:rsidR="00CD7571" w:rsidRDefault="00CD7571" w:rsidP="00CD7571">
            <w:pPr>
              <w:pStyle w:val="TableParagraph"/>
              <w:spacing w:line="360" w:lineRule="auto"/>
              <w:rPr>
                <w:rFonts w:asciiTheme="minorEastAsia" w:eastAsiaTheme="minorEastAsia" w:hAnsiTheme="minorEastAsia"/>
                <w:kern w:val="2"/>
                <w:sz w:val="24"/>
                <w:szCs w:val="32"/>
                <w:lang w:eastAsia="zh-CN"/>
              </w:rPr>
            </w:pPr>
            <w:r w:rsidRPr="00A05F7F">
              <w:rPr>
                <w:rFonts w:asciiTheme="minorEastAsia" w:eastAsiaTheme="minorEastAsia" w:hAnsiTheme="minorEastAsia" w:hint="eastAsia"/>
                <w:kern w:val="2"/>
                <w:sz w:val="24"/>
                <w:szCs w:val="32"/>
                <w:lang w:eastAsia="zh-CN"/>
              </w:rPr>
              <w:t>高级副总经理、董事会秘书 周淳</w:t>
            </w:r>
          </w:p>
          <w:p w14:paraId="2E6D65A3" w14:textId="6946BF17" w:rsidR="006D7AF0" w:rsidRDefault="00CD7571" w:rsidP="00CD7571">
            <w:pPr>
              <w:pStyle w:val="TableParagraph"/>
              <w:spacing w:line="360" w:lineRule="auto"/>
              <w:rPr>
                <w:rFonts w:ascii="宋体" w:hAnsi="宋体" w:cs="宋体"/>
                <w:sz w:val="24"/>
                <w:szCs w:val="24"/>
                <w:lang w:eastAsia="zh-CN"/>
              </w:rPr>
            </w:pPr>
            <w:r w:rsidRPr="00A05F7F">
              <w:rPr>
                <w:rFonts w:asciiTheme="minorEastAsia" w:eastAsiaTheme="minorEastAsia" w:hAnsiTheme="minorEastAsia" w:hint="eastAsia"/>
                <w:kern w:val="2"/>
                <w:sz w:val="24"/>
                <w:szCs w:val="32"/>
                <w:lang w:eastAsia="zh-CN"/>
              </w:rPr>
              <w:t>证券事务代表 卜京红</w:t>
            </w:r>
          </w:p>
        </w:tc>
      </w:tr>
      <w:tr w:rsidR="006D7AF0" w14:paraId="5AF3EFA8" w14:textId="77777777">
        <w:trPr>
          <w:trHeight w:val="589"/>
        </w:trPr>
        <w:tc>
          <w:tcPr>
            <w:tcW w:w="2405" w:type="dxa"/>
            <w:vAlign w:val="center"/>
          </w:tcPr>
          <w:p w14:paraId="62E85D6B" w14:textId="77777777" w:rsidR="006D7AF0" w:rsidRDefault="00EA3FDE">
            <w:pPr>
              <w:spacing w:line="360" w:lineRule="auto"/>
              <w:jc w:val="center"/>
              <w:rPr>
                <w:rFonts w:ascii="宋体" w:hAnsi="宋体"/>
                <w:iCs/>
                <w:sz w:val="24"/>
                <w:szCs w:val="24"/>
              </w:rPr>
            </w:pPr>
            <w:r>
              <w:rPr>
                <w:rFonts w:ascii="宋体" w:hAnsi="宋体" w:hint="eastAsia"/>
                <w:b/>
                <w:bCs/>
                <w:iCs/>
                <w:sz w:val="24"/>
                <w:szCs w:val="24"/>
              </w:rPr>
              <w:t>投资者关系活动主要内容介绍</w:t>
            </w:r>
          </w:p>
        </w:tc>
        <w:tc>
          <w:tcPr>
            <w:tcW w:w="5891" w:type="dxa"/>
          </w:tcPr>
          <w:p w14:paraId="16DAA229" w14:textId="77777777" w:rsidR="006D7AF0" w:rsidRDefault="00EA3FDE">
            <w:pPr>
              <w:pStyle w:val="TableParagraph"/>
              <w:spacing w:line="360" w:lineRule="auto"/>
              <w:rPr>
                <w:rFonts w:ascii="Times New Roman" w:hAnsi="Times New Roman"/>
                <w:kern w:val="2"/>
                <w:sz w:val="24"/>
                <w:szCs w:val="32"/>
                <w:lang w:eastAsia="zh-CN"/>
              </w:rPr>
            </w:pPr>
            <w:r>
              <w:rPr>
                <w:rFonts w:ascii="Times New Roman" w:hAnsi="Times New Roman"/>
                <w:b/>
                <w:bCs/>
                <w:kern w:val="2"/>
                <w:sz w:val="24"/>
                <w:szCs w:val="32"/>
                <w:lang w:eastAsia="zh-CN"/>
              </w:rPr>
              <w:t>主要交流问题</w:t>
            </w:r>
            <w:r>
              <w:rPr>
                <w:rFonts w:ascii="Times New Roman" w:hAnsi="Times New Roman"/>
                <w:kern w:val="2"/>
                <w:sz w:val="24"/>
                <w:szCs w:val="32"/>
                <w:lang w:eastAsia="zh-CN"/>
              </w:rPr>
              <w:t>：</w:t>
            </w:r>
          </w:p>
          <w:p w14:paraId="005FED7B" w14:textId="77777777" w:rsidR="00F33A97" w:rsidRPr="00F33A97" w:rsidRDefault="00F33A97" w:rsidP="00F33A97">
            <w:pPr>
              <w:spacing w:line="360" w:lineRule="auto"/>
              <w:rPr>
                <w:b/>
                <w:sz w:val="24"/>
              </w:rPr>
            </w:pPr>
            <w:r w:rsidRPr="00F33A97">
              <w:rPr>
                <w:rFonts w:hint="eastAsia"/>
                <w:b/>
                <w:sz w:val="24"/>
              </w:rPr>
              <w:t>1</w:t>
            </w:r>
            <w:r w:rsidRPr="00F33A97">
              <w:rPr>
                <w:rFonts w:hint="eastAsia"/>
                <w:b/>
                <w:sz w:val="24"/>
              </w:rPr>
              <w:t>、如何看待分布式和集中式竞争关系？</w:t>
            </w:r>
          </w:p>
          <w:p w14:paraId="0398F281" w14:textId="1F589C3E" w:rsidR="00F33A97" w:rsidRPr="00F33A97" w:rsidRDefault="00F33A97" w:rsidP="00F33A97">
            <w:pPr>
              <w:spacing w:line="360" w:lineRule="auto"/>
              <w:ind w:firstLineChars="200" w:firstLine="480"/>
              <w:rPr>
                <w:sz w:val="24"/>
              </w:rPr>
            </w:pPr>
            <w:r w:rsidRPr="00F33A97">
              <w:rPr>
                <w:rFonts w:hint="eastAsia"/>
                <w:sz w:val="24"/>
              </w:rPr>
              <w:t>答：现阶段，从技术角度看分布式数据库与集中式数据库各有特点和优势，分布式数据库在可扩展性、高并发负载下的吞吐量能力有优势，而集中式在生态成熟度、开发运维复杂度、用户设备运维成本投入等方面具有优势。因此两者在应用场景上整体而言存在互补性。随着技术的发展，未来集中式和分布式可能出现融合，成为一体化的产品，用户选型无须再关注集中式与分布式。</w:t>
            </w:r>
          </w:p>
          <w:p w14:paraId="1D9BF663" w14:textId="77777777" w:rsidR="00F33A97" w:rsidRPr="00F33A97" w:rsidRDefault="00F33A97" w:rsidP="00F33A97">
            <w:pPr>
              <w:spacing w:line="360" w:lineRule="auto"/>
              <w:rPr>
                <w:b/>
                <w:sz w:val="24"/>
              </w:rPr>
            </w:pPr>
            <w:r w:rsidRPr="00F33A97">
              <w:rPr>
                <w:b/>
                <w:sz w:val="24"/>
              </w:rPr>
              <w:t>2</w:t>
            </w:r>
            <w:r w:rsidRPr="00F33A97">
              <w:rPr>
                <w:rFonts w:hint="eastAsia"/>
                <w:b/>
                <w:sz w:val="24"/>
              </w:rPr>
              <w:t>、公司在数据库行业的技术上有哪些布局？</w:t>
            </w:r>
          </w:p>
          <w:p w14:paraId="7BF36446" w14:textId="4BCD0060" w:rsidR="00F33A97" w:rsidRPr="00F33A97" w:rsidRDefault="00F33A97" w:rsidP="00F33A97">
            <w:pPr>
              <w:spacing w:line="360" w:lineRule="auto"/>
              <w:ind w:firstLineChars="200" w:firstLine="480"/>
              <w:rPr>
                <w:sz w:val="24"/>
              </w:rPr>
            </w:pPr>
            <w:r w:rsidRPr="00F33A97">
              <w:rPr>
                <w:rFonts w:hint="eastAsia"/>
                <w:sz w:val="24"/>
              </w:rPr>
              <w:t>答：除本地部署模式关系数据库外，公司积极布局</w:t>
            </w:r>
            <w:r w:rsidRPr="00F33A97">
              <w:rPr>
                <w:rFonts w:hint="eastAsia"/>
                <w:sz w:val="24"/>
              </w:rPr>
              <w:lastRenderedPageBreak/>
              <w:t>了图数据库、</w:t>
            </w:r>
            <w:r w:rsidRPr="00F33A97">
              <w:rPr>
                <w:rFonts w:hint="eastAsia"/>
                <w:sz w:val="24"/>
              </w:rPr>
              <w:t>HTAP</w:t>
            </w:r>
            <w:r w:rsidR="0052498B">
              <w:rPr>
                <w:rFonts w:hint="eastAsia"/>
                <w:sz w:val="24"/>
              </w:rPr>
              <w:t>型数据库、分布式数据库、云数据库、缓存数据库等</w:t>
            </w:r>
            <w:r w:rsidRPr="00F33A97">
              <w:rPr>
                <w:rFonts w:hint="eastAsia"/>
                <w:sz w:val="24"/>
              </w:rPr>
              <w:t>数据库领域的新兴技术方向，开展超大规模原生图计算、分布式高速缓存、新型计算和网络设备的数据库架构优化等技术研究，并取得了相应专利、著作权等成果。</w:t>
            </w:r>
          </w:p>
          <w:p w14:paraId="435ADA40" w14:textId="77777777" w:rsidR="00F33A97" w:rsidRPr="00F33A97" w:rsidRDefault="00F33A97" w:rsidP="00F33A97">
            <w:pPr>
              <w:spacing w:line="360" w:lineRule="auto"/>
              <w:rPr>
                <w:b/>
                <w:sz w:val="24"/>
              </w:rPr>
            </w:pPr>
            <w:r w:rsidRPr="00F33A97">
              <w:rPr>
                <w:b/>
                <w:sz w:val="24"/>
              </w:rPr>
              <w:t>3</w:t>
            </w:r>
            <w:r w:rsidRPr="00F33A97">
              <w:rPr>
                <w:rFonts w:hint="eastAsia"/>
                <w:b/>
                <w:sz w:val="24"/>
              </w:rPr>
              <w:t>、公司的数据库产品适用场景有哪些？</w:t>
            </w:r>
          </w:p>
          <w:p w14:paraId="63DCA8A9" w14:textId="5C136FF1" w:rsidR="00F33A97" w:rsidRPr="00F33A97" w:rsidRDefault="00F33A97" w:rsidP="00F33A97">
            <w:pPr>
              <w:spacing w:line="360" w:lineRule="auto"/>
              <w:ind w:firstLineChars="200" w:firstLine="480"/>
              <w:rPr>
                <w:sz w:val="24"/>
              </w:rPr>
            </w:pPr>
            <w:r w:rsidRPr="00F33A97">
              <w:rPr>
                <w:sz w:val="24"/>
              </w:rPr>
              <w:t>答：</w:t>
            </w:r>
            <w:r w:rsidR="00515B41">
              <w:rPr>
                <w:rFonts w:hint="eastAsia"/>
                <w:sz w:val="24"/>
              </w:rPr>
              <w:t>公司的数据库是通用数据库产品</w:t>
            </w:r>
            <w:r w:rsidRPr="00F33A97">
              <w:rPr>
                <w:rFonts w:hint="eastAsia"/>
                <w:sz w:val="24"/>
              </w:rPr>
              <w:t>，</w:t>
            </w:r>
            <w:r w:rsidR="00515B41">
              <w:rPr>
                <w:rFonts w:hint="eastAsia"/>
                <w:sz w:val="24"/>
              </w:rPr>
              <w:t>可</w:t>
            </w:r>
            <w:r w:rsidRPr="00F33A97">
              <w:rPr>
                <w:rFonts w:hint="eastAsia"/>
                <w:sz w:val="24"/>
              </w:rPr>
              <w:t>应用于一般办公及信息管理系统、数据仓库、结构化大数据分析、政企信息系统云化转型、关键业务系统等不同</w:t>
            </w:r>
            <w:r w:rsidR="00BC4647">
              <w:rPr>
                <w:rFonts w:hint="eastAsia"/>
                <w:sz w:val="24"/>
              </w:rPr>
              <w:t>场景</w:t>
            </w:r>
            <w:r w:rsidRPr="00F33A97">
              <w:rPr>
                <w:rFonts w:hint="eastAsia"/>
                <w:sz w:val="24"/>
              </w:rPr>
              <w:t>。针对不同行业、领域的不同特点，达梦数据库支持通过采用不同的系统配置和不同的集群软件搭配方案来满足用户的差异化需求。</w:t>
            </w:r>
            <w:bookmarkStart w:id="2" w:name="_GoBack"/>
            <w:bookmarkEnd w:id="2"/>
          </w:p>
          <w:p w14:paraId="233F5169" w14:textId="77777777" w:rsidR="00F33A97" w:rsidRPr="00F33A97" w:rsidRDefault="00F33A97" w:rsidP="00F33A97">
            <w:pPr>
              <w:spacing w:line="360" w:lineRule="auto"/>
              <w:rPr>
                <w:b/>
                <w:sz w:val="24"/>
              </w:rPr>
            </w:pPr>
            <w:r w:rsidRPr="00F33A97">
              <w:rPr>
                <w:b/>
                <w:sz w:val="24"/>
              </w:rPr>
              <w:t>4</w:t>
            </w:r>
            <w:r w:rsidRPr="00F33A97">
              <w:rPr>
                <w:b/>
                <w:sz w:val="24"/>
              </w:rPr>
              <w:t>、</w:t>
            </w:r>
            <w:r w:rsidRPr="00F33A97">
              <w:rPr>
                <w:rFonts w:hint="eastAsia"/>
                <w:b/>
                <w:sz w:val="24"/>
              </w:rPr>
              <w:t>公司的销售模式？和渠道的合作方式？</w:t>
            </w:r>
          </w:p>
          <w:p w14:paraId="07F22BE0" w14:textId="00A9927B" w:rsidR="00F33A97" w:rsidRPr="00F33A97" w:rsidRDefault="00F33A97" w:rsidP="00F33A97">
            <w:pPr>
              <w:spacing w:line="360" w:lineRule="auto"/>
              <w:ind w:firstLineChars="200" w:firstLine="480"/>
              <w:rPr>
                <w:sz w:val="24"/>
              </w:rPr>
            </w:pPr>
            <w:r w:rsidRPr="00F33A97">
              <w:rPr>
                <w:rFonts w:hint="eastAsia"/>
                <w:sz w:val="24"/>
              </w:rPr>
              <w:t>答：公司软件产品使用授权业务采用以渠道销售为主的销售模式。公司采取渠道销售模式主要从产品特征的角度、管理成本与效率的角度以及销售线索获取的角度考虑。通过建立渠道销售体系，公司可在自身市场及销售人员无法触及的行业或地区市场内借助渠道商的信息优势及渠道资源，及时向潜在客户提供产品讲解与技术咨询，从而更好地获得销售线索，提高市场渗透。目前，公司已初步形成覆盖全国及主要行业的渠道销售体系。</w:t>
            </w:r>
          </w:p>
          <w:p w14:paraId="7089F202" w14:textId="77777777" w:rsidR="00F33A97" w:rsidRPr="00F33A97" w:rsidRDefault="00F33A97" w:rsidP="00F33A97">
            <w:pPr>
              <w:spacing w:line="360" w:lineRule="auto"/>
              <w:rPr>
                <w:b/>
                <w:sz w:val="24"/>
              </w:rPr>
            </w:pPr>
            <w:r w:rsidRPr="00F33A97">
              <w:rPr>
                <w:rFonts w:hint="eastAsia"/>
                <w:b/>
                <w:sz w:val="24"/>
              </w:rPr>
              <w:t>5</w:t>
            </w:r>
            <w:r w:rsidRPr="00F33A97">
              <w:rPr>
                <w:rFonts w:hint="eastAsia"/>
                <w:b/>
                <w:sz w:val="24"/>
              </w:rPr>
              <w:t>、公司与</w:t>
            </w:r>
            <w:r w:rsidRPr="00F33A97">
              <w:rPr>
                <w:rFonts w:hint="eastAsia"/>
                <w:b/>
                <w:sz w:val="24"/>
              </w:rPr>
              <w:t>Ora</w:t>
            </w:r>
            <w:r w:rsidRPr="00F33A97">
              <w:rPr>
                <w:b/>
                <w:sz w:val="24"/>
              </w:rPr>
              <w:t>cle</w:t>
            </w:r>
            <w:r w:rsidRPr="00F33A97">
              <w:rPr>
                <w:b/>
                <w:sz w:val="24"/>
              </w:rPr>
              <w:t>、微软等国际厂商相比有哪些优劣势？</w:t>
            </w:r>
          </w:p>
          <w:p w14:paraId="26DC542E" w14:textId="77777777" w:rsidR="00F33A97" w:rsidRPr="00F33A97" w:rsidRDefault="00F33A97" w:rsidP="00F33A97">
            <w:pPr>
              <w:spacing w:line="360" w:lineRule="auto"/>
              <w:ind w:firstLineChars="200" w:firstLine="480"/>
              <w:rPr>
                <w:sz w:val="24"/>
              </w:rPr>
            </w:pPr>
            <w:r w:rsidRPr="00F33A97">
              <w:rPr>
                <w:sz w:val="24"/>
              </w:rPr>
              <w:t>答：与</w:t>
            </w:r>
            <w:r w:rsidRPr="00F33A97">
              <w:rPr>
                <w:rFonts w:hint="eastAsia"/>
                <w:sz w:val="24"/>
              </w:rPr>
              <w:t>Oracle</w:t>
            </w:r>
            <w:r w:rsidRPr="00F33A97">
              <w:rPr>
                <w:rFonts w:hint="eastAsia"/>
                <w:sz w:val="24"/>
              </w:rPr>
              <w:t>、微软等公司相比，公司产品具有更高的安全防护等级和更好的国产</w:t>
            </w:r>
            <w:r w:rsidRPr="00F33A97">
              <w:rPr>
                <w:rFonts w:hint="eastAsia"/>
                <w:sz w:val="24"/>
              </w:rPr>
              <w:t>IT</w:t>
            </w:r>
            <w:r w:rsidRPr="00F33A97">
              <w:rPr>
                <w:rFonts w:hint="eastAsia"/>
                <w:sz w:val="24"/>
              </w:rPr>
              <w:t>生态兼容性，但在生态兼容性上仍处于跟随地位。国外主流产品长期以来积累的应用时间长、安装数量多的优势导致其已经成为产业的事实标准，相关信息系统软件均需参照其特有标准进行适配，同时其深厚的技术和市场积累导致国产厂</w:t>
            </w:r>
            <w:r w:rsidRPr="00F33A97">
              <w:rPr>
                <w:rFonts w:hint="eastAsia"/>
                <w:sz w:val="24"/>
              </w:rPr>
              <w:lastRenderedPageBreak/>
              <w:t>商在品牌认可度层面仍存在一定劣势。</w:t>
            </w:r>
            <w:r w:rsidRPr="00F33A97">
              <w:rPr>
                <w:sz w:val="24"/>
              </w:rPr>
              <w:t>总体而言，公司在产品技术和商业数据库生态上具有相对优势，</w:t>
            </w:r>
            <w:r w:rsidRPr="00F33A97">
              <w:rPr>
                <w:rFonts w:hint="eastAsia"/>
                <w:sz w:val="24"/>
              </w:rPr>
              <w:t>在部分行业领域的应用和推广受品牌建设、资金规模、人才数量、基础设施等方面影响，仍有待进一步补足提升。</w:t>
            </w:r>
          </w:p>
          <w:p w14:paraId="4C382920" w14:textId="10499FCC" w:rsidR="006D7AF0" w:rsidRPr="00F33A97" w:rsidRDefault="00F33A97" w:rsidP="00F33A97">
            <w:pPr>
              <w:spacing w:line="360" w:lineRule="auto"/>
              <w:ind w:firstLineChars="200" w:firstLine="480"/>
              <w:rPr>
                <w:sz w:val="24"/>
              </w:rPr>
            </w:pPr>
            <w:r w:rsidRPr="00F33A97">
              <w:rPr>
                <w:rFonts w:hint="eastAsia"/>
                <w:sz w:val="24"/>
              </w:rPr>
              <w:t>公司一方面通过开展集群数据库的研发升级、生态适配，并基于集群数据库研发数据库一体机等方式全力投入现有核心产品的研发升级，巩固当前优势；另一方面通过布局原生分布式数据库、图数据库、缓存数据库、数据治理、云服务与云数据库管理等相关新技术、新产品，对现有产品和技术进行完善与互补，以形成覆盖数据采集、数据集成、数据存储、数据挖掘、数据展示的数据全生命周期产品生态，努力成为国际顶尖的全栈数据产品及解决方案提供商。</w:t>
            </w:r>
          </w:p>
        </w:tc>
      </w:tr>
      <w:tr w:rsidR="006D7AF0" w14:paraId="018CCB6B" w14:textId="77777777">
        <w:trPr>
          <w:trHeight w:val="820"/>
        </w:trPr>
        <w:tc>
          <w:tcPr>
            <w:tcW w:w="2405" w:type="dxa"/>
            <w:vAlign w:val="center"/>
          </w:tcPr>
          <w:p w14:paraId="4D5EED5C"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lastRenderedPageBreak/>
              <w:t>关于本次活动是否涉及应当披露重大信息的说明</w:t>
            </w:r>
          </w:p>
        </w:tc>
        <w:tc>
          <w:tcPr>
            <w:tcW w:w="5891" w:type="dxa"/>
          </w:tcPr>
          <w:p w14:paraId="608BD189" w14:textId="77777777" w:rsidR="006D7AF0" w:rsidRDefault="00EA3FDE">
            <w:pPr>
              <w:spacing w:line="360" w:lineRule="auto"/>
              <w:rPr>
                <w:rFonts w:ascii="宋体" w:hAnsi="宋体"/>
                <w:bCs/>
                <w:iCs/>
                <w:sz w:val="24"/>
                <w:szCs w:val="24"/>
              </w:rPr>
            </w:pPr>
            <w:r>
              <w:rPr>
                <w:rFonts w:hint="eastAsia"/>
                <w:sz w:val="24"/>
                <w:szCs w:val="24"/>
              </w:rPr>
              <w:t>公司严格按照《信息披露管理制度》等相关规定，保证信息披露的真实、准确、完整，没有出现未公开重大信息泄露等情况。</w:t>
            </w:r>
          </w:p>
        </w:tc>
      </w:tr>
      <w:tr w:rsidR="006D7AF0" w14:paraId="70511841" w14:textId="77777777" w:rsidTr="00C0373E">
        <w:trPr>
          <w:trHeight w:val="454"/>
        </w:trPr>
        <w:tc>
          <w:tcPr>
            <w:tcW w:w="2405" w:type="dxa"/>
            <w:vAlign w:val="center"/>
          </w:tcPr>
          <w:p w14:paraId="3C0E0550" w14:textId="77777777" w:rsidR="006D7AF0" w:rsidRDefault="00EA3FDE">
            <w:pPr>
              <w:spacing w:line="360" w:lineRule="auto"/>
              <w:jc w:val="center"/>
              <w:rPr>
                <w:rFonts w:ascii="宋体" w:hAnsi="宋体"/>
                <w:b/>
                <w:bCs/>
                <w:iCs/>
                <w:sz w:val="24"/>
                <w:szCs w:val="24"/>
              </w:rPr>
            </w:pPr>
            <w:r>
              <w:rPr>
                <w:rFonts w:ascii="宋体" w:hAnsi="宋体" w:hint="eastAsia"/>
                <w:b/>
                <w:bCs/>
                <w:iCs/>
                <w:sz w:val="24"/>
                <w:szCs w:val="24"/>
              </w:rPr>
              <w:t>附件清单（如有）</w:t>
            </w:r>
          </w:p>
        </w:tc>
        <w:tc>
          <w:tcPr>
            <w:tcW w:w="5891" w:type="dxa"/>
            <w:vAlign w:val="center"/>
          </w:tcPr>
          <w:p w14:paraId="786E53BE" w14:textId="77777777" w:rsidR="006D7AF0" w:rsidRDefault="00EA3FDE">
            <w:pPr>
              <w:pStyle w:val="TableParagraph"/>
              <w:jc w:val="both"/>
              <w:rPr>
                <w:rFonts w:ascii="宋体" w:hAnsi="宋体" w:cs="宋体"/>
                <w:sz w:val="24"/>
                <w:szCs w:val="24"/>
                <w:lang w:eastAsia="zh-CN"/>
              </w:rPr>
            </w:pPr>
            <w:r>
              <w:rPr>
                <w:rFonts w:ascii="宋体" w:hAnsi="宋体" w:hint="eastAsia"/>
                <w:bCs/>
                <w:iCs/>
                <w:sz w:val="24"/>
                <w:szCs w:val="24"/>
                <w:lang w:eastAsia="zh-CN"/>
              </w:rPr>
              <w:t>无</w:t>
            </w:r>
          </w:p>
        </w:tc>
      </w:tr>
      <w:tr w:rsidR="006D7AF0" w14:paraId="23AA8D33" w14:textId="77777777" w:rsidTr="00C0373E">
        <w:trPr>
          <w:trHeight w:val="454"/>
        </w:trPr>
        <w:tc>
          <w:tcPr>
            <w:tcW w:w="2405" w:type="dxa"/>
            <w:vAlign w:val="center"/>
          </w:tcPr>
          <w:p w14:paraId="2BDA909B" w14:textId="77777777" w:rsidR="006D7AF0" w:rsidRDefault="00EA3FDE">
            <w:pPr>
              <w:jc w:val="center"/>
              <w:rPr>
                <w:rFonts w:ascii="宋体" w:hAnsi="宋体"/>
                <w:b/>
                <w:bCs/>
                <w:iCs/>
                <w:sz w:val="24"/>
                <w:szCs w:val="24"/>
              </w:rPr>
            </w:pPr>
            <w:r>
              <w:rPr>
                <w:rFonts w:ascii="宋体" w:hAnsi="宋体" w:hint="eastAsia"/>
                <w:b/>
                <w:bCs/>
                <w:iCs/>
                <w:sz w:val="24"/>
                <w:szCs w:val="24"/>
              </w:rPr>
              <w:t>日期</w:t>
            </w:r>
          </w:p>
        </w:tc>
        <w:tc>
          <w:tcPr>
            <w:tcW w:w="5891" w:type="dxa"/>
            <w:vAlign w:val="center"/>
          </w:tcPr>
          <w:p w14:paraId="42F21B31" w14:textId="5C6AB7F8" w:rsidR="006D7AF0" w:rsidRDefault="00EA3FDE" w:rsidP="00CD7571">
            <w:pPr>
              <w:pStyle w:val="TableParagraph"/>
              <w:jc w:val="both"/>
              <w:rPr>
                <w:rFonts w:ascii="宋体" w:hAnsi="宋体"/>
                <w:bCs/>
                <w:iCs/>
                <w:sz w:val="24"/>
                <w:szCs w:val="24"/>
                <w:lang w:eastAsia="zh-CN"/>
              </w:rPr>
            </w:pPr>
            <w:r>
              <w:rPr>
                <w:rFonts w:ascii="宋体" w:hAnsi="宋体" w:hint="eastAsia"/>
                <w:bCs/>
                <w:iCs/>
                <w:sz w:val="24"/>
                <w:szCs w:val="24"/>
                <w:lang w:eastAsia="zh-CN"/>
              </w:rPr>
              <w:t>2</w:t>
            </w:r>
            <w:r>
              <w:rPr>
                <w:rFonts w:ascii="宋体" w:hAnsi="宋体"/>
                <w:bCs/>
                <w:iCs/>
                <w:sz w:val="24"/>
                <w:szCs w:val="24"/>
                <w:lang w:eastAsia="zh-CN"/>
              </w:rPr>
              <w:t>024年</w:t>
            </w:r>
            <w:r w:rsidR="00735ACD">
              <w:rPr>
                <w:rFonts w:ascii="宋体" w:hAnsi="宋体"/>
                <w:bCs/>
                <w:iCs/>
                <w:sz w:val="24"/>
                <w:szCs w:val="24"/>
                <w:lang w:eastAsia="zh-CN"/>
              </w:rPr>
              <w:t>1</w:t>
            </w:r>
            <w:r w:rsidR="00F33A97">
              <w:rPr>
                <w:rFonts w:ascii="宋体" w:hAnsi="宋体"/>
                <w:bCs/>
                <w:iCs/>
                <w:sz w:val="24"/>
                <w:szCs w:val="24"/>
                <w:lang w:eastAsia="zh-CN"/>
              </w:rPr>
              <w:t>2</w:t>
            </w:r>
            <w:r>
              <w:rPr>
                <w:rFonts w:ascii="宋体" w:hAnsi="宋体" w:hint="eastAsia"/>
                <w:bCs/>
                <w:iCs/>
                <w:sz w:val="24"/>
                <w:szCs w:val="24"/>
                <w:lang w:eastAsia="zh-CN"/>
              </w:rPr>
              <w:t>月</w:t>
            </w:r>
            <w:r w:rsidR="00F33A97">
              <w:rPr>
                <w:rFonts w:ascii="宋体" w:hAnsi="宋体"/>
                <w:bCs/>
                <w:iCs/>
                <w:sz w:val="24"/>
                <w:szCs w:val="24"/>
                <w:lang w:eastAsia="zh-CN"/>
              </w:rPr>
              <w:t>13</w:t>
            </w:r>
            <w:r>
              <w:rPr>
                <w:rFonts w:ascii="宋体" w:hAnsi="宋体"/>
                <w:bCs/>
                <w:iCs/>
                <w:sz w:val="24"/>
                <w:szCs w:val="24"/>
                <w:lang w:eastAsia="zh-CN"/>
              </w:rPr>
              <w:t>日</w:t>
            </w:r>
          </w:p>
        </w:tc>
      </w:tr>
    </w:tbl>
    <w:p w14:paraId="10E13D88" w14:textId="77777777" w:rsidR="006D7AF0" w:rsidRDefault="006D7AF0">
      <w:pPr>
        <w:spacing w:line="20" w:lineRule="exact"/>
        <w:rPr>
          <w:rFonts w:ascii="宋体" w:hAnsi="宋体"/>
          <w:sz w:val="24"/>
          <w:szCs w:val="24"/>
        </w:rPr>
      </w:pPr>
    </w:p>
    <w:sectPr w:rsidR="006D7AF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0FEE6" w14:textId="77777777" w:rsidR="000866E1" w:rsidRDefault="000866E1" w:rsidP="00EF1FE2">
      <w:r>
        <w:separator/>
      </w:r>
    </w:p>
  </w:endnote>
  <w:endnote w:type="continuationSeparator" w:id="0">
    <w:p w14:paraId="3151F28B" w14:textId="77777777" w:rsidR="000866E1" w:rsidRDefault="000866E1" w:rsidP="00E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ACC78" w14:textId="77777777" w:rsidR="000866E1" w:rsidRDefault="000866E1" w:rsidP="00EF1FE2">
      <w:r>
        <w:separator/>
      </w:r>
    </w:p>
  </w:footnote>
  <w:footnote w:type="continuationSeparator" w:id="0">
    <w:p w14:paraId="19FBC5CD" w14:textId="77777777" w:rsidR="000866E1" w:rsidRDefault="000866E1" w:rsidP="00EF1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YmQzNGM5MzM2ZDk1MTg0Yjc2NjM0ZGU1MGY3YzQifQ=="/>
  </w:docVars>
  <w:rsids>
    <w:rsidRoot w:val="00A3170D"/>
    <w:rsid w:val="000024BB"/>
    <w:rsid w:val="00010521"/>
    <w:rsid w:val="0001258A"/>
    <w:rsid w:val="00021A3B"/>
    <w:rsid w:val="00033E03"/>
    <w:rsid w:val="000411C7"/>
    <w:rsid w:val="00044070"/>
    <w:rsid w:val="00047C12"/>
    <w:rsid w:val="00050368"/>
    <w:rsid w:val="00053B49"/>
    <w:rsid w:val="00054368"/>
    <w:rsid w:val="00062896"/>
    <w:rsid w:val="000661D9"/>
    <w:rsid w:val="0007148B"/>
    <w:rsid w:val="000761F2"/>
    <w:rsid w:val="000804C3"/>
    <w:rsid w:val="0008513C"/>
    <w:rsid w:val="000857DF"/>
    <w:rsid w:val="000866E1"/>
    <w:rsid w:val="00096BCD"/>
    <w:rsid w:val="000A19AC"/>
    <w:rsid w:val="000A287E"/>
    <w:rsid w:val="000A7844"/>
    <w:rsid w:val="000B6AF6"/>
    <w:rsid w:val="000C5E87"/>
    <w:rsid w:val="000D6971"/>
    <w:rsid w:val="000E35F4"/>
    <w:rsid w:val="000F3E90"/>
    <w:rsid w:val="000F45C3"/>
    <w:rsid w:val="00104492"/>
    <w:rsid w:val="00105607"/>
    <w:rsid w:val="001076E7"/>
    <w:rsid w:val="00113122"/>
    <w:rsid w:val="0011326E"/>
    <w:rsid w:val="00113DF7"/>
    <w:rsid w:val="0012666D"/>
    <w:rsid w:val="001429A6"/>
    <w:rsid w:val="00142C41"/>
    <w:rsid w:val="001453AE"/>
    <w:rsid w:val="00151913"/>
    <w:rsid w:val="00156B16"/>
    <w:rsid w:val="00156FB7"/>
    <w:rsid w:val="00164097"/>
    <w:rsid w:val="00166552"/>
    <w:rsid w:val="001849D2"/>
    <w:rsid w:val="001958CD"/>
    <w:rsid w:val="001A1687"/>
    <w:rsid w:val="001A1983"/>
    <w:rsid w:val="001A6C29"/>
    <w:rsid w:val="001B323E"/>
    <w:rsid w:val="001B5AD7"/>
    <w:rsid w:val="001B66E1"/>
    <w:rsid w:val="001C0541"/>
    <w:rsid w:val="001C31DD"/>
    <w:rsid w:val="001C7ECB"/>
    <w:rsid w:val="001D3A7F"/>
    <w:rsid w:val="001D6F94"/>
    <w:rsid w:val="001E3A51"/>
    <w:rsid w:val="001E4499"/>
    <w:rsid w:val="001E563C"/>
    <w:rsid w:val="001E67BF"/>
    <w:rsid w:val="001F197F"/>
    <w:rsid w:val="002074C3"/>
    <w:rsid w:val="00215EBF"/>
    <w:rsid w:val="00221E94"/>
    <w:rsid w:val="0024512B"/>
    <w:rsid w:val="00246017"/>
    <w:rsid w:val="00251015"/>
    <w:rsid w:val="0025223D"/>
    <w:rsid w:val="00255A27"/>
    <w:rsid w:val="00255A4A"/>
    <w:rsid w:val="00277437"/>
    <w:rsid w:val="00285071"/>
    <w:rsid w:val="00285139"/>
    <w:rsid w:val="0029026D"/>
    <w:rsid w:val="002A14DE"/>
    <w:rsid w:val="002A1580"/>
    <w:rsid w:val="002A70D3"/>
    <w:rsid w:val="002B3613"/>
    <w:rsid w:val="002B50EC"/>
    <w:rsid w:val="002B7675"/>
    <w:rsid w:val="002C0278"/>
    <w:rsid w:val="002C6A8E"/>
    <w:rsid w:val="002C6CA5"/>
    <w:rsid w:val="002D0058"/>
    <w:rsid w:val="002D082E"/>
    <w:rsid w:val="002D5E85"/>
    <w:rsid w:val="002E7D1A"/>
    <w:rsid w:val="00303B92"/>
    <w:rsid w:val="00303DF1"/>
    <w:rsid w:val="00305D01"/>
    <w:rsid w:val="00306E66"/>
    <w:rsid w:val="00310B8A"/>
    <w:rsid w:val="00313EB3"/>
    <w:rsid w:val="00325D29"/>
    <w:rsid w:val="003307DF"/>
    <w:rsid w:val="00341F07"/>
    <w:rsid w:val="003444BC"/>
    <w:rsid w:val="00346FAB"/>
    <w:rsid w:val="00347C8D"/>
    <w:rsid w:val="00352503"/>
    <w:rsid w:val="0035479C"/>
    <w:rsid w:val="00377ACB"/>
    <w:rsid w:val="00383AF0"/>
    <w:rsid w:val="00384AEC"/>
    <w:rsid w:val="00387452"/>
    <w:rsid w:val="0039227F"/>
    <w:rsid w:val="003A3AEC"/>
    <w:rsid w:val="003C143E"/>
    <w:rsid w:val="003C5840"/>
    <w:rsid w:val="003C780B"/>
    <w:rsid w:val="003D1426"/>
    <w:rsid w:val="003D2569"/>
    <w:rsid w:val="003D2DA1"/>
    <w:rsid w:val="003E12D6"/>
    <w:rsid w:val="003E3025"/>
    <w:rsid w:val="003E48D0"/>
    <w:rsid w:val="003E4BBE"/>
    <w:rsid w:val="003F47FC"/>
    <w:rsid w:val="003F5DBB"/>
    <w:rsid w:val="00401A35"/>
    <w:rsid w:val="00403B86"/>
    <w:rsid w:val="004041DC"/>
    <w:rsid w:val="00425198"/>
    <w:rsid w:val="0043039D"/>
    <w:rsid w:val="00436B05"/>
    <w:rsid w:val="0044150F"/>
    <w:rsid w:val="00441944"/>
    <w:rsid w:val="0045062E"/>
    <w:rsid w:val="004525D8"/>
    <w:rsid w:val="00456AC1"/>
    <w:rsid w:val="0046107D"/>
    <w:rsid w:val="00463635"/>
    <w:rsid w:val="00463EF3"/>
    <w:rsid w:val="0046599C"/>
    <w:rsid w:val="00470602"/>
    <w:rsid w:val="00476666"/>
    <w:rsid w:val="004767C7"/>
    <w:rsid w:val="0048101E"/>
    <w:rsid w:val="00483B2A"/>
    <w:rsid w:val="00495AB4"/>
    <w:rsid w:val="00497C49"/>
    <w:rsid w:val="004A0631"/>
    <w:rsid w:val="004B7705"/>
    <w:rsid w:val="004C6B9F"/>
    <w:rsid w:val="004D0EAC"/>
    <w:rsid w:val="004E1EAF"/>
    <w:rsid w:val="004F2C4B"/>
    <w:rsid w:val="0050192E"/>
    <w:rsid w:val="00504F2F"/>
    <w:rsid w:val="0050545C"/>
    <w:rsid w:val="005079C0"/>
    <w:rsid w:val="00510450"/>
    <w:rsid w:val="005120DC"/>
    <w:rsid w:val="00515B41"/>
    <w:rsid w:val="005238CE"/>
    <w:rsid w:val="0052418C"/>
    <w:rsid w:val="0052498B"/>
    <w:rsid w:val="00526B8C"/>
    <w:rsid w:val="00535256"/>
    <w:rsid w:val="005364DD"/>
    <w:rsid w:val="0054046E"/>
    <w:rsid w:val="00541C95"/>
    <w:rsid w:val="00547372"/>
    <w:rsid w:val="0055134B"/>
    <w:rsid w:val="00552221"/>
    <w:rsid w:val="00552B37"/>
    <w:rsid w:val="005560E6"/>
    <w:rsid w:val="0055713A"/>
    <w:rsid w:val="00576737"/>
    <w:rsid w:val="00577738"/>
    <w:rsid w:val="00580F0D"/>
    <w:rsid w:val="00592C3E"/>
    <w:rsid w:val="00592F85"/>
    <w:rsid w:val="005938A5"/>
    <w:rsid w:val="005A000C"/>
    <w:rsid w:val="005A0576"/>
    <w:rsid w:val="005A3F49"/>
    <w:rsid w:val="005A404A"/>
    <w:rsid w:val="005A4B83"/>
    <w:rsid w:val="005B0561"/>
    <w:rsid w:val="005B5751"/>
    <w:rsid w:val="005B5F16"/>
    <w:rsid w:val="005E03E9"/>
    <w:rsid w:val="005E18F1"/>
    <w:rsid w:val="005F4140"/>
    <w:rsid w:val="005F4CAA"/>
    <w:rsid w:val="005F6755"/>
    <w:rsid w:val="00601369"/>
    <w:rsid w:val="006016DB"/>
    <w:rsid w:val="00603280"/>
    <w:rsid w:val="00603B81"/>
    <w:rsid w:val="00604EFD"/>
    <w:rsid w:val="00611D5E"/>
    <w:rsid w:val="0061503F"/>
    <w:rsid w:val="00615EFD"/>
    <w:rsid w:val="00622F4F"/>
    <w:rsid w:val="0063325A"/>
    <w:rsid w:val="00640158"/>
    <w:rsid w:val="00640B5B"/>
    <w:rsid w:val="00647753"/>
    <w:rsid w:val="0065306C"/>
    <w:rsid w:val="00655D62"/>
    <w:rsid w:val="00657300"/>
    <w:rsid w:val="006656E7"/>
    <w:rsid w:val="0067634A"/>
    <w:rsid w:val="00681BE3"/>
    <w:rsid w:val="00682C6C"/>
    <w:rsid w:val="00684C8B"/>
    <w:rsid w:val="00686B63"/>
    <w:rsid w:val="006A63A7"/>
    <w:rsid w:val="006B2354"/>
    <w:rsid w:val="006B3824"/>
    <w:rsid w:val="006B6C28"/>
    <w:rsid w:val="006C25D6"/>
    <w:rsid w:val="006C466E"/>
    <w:rsid w:val="006C6097"/>
    <w:rsid w:val="006D79D6"/>
    <w:rsid w:val="006D7AF0"/>
    <w:rsid w:val="006E0BB1"/>
    <w:rsid w:val="006F2745"/>
    <w:rsid w:val="00700D77"/>
    <w:rsid w:val="00701ADE"/>
    <w:rsid w:val="0070301C"/>
    <w:rsid w:val="007059BD"/>
    <w:rsid w:val="00713BE9"/>
    <w:rsid w:val="007202DE"/>
    <w:rsid w:val="00720323"/>
    <w:rsid w:val="00721E1F"/>
    <w:rsid w:val="007220C0"/>
    <w:rsid w:val="007246D7"/>
    <w:rsid w:val="00727646"/>
    <w:rsid w:val="00735ACD"/>
    <w:rsid w:val="00736524"/>
    <w:rsid w:val="007370BE"/>
    <w:rsid w:val="0073785C"/>
    <w:rsid w:val="00741FF1"/>
    <w:rsid w:val="00744F8B"/>
    <w:rsid w:val="0076451F"/>
    <w:rsid w:val="00771A08"/>
    <w:rsid w:val="00777797"/>
    <w:rsid w:val="00777F09"/>
    <w:rsid w:val="00791093"/>
    <w:rsid w:val="00791FA4"/>
    <w:rsid w:val="007A6208"/>
    <w:rsid w:val="007A6A53"/>
    <w:rsid w:val="007B2B80"/>
    <w:rsid w:val="007B4F5B"/>
    <w:rsid w:val="007B712F"/>
    <w:rsid w:val="007C293D"/>
    <w:rsid w:val="007C5C76"/>
    <w:rsid w:val="007C741A"/>
    <w:rsid w:val="007C7846"/>
    <w:rsid w:val="007D48AA"/>
    <w:rsid w:val="007D5AB1"/>
    <w:rsid w:val="007D61D0"/>
    <w:rsid w:val="008058C0"/>
    <w:rsid w:val="00805A00"/>
    <w:rsid w:val="00806BBE"/>
    <w:rsid w:val="008167F4"/>
    <w:rsid w:val="00827A32"/>
    <w:rsid w:val="008370C0"/>
    <w:rsid w:val="00840180"/>
    <w:rsid w:val="0084093E"/>
    <w:rsid w:val="00842E40"/>
    <w:rsid w:val="0084640A"/>
    <w:rsid w:val="00846D0D"/>
    <w:rsid w:val="00850E79"/>
    <w:rsid w:val="00851ED2"/>
    <w:rsid w:val="00854015"/>
    <w:rsid w:val="00856C89"/>
    <w:rsid w:val="0087130F"/>
    <w:rsid w:val="008713BC"/>
    <w:rsid w:val="00883E96"/>
    <w:rsid w:val="008872BB"/>
    <w:rsid w:val="008C013A"/>
    <w:rsid w:val="008C5BE1"/>
    <w:rsid w:val="008D6222"/>
    <w:rsid w:val="008E76DE"/>
    <w:rsid w:val="008F2867"/>
    <w:rsid w:val="008F28A4"/>
    <w:rsid w:val="008F30FB"/>
    <w:rsid w:val="008F4F0A"/>
    <w:rsid w:val="008F6B37"/>
    <w:rsid w:val="0090450F"/>
    <w:rsid w:val="0090535C"/>
    <w:rsid w:val="00912F0C"/>
    <w:rsid w:val="00915934"/>
    <w:rsid w:val="009161D7"/>
    <w:rsid w:val="009303D0"/>
    <w:rsid w:val="0093635F"/>
    <w:rsid w:val="00941E73"/>
    <w:rsid w:val="009451C9"/>
    <w:rsid w:val="00953234"/>
    <w:rsid w:val="0095751E"/>
    <w:rsid w:val="00964D77"/>
    <w:rsid w:val="00964F9C"/>
    <w:rsid w:val="0096561A"/>
    <w:rsid w:val="00967FE0"/>
    <w:rsid w:val="00972743"/>
    <w:rsid w:val="00972BEC"/>
    <w:rsid w:val="0098137D"/>
    <w:rsid w:val="0098385B"/>
    <w:rsid w:val="009866B0"/>
    <w:rsid w:val="009915AC"/>
    <w:rsid w:val="009933B3"/>
    <w:rsid w:val="009A7E5E"/>
    <w:rsid w:val="009B5C6E"/>
    <w:rsid w:val="009C65E5"/>
    <w:rsid w:val="009D090D"/>
    <w:rsid w:val="009D14F6"/>
    <w:rsid w:val="009D291C"/>
    <w:rsid w:val="009D3939"/>
    <w:rsid w:val="009D4879"/>
    <w:rsid w:val="009E05A6"/>
    <w:rsid w:val="009E07AA"/>
    <w:rsid w:val="009E0B3E"/>
    <w:rsid w:val="009E417B"/>
    <w:rsid w:val="009E523F"/>
    <w:rsid w:val="009F13D3"/>
    <w:rsid w:val="009F1BB3"/>
    <w:rsid w:val="009F3DB5"/>
    <w:rsid w:val="009F538C"/>
    <w:rsid w:val="00A11E37"/>
    <w:rsid w:val="00A275F1"/>
    <w:rsid w:val="00A3170D"/>
    <w:rsid w:val="00A50E84"/>
    <w:rsid w:val="00A52198"/>
    <w:rsid w:val="00A56D97"/>
    <w:rsid w:val="00A6240E"/>
    <w:rsid w:val="00A673AD"/>
    <w:rsid w:val="00A72907"/>
    <w:rsid w:val="00A75DEC"/>
    <w:rsid w:val="00A907E0"/>
    <w:rsid w:val="00A92C45"/>
    <w:rsid w:val="00A96989"/>
    <w:rsid w:val="00AA1649"/>
    <w:rsid w:val="00AA165E"/>
    <w:rsid w:val="00AA2E0C"/>
    <w:rsid w:val="00AA689E"/>
    <w:rsid w:val="00AD4274"/>
    <w:rsid w:val="00AE1912"/>
    <w:rsid w:val="00AE5793"/>
    <w:rsid w:val="00AE736D"/>
    <w:rsid w:val="00AE75F4"/>
    <w:rsid w:val="00AF33A1"/>
    <w:rsid w:val="00AF390B"/>
    <w:rsid w:val="00AF5A2A"/>
    <w:rsid w:val="00AF7432"/>
    <w:rsid w:val="00B0063D"/>
    <w:rsid w:val="00B024B0"/>
    <w:rsid w:val="00B06156"/>
    <w:rsid w:val="00B078DA"/>
    <w:rsid w:val="00B12559"/>
    <w:rsid w:val="00B20FC6"/>
    <w:rsid w:val="00B210F3"/>
    <w:rsid w:val="00B21268"/>
    <w:rsid w:val="00B25AC7"/>
    <w:rsid w:val="00B2758B"/>
    <w:rsid w:val="00B31078"/>
    <w:rsid w:val="00B3222D"/>
    <w:rsid w:val="00B35D81"/>
    <w:rsid w:val="00B37753"/>
    <w:rsid w:val="00B47DE3"/>
    <w:rsid w:val="00B50DC8"/>
    <w:rsid w:val="00B5145A"/>
    <w:rsid w:val="00B64674"/>
    <w:rsid w:val="00B768B0"/>
    <w:rsid w:val="00B77EA7"/>
    <w:rsid w:val="00B81A4B"/>
    <w:rsid w:val="00B85E2B"/>
    <w:rsid w:val="00B877C1"/>
    <w:rsid w:val="00B964C6"/>
    <w:rsid w:val="00BC03F0"/>
    <w:rsid w:val="00BC4050"/>
    <w:rsid w:val="00BC4647"/>
    <w:rsid w:val="00BC4A02"/>
    <w:rsid w:val="00BC7345"/>
    <w:rsid w:val="00BD3449"/>
    <w:rsid w:val="00BE124F"/>
    <w:rsid w:val="00BE7298"/>
    <w:rsid w:val="00BF49DF"/>
    <w:rsid w:val="00BF5919"/>
    <w:rsid w:val="00C022E7"/>
    <w:rsid w:val="00C0373E"/>
    <w:rsid w:val="00C05263"/>
    <w:rsid w:val="00C065C9"/>
    <w:rsid w:val="00C07CA1"/>
    <w:rsid w:val="00C1573C"/>
    <w:rsid w:val="00C17CB2"/>
    <w:rsid w:val="00C201E6"/>
    <w:rsid w:val="00C24E6D"/>
    <w:rsid w:val="00C25C48"/>
    <w:rsid w:val="00C275B6"/>
    <w:rsid w:val="00C31634"/>
    <w:rsid w:val="00C34FFA"/>
    <w:rsid w:val="00C37048"/>
    <w:rsid w:val="00C512A8"/>
    <w:rsid w:val="00C54C23"/>
    <w:rsid w:val="00C601E8"/>
    <w:rsid w:val="00C64FA4"/>
    <w:rsid w:val="00C72BF3"/>
    <w:rsid w:val="00C73D9C"/>
    <w:rsid w:val="00C823B2"/>
    <w:rsid w:val="00C87544"/>
    <w:rsid w:val="00C95E2F"/>
    <w:rsid w:val="00C969C7"/>
    <w:rsid w:val="00CA1BE0"/>
    <w:rsid w:val="00CA52DE"/>
    <w:rsid w:val="00CB02C9"/>
    <w:rsid w:val="00CB62BD"/>
    <w:rsid w:val="00CC340F"/>
    <w:rsid w:val="00CC5FED"/>
    <w:rsid w:val="00CC70AE"/>
    <w:rsid w:val="00CD1D21"/>
    <w:rsid w:val="00CD7317"/>
    <w:rsid w:val="00CD7571"/>
    <w:rsid w:val="00CE6D1D"/>
    <w:rsid w:val="00CE7F82"/>
    <w:rsid w:val="00CF58EB"/>
    <w:rsid w:val="00CF5B8D"/>
    <w:rsid w:val="00D001DA"/>
    <w:rsid w:val="00D016FB"/>
    <w:rsid w:val="00D07CEE"/>
    <w:rsid w:val="00D108A5"/>
    <w:rsid w:val="00D1163C"/>
    <w:rsid w:val="00D14BF4"/>
    <w:rsid w:val="00D15080"/>
    <w:rsid w:val="00D210CE"/>
    <w:rsid w:val="00D27733"/>
    <w:rsid w:val="00D27FFC"/>
    <w:rsid w:val="00D30D46"/>
    <w:rsid w:val="00D31E5C"/>
    <w:rsid w:val="00D4404C"/>
    <w:rsid w:val="00D45ADE"/>
    <w:rsid w:val="00D51DD3"/>
    <w:rsid w:val="00D5222C"/>
    <w:rsid w:val="00D5716B"/>
    <w:rsid w:val="00D62D55"/>
    <w:rsid w:val="00D660C0"/>
    <w:rsid w:val="00D7313C"/>
    <w:rsid w:val="00D769E2"/>
    <w:rsid w:val="00D9188D"/>
    <w:rsid w:val="00D944C8"/>
    <w:rsid w:val="00DA2F0A"/>
    <w:rsid w:val="00DA596C"/>
    <w:rsid w:val="00DC1C1E"/>
    <w:rsid w:val="00DC3560"/>
    <w:rsid w:val="00DD6A3E"/>
    <w:rsid w:val="00DD6EC3"/>
    <w:rsid w:val="00DE1820"/>
    <w:rsid w:val="00DE3353"/>
    <w:rsid w:val="00DE43F2"/>
    <w:rsid w:val="00DF5F9D"/>
    <w:rsid w:val="00DF6821"/>
    <w:rsid w:val="00DF79FB"/>
    <w:rsid w:val="00E00037"/>
    <w:rsid w:val="00E0224C"/>
    <w:rsid w:val="00E03FCE"/>
    <w:rsid w:val="00E05E1C"/>
    <w:rsid w:val="00E06E6F"/>
    <w:rsid w:val="00E12794"/>
    <w:rsid w:val="00E15B05"/>
    <w:rsid w:val="00E17AF1"/>
    <w:rsid w:val="00E3152A"/>
    <w:rsid w:val="00E3244D"/>
    <w:rsid w:val="00E340E2"/>
    <w:rsid w:val="00E53E5A"/>
    <w:rsid w:val="00E55A8B"/>
    <w:rsid w:val="00E56EAC"/>
    <w:rsid w:val="00E665B1"/>
    <w:rsid w:val="00E77256"/>
    <w:rsid w:val="00E80FBD"/>
    <w:rsid w:val="00E83BCE"/>
    <w:rsid w:val="00E92C6E"/>
    <w:rsid w:val="00E92C9F"/>
    <w:rsid w:val="00E9384C"/>
    <w:rsid w:val="00EA1BD8"/>
    <w:rsid w:val="00EA3FDE"/>
    <w:rsid w:val="00EB5160"/>
    <w:rsid w:val="00EB5D6D"/>
    <w:rsid w:val="00EB661E"/>
    <w:rsid w:val="00EC2F76"/>
    <w:rsid w:val="00EC4476"/>
    <w:rsid w:val="00ED08FF"/>
    <w:rsid w:val="00ED22A3"/>
    <w:rsid w:val="00ED56A4"/>
    <w:rsid w:val="00EE315C"/>
    <w:rsid w:val="00EE4852"/>
    <w:rsid w:val="00EE755D"/>
    <w:rsid w:val="00EF1FE2"/>
    <w:rsid w:val="00EF704F"/>
    <w:rsid w:val="00EF7AED"/>
    <w:rsid w:val="00F00100"/>
    <w:rsid w:val="00F00D89"/>
    <w:rsid w:val="00F06620"/>
    <w:rsid w:val="00F07FE2"/>
    <w:rsid w:val="00F146DF"/>
    <w:rsid w:val="00F17AB7"/>
    <w:rsid w:val="00F31848"/>
    <w:rsid w:val="00F33A97"/>
    <w:rsid w:val="00F348BE"/>
    <w:rsid w:val="00F3548B"/>
    <w:rsid w:val="00F364D1"/>
    <w:rsid w:val="00F514BB"/>
    <w:rsid w:val="00F523A6"/>
    <w:rsid w:val="00F535C3"/>
    <w:rsid w:val="00F66803"/>
    <w:rsid w:val="00F675DA"/>
    <w:rsid w:val="00F761A1"/>
    <w:rsid w:val="00F824D3"/>
    <w:rsid w:val="00F8495F"/>
    <w:rsid w:val="00F869B8"/>
    <w:rsid w:val="00F95DC1"/>
    <w:rsid w:val="00F96F84"/>
    <w:rsid w:val="00FA4453"/>
    <w:rsid w:val="00FB20FE"/>
    <w:rsid w:val="00FB2FD6"/>
    <w:rsid w:val="00FB34A7"/>
    <w:rsid w:val="00FC307D"/>
    <w:rsid w:val="00FD1AC8"/>
    <w:rsid w:val="00FD706D"/>
    <w:rsid w:val="00FD7BA7"/>
    <w:rsid w:val="00FE0CF8"/>
    <w:rsid w:val="00FE39BD"/>
    <w:rsid w:val="00FE502B"/>
    <w:rsid w:val="00FF478A"/>
    <w:rsid w:val="03B2469C"/>
    <w:rsid w:val="042A0CA0"/>
    <w:rsid w:val="04785EAF"/>
    <w:rsid w:val="078B5222"/>
    <w:rsid w:val="07DA0B42"/>
    <w:rsid w:val="08B50556"/>
    <w:rsid w:val="0A31650A"/>
    <w:rsid w:val="0A623A94"/>
    <w:rsid w:val="0B8D747A"/>
    <w:rsid w:val="0C2374C2"/>
    <w:rsid w:val="0C2800DB"/>
    <w:rsid w:val="0C3D5A58"/>
    <w:rsid w:val="13117193"/>
    <w:rsid w:val="1356689A"/>
    <w:rsid w:val="15026B67"/>
    <w:rsid w:val="17D96A05"/>
    <w:rsid w:val="19F73D5C"/>
    <w:rsid w:val="1B9D071E"/>
    <w:rsid w:val="1BA84FDC"/>
    <w:rsid w:val="1BD03052"/>
    <w:rsid w:val="1BE726CF"/>
    <w:rsid w:val="1CC478C9"/>
    <w:rsid w:val="1D6B4655"/>
    <w:rsid w:val="1D997ECC"/>
    <w:rsid w:val="1E857F71"/>
    <w:rsid w:val="1F5D7A3B"/>
    <w:rsid w:val="22312721"/>
    <w:rsid w:val="22700620"/>
    <w:rsid w:val="24361832"/>
    <w:rsid w:val="248C7065"/>
    <w:rsid w:val="25B6299A"/>
    <w:rsid w:val="2B0634D9"/>
    <w:rsid w:val="2BF75ED5"/>
    <w:rsid w:val="2E167A29"/>
    <w:rsid w:val="2E6E5EBA"/>
    <w:rsid w:val="30350239"/>
    <w:rsid w:val="306A1A2D"/>
    <w:rsid w:val="31C102B1"/>
    <w:rsid w:val="32210257"/>
    <w:rsid w:val="34155C2D"/>
    <w:rsid w:val="35D6274C"/>
    <w:rsid w:val="37F91FA8"/>
    <w:rsid w:val="3AA31506"/>
    <w:rsid w:val="3B27392F"/>
    <w:rsid w:val="3C0C6B87"/>
    <w:rsid w:val="3DD50947"/>
    <w:rsid w:val="3EB407D8"/>
    <w:rsid w:val="3EFB607D"/>
    <w:rsid w:val="40AE2A0E"/>
    <w:rsid w:val="441F0061"/>
    <w:rsid w:val="44906A00"/>
    <w:rsid w:val="44B21CE6"/>
    <w:rsid w:val="461D5C00"/>
    <w:rsid w:val="466F50E6"/>
    <w:rsid w:val="49AF4D54"/>
    <w:rsid w:val="49B0521A"/>
    <w:rsid w:val="4D246373"/>
    <w:rsid w:val="4D83229D"/>
    <w:rsid w:val="4D8324CA"/>
    <w:rsid w:val="4E8567CB"/>
    <w:rsid w:val="4EC76F1B"/>
    <w:rsid w:val="500A5F00"/>
    <w:rsid w:val="51D72AFD"/>
    <w:rsid w:val="554D70A2"/>
    <w:rsid w:val="56A41172"/>
    <w:rsid w:val="56A84E2A"/>
    <w:rsid w:val="59362F17"/>
    <w:rsid w:val="59834AC9"/>
    <w:rsid w:val="5AD325D0"/>
    <w:rsid w:val="5AF055CD"/>
    <w:rsid w:val="5B4A2162"/>
    <w:rsid w:val="5D027239"/>
    <w:rsid w:val="5FA33B39"/>
    <w:rsid w:val="6274486A"/>
    <w:rsid w:val="63375412"/>
    <w:rsid w:val="64EF3B8F"/>
    <w:rsid w:val="657C2DDE"/>
    <w:rsid w:val="65C069C3"/>
    <w:rsid w:val="65CB5AD5"/>
    <w:rsid w:val="67C017B0"/>
    <w:rsid w:val="6B53042A"/>
    <w:rsid w:val="6C4F6842"/>
    <w:rsid w:val="6CAB1D34"/>
    <w:rsid w:val="6E313F73"/>
    <w:rsid w:val="6E87341B"/>
    <w:rsid w:val="6EFA740C"/>
    <w:rsid w:val="6F40247A"/>
    <w:rsid w:val="6FC15FB8"/>
    <w:rsid w:val="71563B04"/>
    <w:rsid w:val="73807E37"/>
    <w:rsid w:val="751809A1"/>
    <w:rsid w:val="76863A58"/>
    <w:rsid w:val="77E3782D"/>
    <w:rsid w:val="7869166A"/>
    <w:rsid w:val="78992B1D"/>
    <w:rsid w:val="7A745908"/>
    <w:rsid w:val="7AA95F54"/>
    <w:rsid w:val="7B206CDA"/>
    <w:rsid w:val="7BC43B2B"/>
    <w:rsid w:val="7C883B46"/>
    <w:rsid w:val="7CD7634B"/>
    <w:rsid w:val="7D1B20B5"/>
    <w:rsid w:val="7DFA2446"/>
    <w:rsid w:val="7FCE382A"/>
    <w:rsid w:val="7FE0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FE2E1-F857-4853-93D0-B3C446D8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7">
    <w:name w:val="annotation subject"/>
    <w:basedOn w:val="a3"/>
    <w:next w:val="a3"/>
    <w:link w:val="Char3"/>
    <w:uiPriority w:val="99"/>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Pr>
      <w:color w:val="0000FF"/>
      <w:u w:val="single"/>
    </w:rPr>
  </w:style>
  <w:style w:type="character" w:styleId="aa">
    <w:name w:val="annotation reference"/>
    <w:uiPriority w:val="99"/>
    <w:unhideWhenUsed/>
    <w:qFormat/>
    <w:rPr>
      <w:sz w:val="21"/>
      <w:szCs w:val="21"/>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
    <w:name w:val="批注文字 Char"/>
    <w:link w:val="a3"/>
    <w:uiPriority w:val="99"/>
    <w:semiHidden/>
    <w:qFormat/>
    <w:rPr>
      <w:rFonts w:ascii="Times New Roman" w:hAnsi="Times New Roman"/>
      <w:kern w:val="2"/>
      <w:sz w:val="21"/>
    </w:rPr>
  </w:style>
  <w:style w:type="character" w:customStyle="1" w:styleId="Char0">
    <w:name w:val="批注框文本 Char"/>
    <w:link w:val="a4"/>
    <w:uiPriority w:val="99"/>
    <w:semiHidden/>
    <w:qFormat/>
    <w:rPr>
      <w:rFonts w:ascii="Times New Roman" w:hAnsi="Times New Roman"/>
      <w:kern w:val="2"/>
      <w:sz w:val="18"/>
      <w:szCs w:val="18"/>
    </w:rPr>
  </w:style>
  <w:style w:type="character" w:customStyle="1" w:styleId="Char1">
    <w:name w:val="页脚 Char"/>
    <w:link w:val="a5"/>
    <w:uiPriority w:val="99"/>
    <w:qFormat/>
    <w:rPr>
      <w:sz w:val="18"/>
      <w:szCs w:val="18"/>
    </w:rPr>
  </w:style>
  <w:style w:type="character" w:customStyle="1" w:styleId="Char2">
    <w:name w:val="页眉 Char"/>
    <w:link w:val="a6"/>
    <w:uiPriority w:val="99"/>
    <w:qFormat/>
    <w:rPr>
      <w:sz w:val="18"/>
      <w:szCs w:val="18"/>
    </w:rPr>
  </w:style>
  <w:style w:type="character" w:customStyle="1" w:styleId="HTMLChar">
    <w:name w:val="HTML 预设格式 Char"/>
    <w:link w:val="HTML"/>
    <w:uiPriority w:val="99"/>
    <w:semiHidden/>
    <w:qFormat/>
    <w:rPr>
      <w:rFonts w:ascii="宋体" w:hAnsi="宋体" w:cs="宋体"/>
      <w:sz w:val="24"/>
      <w:szCs w:val="24"/>
    </w:rPr>
  </w:style>
  <w:style w:type="character" w:customStyle="1" w:styleId="Char3">
    <w:name w:val="批注主题 Char"/>
    <w:link w:val="a7"/>
    <w:uiPriority w:val="99"/>
    <w:semiHidden/>
    <w:qFormat/>
    <w:rPr>
      <w:rFonts w:ascii="Times New Roman" w:hAnsi="Times New Roman"/>
      <w:b/>
      <w:bCs/>
      <w:kern w:val="2"/>
      <w:sz w:val="21"/>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styleId="ab">
    <w:name w:val="List Paragraph"/>
    <w:basedOn w:val="a"/>
    <w:uiPriority w:val="34"/>
    <w:qFormat/>
    <w:pPr>
      <w:ind w:firstLineChars="200" w:firstLine="420"/>
    </w:pPr>
    <w:rPr>
      <w:rFonts w:ascii="Calibri" w:hAnsi="Calibri"/>
      <w:szCs w:val="22"/>
    </w:rPr>
  </w:style>
  <w:style w:type="paragraph" w:customStyle="1" w:styleId="Style22">
    <w:name w:val="_Style 22"/>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张忠琪</cp:lastModifiedBy>
  <cp:revision>16</cp:revision>
  <cp:lastPrinted>2022-11-14T09:48:00Z</cp:lastPrinted>
  <dcterms:created xsi:type="dcterms:W3CDTF">2024-09-12T08:30:00Z</dcterms:created>
  <dcterms:modified xsi:type="dcterms:W3CDTF">2024-12-12T10:00:00Z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63305BBDE8424E66BBB4466695BB345B_13</vt:lpwstr>
  </property>
</Properties>
</file>