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56" w:beforeLines="50" w:after="156" w:afterLines="50" w:line="360" w:lineRule="auto"/>
        <w:ind w:firstLine="0" w:firstLineChars="0"/>
        <w:jc w:val="center"/>
        <w:outlineLvl w:val="1"/>
        <w:rPr>
          <w:rFonts w:hint="eastAsia"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投资者关系活动记录表</w:t>
      </w:r>
    </w:p>
    <w:p>
      <w:pPr>
        <w:keepNext/>
        <w:keepLines/>
        <w:widowControl w:val="0"/>
        <w:spacing w:before="260" w:after="260" w:line="360" w:lineRule="auto"/>
        <w:ind w:firstLine="482" w:firstLineChars="0"/>
        <w:jc w:val="right"/>
        <w:outlineLvl w:val="1"/>
        <w:rPr>
          <w:rFonts w:hint="eastAsia"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编号：2024-013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>
            <w:pPr>
              <w:widowControl w:val="0"/>
              <w:spacing w:line="360" w:lineRule="auto"/>
              <w:ind w:firstLine="482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√特定对象调研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分析师会议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业绩说明会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路演活动</w:t>
            </w:r>
          </w:p>
          <w:p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电话会议</w:t>
            </w:r>
          </w:p>
          <w:p>
            <w:pPr>
              <w:widowControl w:val="0"/>
              <w:tabs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参与单位名称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2798"/>
              </w:tabs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山西证券、华夏未来资本、汐泰投资、拾贝投资、博裕资本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2024年12月12日13:30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4:3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黄兴良、苏敏、潘超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Q1.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公司整体情况变化？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答：2024年一季度是低点，后续整体订单情况在逐步回升。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Q2.公司订单的回升趋势如何？产销量情况？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答：公司无纬布订单还是饱和的。纤维产品基本满产。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Q3.国投集团对公司业绩、市值管理是怎样的要求？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答：之前召开的会议都在提倡市值管理和业绩考核，国资委要求打造第二曲线。国投集团紧跟国家政策，同时给公司留有发展的空间，支持同益中打造新材料产业平台，持续做大做强。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Q4.预计超美斯未来业绩的情况是怎样的？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答：公司预计超美斯在年底或明年年初完成交割，第一步先平稳过渡，保持超美斯经营稳定；一年后进行磨合整合，预期新的投入将带来新的增长。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Q5.超美斯股东为什么要出售所持股份？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答：作为基金股东，基金投资有时间要求，且不能重复投一个项目，只能出售。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Q6.公司三季度纤维和UD的销量是什么水平？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答：纤维和UD在三季度比较平衡。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Q7.公司三季度纤维和UD的成本是多少？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答：随着新产线开始生产和产能释放，平均成本有所下降。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Q8.公司明年大概增量如何？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答：从产能角度，公司明年产能应该能达到8000多吨，复材建设项目都已完成。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Q9.国投集团想把同益中打造成什么样的公司？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同益中作为国投集团的新材料整合平台，对标世界一流企业，将继续坚持“立足高强PE，超越高强PE，以科技创新和国际化为导向，提供特种纤维及安全防护领域整体解决方案，做行业的领导者，建设成为国际知名的新材料科技公司”的战略定位，聚焦主责主业的同时，根据市场需求的情况，选取具有科创属性的、能产生协同效应的上下游优良标的，进一步做大做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附件清单（如有）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2024年12月12日</w:t>
            </w:r>
          </w:p>
        </w:tc>
      </w:tr>
    </w:tbl>
    <w:p>
      <w:pPr>
        <w:widowControl w:val="0"/>
        <w:ind w:firstLine="640" w:firstLineChars="0"/>
        <w:jc w:val="both"/>
        <w:rPr>
          <w:rFonts w:hint="eastAsia" w:ascii="等线" w:hAnsi="等线" w:eastAsia="等线"/>
          <w:kern w:val="2"/>
          <w:sz w:val="21"/>
          <w:szCs w:val="22"/>
        </w:rPr>
      </w:pPr>
    </w:p>
    <w:p>
      <w:pPr>
        <w:keepNext/>
        <w:keepLines/>
        <w:widowControl w:val="0"/>
        <w:spacing w:before="156" w:beforeLines="50" w:after="156" w:afterLines="50" w:line="360" w:lineRule="auto"/>
        <w:ind w:firstLine="0" w:firstLineChars="0"/>
        <w:jc w:val="center"/>
        <w:outlineLvl w:val="1"/>
        <w:rPr>
          <w:rFonts w:hint="eastAsia"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br w:type="page"/>
      </w:r>
    </w:p>
    <w:p>
      <w:pPr>
        <w:keepNext/>
        <w:keepLines/>
        <w:widowControl w:val="0"/>
        <w:spacing w:before="156" w:beforeLines="50" w:after="156" w:afterLines="50" w:line="360" w:lineRule="auto"/>
        <w:ind w:firstLine="0" w:firstLineChars="0"/>
        <w:jc w:val="center"/>
        <w:outlineLvl w:val="1"/>
        <w:rPr>
          <w:rFonts w:hint="eastAsia"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投资者关系活动记录表</w:t>
      </w:r>
    </w:p>
    <w:p>
      <w:pPr>
        <w:keepNext/>
        <w:keepLines/>
        <w:widowControl w:val="0"/>
        <w:spacing w:before="260" w:after="260" w:line="360" w:lineRule="auto"/>
        <w:ind w:firstLine="482" w:firstLineChars="0"/>
        <w:jc w:val="right"/>
        <w:outlineLvl w:val="1"/>
        <w:rPr>
          <w:rFonts w:hint="eastAsia"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编号：2024-014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>
            <w:pPr>
              <w:widowControl w:val="0"/>
              <w:spacing w:line="360" w:lineRule="auto"/>
              <w:ind w:firstLine="482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√特定对象调研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分析师会议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业绩说明会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路演活动</w:t>
            </w:r>
          </w:p>
          <w:p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电话会议</w:t>
            </w:r>
          </w:p>
          <w:p>
            <w:pPr>
              <w:widowControl w:val="0"/>
              <w:tabs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参与单位名称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2798"/>
              </w:tabs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申万宏源、华泰资产、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国投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证券、国投瑞银、工银瑞信等等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2024年12月12日14:40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5:4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黄兴良、苏敏、潘超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Q1.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请介绍下超美斯下游客户及管理层方面的情况。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超美斯客户布局较为均匀，下游客户包括安全防护、航空航天、新能源等领域，赛道中有较大的客户。公司收购超美斯满足国资的要求，此次收购不仅是对资产的收购，同时也是对超美斯的品牌、客户、管理团队的认可。为了保持超美斯稳定运营，公司做了一定的人员调整和安排，发挥大家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各自的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优势，实现1+1大于2的目标。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Q2.请问未来芳纶行业竞争情况将会是怎样？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三大高性能纤维竞争目前都存在激烈竞争的态势。同益中并购后，超美斯将持续提升竞争力和综合实力，以应对现有竞争。同时，通过融合，可以在产品方面尝试做一些融合创新，未来高强PE和芳纶的融合将会有新的产品实现差异化的发展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Q3.高性能纤维在机器人领域应用有多大？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答：高性能纤维在此领域有很多应用。同益中在战略上实行纤维+复材的“3+X”战略，X未来有很多可能性。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Q4.今年公司高强PE纤维下游市场情况？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近两年有新产能释放，加上国家新的出口政策，给行业带来新的定位。行业内，今年的竞争还是比较激烈的，同益中不断适应和消化不利因素，现在经营状况逐步在回升。二季度、三季度都有一定的回升。同益中坚持长期可持续发展，增强自己的竞争力。我们相信找到自己合理的定位，会有更好的发展和壮大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Q5.在高强PE产品中，军品占比多少？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答：从收入角度看，大概在40%左右。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Q6.超高分子量聚乙烯纤维，南山智尚还有产能规划，同益中怎么看待后面的竞争压力？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此行业一直有新的产能投入，竞争压力会持续存在。从我们自身看，同益中有自己的核心竞争力，包括产品、成本、研发能力、品牌等等。从毛利率角度看，相对其他公司已披露的毛利率，同益中有着相对优势。另外通过竞争，加速行业老产能的出清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Q7.同益中怎么看四季度下游需求情况和明年的情况？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答：三季度有同比的恢复。后面的形势比较复杂，也有一定的不确定性。整体看，四季度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情况稳中向好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附件清单（如有）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2024年12月12日</w:t>
            </w:r>
          </w:p>
        </w:tc>
      </w:tr>
    </w:tbl>
    <w:p>
      <w:pPr>
        <w:widowControl w:val="0"/>
        <w:ind w:firstLine="640" w:firstLineChars="0"/>
        <w:jc w:val="both"/>
        <w:rPr>
          <w:rFonts w:hint="eastAsia" w:ascii="等线" w:hAnsi="等线" w:eastAsia="等线"/>
          <w:kern w:val="2"/>
          <w:sz w:val="21"/>
          <w:szCs w:val="2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ind w:firstLine="640" w:firstLineChars="0"/>
        <w:jc w:val="both"/>
        <w:rPr>
          <w:rFonts w:hint="eastAsia" w:ascii="等线" w:hAnsi="等线" w:eastAsia="等线"/>
          <w:kern w:val="2"/>
          <w:sz w:val="21"/>
          <w:szCs w:val="22"/>
        </w:rPr>
      </w:pPr>
    </w:p>
    <w:p>
      <w:pPr>
        <w:keepNext/>
        <w:keepLines/>
        <w:widowControl w:val="0"/>
        <w:spacing w:before="156" w:beforeLines="50" w:after="156" w:afterLines="50" w:line="360" w:lineRule="auto"/>
        <w:ind w:firstLine="0" w:firstLineChars="0"/>
        <w:jc w:val="center"/>
        <w:outlineLvl w:val="1"/>
        <w:rPr>
          <w:rFonts w:hint="eastAsia"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投资者关系活动记录表</w:t>
      </w:r>
    </w:p>
    <w:p>
      <w:pPr>
        <w:keepNext/>
        <w:keepLines/>
        <w:widowControl w:val="0"/>
        <w:spacing w:before="260" w:after="260" w:line="360" w:lineRule="auto"/>
        <w:ind w:firstLine="482" w:firstLineChars="0"/>
        <w:jc w:val="right"/>
        <w:outlineLvl w:val="1"/>
        <w:rPr>
          <w:rFonts w:hint="eastAsia"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编号：2024-015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>
            <w:pPr>
              <w:widowControl w:val="0"/>
              <w:spacing w:line="360" w:lineRule="auto"/>
              <w:ind w:firstLine="482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√特定对象调研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分析师会议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业绩说明会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路演活动</w:t>
            </w:r>
          </w:p>
          <w:p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电话会议</w:t>
            </w:r>
          </w:p>
          <w:p>
            <w:pPr>
              <w:widowControl w:val="0"/>
              <w:tabs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  <w:t>参与单位名称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2798"/>
              </w:tabs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中信建投证券、睿诚投资、阳光资产、长信基金等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2024年12月12日15:50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6:5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黄兴良、苏敏、潘超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Q1.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请介绍下同益中今年产能增加情况。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答：同益中今年总产能增加约3000吨。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Q2.同益中复材订单回升是基于哪种原因？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答：一是之前订单有所延迟，继续执行之前订单；二是国内销量增长较大；三是出口政策明确后，在所允许范围内外贸销量有所增加。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Q3.怎么看待明年的外贸情况？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答：从国际角度看，国际形势不稳定，高强PE作为保护需求，有较大潜力；从订单来看，市场正在回暖。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Q4.目前高强PE纤维和复材的价格及竞争情况如何？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目前来看，高强PE纤维整体价格下降较大，但也因此刺激市场新的应用，价格下降会促使落后无竞争力的产能出清。同益中的财务指标相对较好，整体毛利率维持在30%以上，产品结构齐全，也具有一定的成本优势，经营现金流较好，经营质量较高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Q5.预计超美斯2-3年的营收到什么水平？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答：同益中计划第一年先平稳过渡，进行融合提升、迭代产线和设备。预计3年后利润会到一个较好的水平。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Q6.同益中对新领域布局的设想是怎样的？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答：同益中后续会尝试在产品上进行融合创新，未来高强PE和芳纶的融合将会有新的产品实现差异化的发展。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Q7.目前同益中可见的订单周期是多长？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答：纤维具有多批次情况，随时准备；UD订单一般是两三个月；制品订单是三至六个月。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Q8.公司目前订单和出口方面怎样？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答：公司目前订单较为正常。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Q9.公司对于机器人下游材料是否做了相关测试？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答：公司目前暂没有做相关测试。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Q10.请简略谈下公司对明年高强PE业务的展望。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答：第一是消化现有产能；第二是持续降本；第三是提高产品性能。公司相信明年应该会更好。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Q11.目前高强PE价格在下降，那么在民用领域是否有新兴的应用在增长？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答：在民品端还是有较大的增长潜力，有新的尝试开发，比如做鞋面、鞋带等，具体能不能突破，能成长到多大还不明朗，目前展现的是成长更多一些。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附件清单（如有）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2024年12月12日</w:t>
            </w:r>
          </w:p>
        </w:tc>
      </w:tr>
    </w:tbl>
    <w:p>
      <w:pPr>
        <w:widowControl w:val="0"/>
        <w:ind w:firstLine="640" w:firstLineChars="0"/>
        <w:jc w:val="both"/>
        <w:rPr>
          <w:rFonts w:hint="eastAsia" w:ascii="等线" w:hAnsi="等线" w:eastAsia="等线"/>
          <w:kern w:val="2"/>
          <w:sz w:val="21"/>
          <w:szCs w:val="22"/>
        </w:rPr>
      </w:pPr>
    </w:p>
    <w:p>
      <w:pPr>
        <w:ind w:firstLine="64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A"/>
    <w:rsid w:val="0000349A"/>
    <w:rsid w:val="00005CB1"/>
    <w:rsid w:val="00022845"/>
    <w:rsid w:val="0003081F"/>
    <w:rsid w:val="000359C1"/>
    <w:rsid w:val="000439B2"/>
    <w:rsid w:val="00052A0E"/>
    <w:rsid w:val="00053DE0"/>
    <w:rsid w:val="00076D2E"/>
    <w:rsid w:val="00082E68"/>
    <w:rsid w:val="000859E9"/>
    <w:rsid w:val="000A0F55"/>
    <w:rsid w:val="000A591D"/>
    <w:rsid w:val="000B1741"/>
    <w:rsid w:val="000C52AC"/>
    <w:rsid w:val="000D692C"/>
    <w:rsid w:val="000F7A06"/>
    <w:rsid w:val="00100F6B"/>
    <w:rsid w:val="00121761"/>
    <w:rsid w:val="00123AB5"/>
    <w:rsid w:val="00123D47"/>
    <w:rsid w:val="00127FC3"/>
    <w:rsid w:val="0013327B"/>
    <w:rsid w:val="00150F1B"/>
    <w:rsid w:val="00154F86"/>
    <w:rsid w:val="0017151E"/>
    <w:rsid w:val="001807AB"/>
    <w:rsid w:val="00191AAA"/>
    <w:rsid w:val="001A495D"/>
    <w:rsid w:val="001A77E4"/>
    <w:rsid w:val="001B29A9"/>
    <w:rsid w:val="001B6AE4"/>
    <w:rsid w:val="001C64DA"/>
    <w:rsid w:val="001D2D5A"/>
    <w:rsid w:val="001D6386"/>
    <w:rsid w:val="001E10BA"/>
    <w:rsid w:val="001E1542"/>
    <w:rsid w:val="001E7427"/>
    <w:rsid w:val="001F0723"/>
    <w:rsid w:val="001F32D4"/>
    <w:rsid w:val="001F668A"/>
    <w:rsid w:val="001F70E2"/>
    <w:rsid w:val="00200B7F"/>
    <w:rsid w:val="00215717"/>
    <w:rsid w:val="002218E2"/>
    <w:rsid w:val="002229EC"/>
    <w:rsid w:val="00231CBA"/>
    <w:rsid w:val="00232E50"/>
    <w:rsid w:val="0024360F"/>
    <w:rsid w:val="002602DB"/>
    <w:rsid w:val="00263AF7"/>
    <w:rsid w:val="00290276"/>
    <w:rsid w:val="00293C93"/>
    <w:rsid w:val="002A4006"/>
    <w:rsid w:val="002B23D8"/>
    <w:rsid w:val="002E31E3"/>
    <w:rsid w:val="002E7E27"/>
    <w:rsid w:val="00313AE1"/>
    <w:rsid w:val="003232EE"/>
    <w:rsid w:val="00332EB2"/>
    <w:rsid w:val="00347602"/>
    <w:rsid w:val="0035471F"/>
    <w:rsid w:val="00356A66"/>
    <w:rsid w:val="00365A26"/>
    <w:rsid w:val="0037349D"/>
    <w:rsid w:val="00375B92"/>
    <w:rsid w:val="0038615E"/>
    <w:rsid w:val="003A5375"/>
    <w:rsid w:val="003D1F1D"/>
    <w:rsid w:val="003D7E44"/>
    <w:rsid w:val="003E7880"/>
    <w:rsid w:val="003F25B0"/>
    <w:rsid w:val="003F27D8"/>
    <w:rsid w:val="003F559C"/>
    <w:rsid w:val="003F78BD"/>
    <w:rsid w:val="004164EC"/>
    <w:rsid w:val="004206ED"/>
    <w:rsid w:val="004249A5"/>
    <w:rsid w:val="00464A0F"/>
    <w:rsid w:val="00494F74"/>
    <w:rsid w:val="004D4B52"/>
    <w:rsid w:val="004E0365"/>
    <w:rsid w:val="004F2783"/>
    <w:rsid w:val="00504054"/>
    <w:rsid w:val="005132A6"/>
    <w:rsid w:val="00513E2D"/>
    <w:rsid w:val="005170EA"/>
    <w:rsid w:val="00522547"/>
    <w:rsid w:val="00523EB9"/>
    <w:rsid w:val="005271C6"/>
    <w:rsid w:val="00527B9E"/>
    <w:rsid w:val="00537329"/>
    <w:rsid w:val="00537791"/>
    <w:rsid w:val="00561802"/>
    <w:rsid w:val="0056315A"/>
    <w:rsid w:val="005631C7"/>
    <w:rsid w:val="00565D53"/>
    <w:rsid w:val="00582C94"/>
    <w:rsid w:val="005A18A2"/>
    <w:rsid w:val="005B0BFA"/>
    <w:rsid w:val="005C14A6"/>
    <w:rsid w:val="005C64CF"/>
    <w:rsid w:val="005D5EBB"/>
    <w:rsid w:val="005E0598"/>
    <w:rsid w:val="005E1843"/>
    <w:rsid w:val="005E75EB"/>
    <w:rsid w:val="00602907"/>
    <w:rsid w:val="0060552C"/>
    <w:rsid w:val="006333DD"/>
    <w:rsid w:val="006447A3"/>
    <w:rsid w:val="006574F9"/>
    <w:rsid w:val="006600C3"/>
    <w:rsid w:val="00682E4B"/>
    <w:rsid w:val="00695882"/>
    <w:rsid w:val="006A45FC"/>
    <w:rsid w:val="006A6CCD"/>
    <w:rsid w:val="006B7B42"/>
    <w:rsid w:val="006D189C"/>
    <w:rsid w:val="007077C1"/>
    <w:rsid w:val="00710CBA"/>
    <w:rsid w:val="00711F8C"/>
    <w:rsid w:val="007240AF"/>
    <w:rsid w:val="00734288"/>
    <w:rsid w:val="007358E4"/>
    <w:rsid w:val="00750877"/>
    <w:rsid w:val="00754332"/>
    <w:rsid w:val="007553F1"/>
    <w:rsid w:val="00757C9C"/>
    <w:rsid w:val="0076705F"/>
    <w:rsid w:val="0077076E"/>
    <w:rsid w:val="007873D2"/>
    <w:rsid w:val="00791A84"/>
    <w:rsid w:val="00793B83"/>
    <w:rsid w:val="007A4B09"/>
    <w:rsid w:val="007B3C2B"/>
    <w:rsid w:val="007C307B"/>
    <w:rsid w:val="007C398F"/>
    <w:rsid w:val="007C49A7"/>
    <w:rsid w:val="007D0B41"/>
    <w:rsid w:val="007D1E69"/>
    <w:rsid w:val="007D5F60"/>
    <w:rsid w:val="007E0EE4"/>
    <w:rsid w:val="007E7586"/>
    <w:rsid w:val="007F5328"/>
    <w:rsid w:val="00803B88"/>
    <w:rsid w:val="00813860"/>
    <w:rsid w:val="00815D5C"/>
    <w:rsid w:val="00822581"/>
    <w:rsid w:val="00825546"/>
    <w:rsid w:val="0087222A"/>
    <w:rsid w:val="0087222F"/>
    <w:rsid w:val="008808BF"/>
    <w:rsid w:val="0089022A"/>
    <w:rsid w:val="00897FB6"/>
    <w:rsid w:val="008A1883"/>
    <w:rsid w:val="008C217E"/>
    <w:rsid w:val="008D0B09"/>
    <w:rsid w:val="008D4237"/>
    <w:rsid w:val="008D53D3"/>
    <w:rsid w:val="008E0660"/>
    <w:rsid w:val="009011F4"/>
    <w:rsid w:val="00915CF1"/>
    <w:rsid w:val="00917743"/>
    <w:rsid w:val="00921748"/>
    <w:rsid w:val="00927C89"/>
    <w:rsid w:val="009329EC"/>
    <w:rsid w:val="0093634A"/>
    <w:rsid w:val="00947FBA"/>
    <w:rsid w:val="00950D5C"/>
    <w:rsid w:val="00952D04"/>
    <w:rsid w:val="00955406"/>
    <w:rsid w:val="00956231"/>
    <w:rsid w:val="009675EB"/>
    <w:rsid w:val="00974FE4"/>
    <w:rsid w:val="00975FB5"/>
    <w:rsid w:val="00985F94"/>
    <w:rsid w:val="0099730E"/>
    <w:rsid w:val="009A335B"/>
    <w:rsid w:val="009B484D"/>
    <w:rsid w:val="009D1F37"/>
    <w:rsid w:val="009D3500"/>
    <w:rsid w:val="009D351A"/>
    <w:rsid w:val="009F1BB8"/>
    <w:rsid w:val="009F5371"/>
    <w:rsid w:val="00A2420A"/>
    <w:rsid w:val="00A304A7"/>
    <w:rsid w:val="00A4517B"/>
    <w:rsid w:val="00A45574"/>
    <w:rsid w:val="00A45C82"/>
    <w:rsid w:val="00A51669"/>
    <w:rsid w:val="00A533E9"/>
    <w:rsid w:val="00A73B7F"/>
    <w:rsid w:val="00A90E57"/>
    <w:rsid w:val="00A95A82"/>
    <w:rsid w:val="00A9622D"/>
    <w:rsid w:val="00AA0C22"/>
    <w:rsid w:val="00AC343C"/>
    <w:rsid w:val="00AD132F"/>
    <w:rsid w:val="00AD1B2A"/>
    <w:rsid w:val="00AE45B8"/>
    <w:rsid w:val="00AE4C42"/>
    <w:rsid w:val="00AE5983"/>
    <w:rsid w:val="00AF5895"/>
    <w:rsid w:val="00B017DB"/>
    <w:rsid w:val="00B01E51"/>
    <w:rsid w:val="00B03895"/>
    <w:rsid w:val="00B06151"/>
    <w:rsid w:val="00B10325"/>
    <w:rsid w:val="00B109F7"/>
    <w:rsid w:val="00B114E9"/>
    <w:rsid w:val="00B203D3"/>
    <w:rsid w:val="00B3034F"/>
    <w:rsid w:val="00B3220A"/>
    <w:rsid w:val="00B328DA"/>
    <w:rsid w:val="00B32F30"/>
    <w:rsid w:val="00B3301B"/>
    <w:rsid w:val="00B40FB9"/>
    <w:rsid w:val="00B50D27"/>
    <w:rsid w:val="00B64C06"/>
    <w:rsid w:val="00B83688"/>
    <w:rsid w:val="00B8786B"/>
    <w:rsid w:val="00B92C67"/>
    <w:rsid w:val="00BA1C96"/>
    <w:rsid w:val="00BB067A"/>
    <w:rsid w:val="00BC14A0"/>
    <w:rsid w:val="00BF1EC2"/>
    <w:rsid w:val="00BF767C"/>
    <w:rsid w:val="00C04B96"/>
    <w:rsid w:val="00C12546"/>
    <w:rsid w:val="00C13143"/>
    <w:rsid w:val="00C24C1B"/>
    <w:rsid w:val="00C26CEF"/>
    <w:rsid w:val="00C2715F"/>
    <w:rsid w:val="00C455EA"/>
    <w:rsid w:val="00C465EA"/>
    <w:rsid w:val="00C55A0D"/>
    <w:rsid w:val="00C6133B"/>
    <w:rsid w:val="00C65F17"/>
    <w:rsid w:val="00C80979"/>
    <w:rsid w:val="00C93067"/>
    <w:rsid w:val="00C95269"/>
    <w:rsid w:val="00C9599E"/>
    <w:rsid w:val="00C974C0"/>
    <w:rsid w:val="00CB10D7"/>
    <w:rsid w:val="00CF21D5"/>
    <w:rsid w:val="00D1667F"/>
    <w:rsid w:val="00D207E8"/>
    <w:rsid w:val="00D27B9F"/>
    <w:rsid w:val="00D322CD"/>
    <w:rsid w:val="00D34299"/>
    <w:rsid w:val="00D3459F"/>
    <w:rsid w:val="00D3643E"/>
    <w:rsid w:val="00D378DC"/>
    <w:rsid w:val="00D564BD"/>
    <w:rsid w:val="00D7212D"/>
    <w:rsid w:val="00D740AF"/>
    <w:rsid w:val="00D80DDF"/>
    <w:rsid w:val="00D8198E"/>
    <w:rsid w:val="00DA6BD8"/>
    <w:rsid w:val="00DB297F"/>
    <w:rsid w:val="00DB6E75"/>
    <w:rsid w:val="00DC5B54"/>
    <w:rsid w:val="00DD27B5"/>
    <w:rsid w:val="00DD364F"/>
    <w:rsid w:val="00DD57B4"/>
    <w:rsid w:val="00DF2737"/>
    <w:rsid w:val="00E01477"/>
    <w:rsid w:val="00E22078"/>
    <w:rsid w:val="00E23B0E"/>
    <w:rsid w:val="00E272DA"/>
    <w:rsid w:val="00E32B4D"/>
    <w:rsid w:val="00E41492"/>
    <w:rsid w:val="00E514E5"/>
    <w:rsid w:val="00E55083"/>
    <w:rsid w:val="00E61634"/>
    <w:rsid w:val="00E653D4"/>
    <w:rsid w:val="00E74D21"/>
    <w:rsid w:val="00E97317"/>
    <w:rsid w:val="00EB0724"/>
    <w:rsid w:val="00EC2BBF"/>
    <w:rsid w:val="00EC692B"/>
    <w:rsid w:val="00ED13BD"/>
    <w:rsid w:val="00ED6C3A"/>
    <w:rsid w:val="00F003ED"/>
    <w:rsid w:val="00F27FCD"/>
    <w:rsid w:val="00F3447E"/>
    <w:rsid w:val="00F43D01"/>
    <w:rsid w:val="00F74ABE"/>
    <w:rsid w:val="00FA0079"/>
    <w:rsid w:val="00FA1835"/>
    <w:rsid w:val="00FA5A22"/>
    <w:rsid w:val="00FB1FF7"/>
    <w:rsid w:val="00FC0367"/>
    <w:rsid w:val="00FC129F"/>
    <w:rsid w:val="00FC64E7"/>
    <w:rsid w:val="00FC7F22"/>
    <w:rsid w:val="00FD191B"/>
    <w:rsid w:val="00FD52FF"/>
    <w:rsid w:val="00FD7A78"/>
    <w:rsid w:val="00FE1BCC"/>
    <w:rsid w:val="021979C5"/>
    <w:rsid w:val="0394658D"/>
    <w:rsid w:val="0504144A"/>
    <w:rsid w:val="081D7305"/>
    <w:rsid w:val="08225AF0"/>
    <w:rsid w:val="09FF6454"/>
    <w:rsid w:val="0DE7465B"/>
    <w:rsid w:val="10E7084B"/>
    <w:rsid w:val="10FB7C4C"/>
    <w:rsid w:val="1199286D"/>
    <w:rsid w:val="11B30526"/>
    <w:rsid w:val="121A65F2"/>
    <w:rsid w:val="12F4610E"/>
    <w:rsid w:val="15053E64"/>
    <w:rsid w:val="164E6242"/>
    <w:rsid w:val="16E72704"/>
    <w:rsid w:val="19284730"/>
    <w:rsid w:val="1B0A334F"/>
    <w:rsid w:val="1D9824BA"/>
    <w:rsid w:val="1FF70178"/>
    <w:rsid w:val="20C4156B"/>
    <w:rsid w:val="21AA5544"/>
    <w:rsid w:val="241330BC"/>
    <w:rsid w:val="254C6870"/>
    <w:rsid w:val="25B829A9"/>
    <w:rsid w:val="2671641F"/>
    <w:rsid w:val="27966247"/>
    <w:rsid w:val="2B4734C2"/>
    <w:rsid w:val="315F16D9"/>
    <w:rsid w:val="32FB1B9A"/>
    <w:rsid w:val="344A6A9D"/>
    <w:rsid w:val="36AF5D13"/>
    <w:rsid w:val="38F31D4F"/>
    <w:rsid w:val="39F56811"/>
    <w:rsid w:val="3AEA3ABC"/>
    <w:rsid w:val="3B631480"/>
    <w:rsid w:val="3D351B7B"/>
    <w:rsid w:val="3E730286"/>
    <w:rsid w:val="3EDB2FFD"/>
    <w:rsid w:val="40E13EB9"/>
    <w:rsid w:val="423826E9"/>
    <w:rsid w:val="426F0F16"/>
    <w:rsid w:val="43855351"/>
    <w:rsid w:val="43EC028B"/>
    <w:rsid w:val="442510D9"/>
    <w:rsid w:val="44B86B57"/>
    <w:rsid w:val="4ABE057B"/>
    <w:rsid w:val="4B01400A"/>
    <w:rsid w:val="4F4C48A4"/>
    <w:rsid w:val="4F877ECE"/>
    <w:rsid w:val="50DD7C51"/>
    <w:rsid w:val="59DF4C89"/>
    <w:rsid w:val="59FB1240"/>
    <w:rsid w:val="5A4B5E6B"/>
    <w:rsid w:val="5BBA55DA"/>
    <w:rsid w:val="5C0A0310"/>
    <w:rsid w:val="5EE70604"/>
    <w:rsid w:val="5F613231"/>
    <w:rsid w:val="606C19E3"/>
    <w:rsid w:val="614451E9"/>
    <w:rsid w:val="624A187C"/>
    <w:rsid w:val="64434904"/>
    <w:rsid w:val="64F667B6"/>
    <w:rsid w:val="654140C2"/>
    <w:rsid w:val="66682C0E"/>
    <w:rsid w:val="66DF73D5"/>
    <w:rsid w:val="68AE231B"/>
    <w:rsid w:val="69AA5856"/>
    <w:rsid w:val="6B241F0D"/>
    <w:rsid w:val="6B3622F2"/>
    <w:rsid w:val="6CA908F6"/>
    <w:rsid w:val="71F37403"/>
    <w:rsid w:val="75681F2D"/>
    <w:rsid w:val="77252516"/>
    <w:rsid w:val="77264227"/>
    <w:rsid w:val="7CA552EE"/>
    <w:rsid w:val="7CFA4897"/>
    <w:rsid w:val="7D00301C"/>
    <w:rsid w:val="7D9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link w:val="16"/>
    <w:qFormat/>
    <w:uiPriority w:val="9"/>
    <w:pPr>
      <w:adjustRightInd w:val="0"/>
      <w:snapToGrid w:val="0"/>
      <w:spacing w:line="600" w:lineRule="exact"/>
      <w:ind w:firstLine="640"/>
      <w:outlineLvl w:val="0"/>
    </w:pPr>
    <w:rPr>
      <w:rFonts w:ascii="黑体" w:hAnsi="黑体" w:eastAsia="黑体"/>
    </w:rPr>
  </w:style>
  <w:style w:type="paragraph" w:styleId="5">
    <w:name w:val="heading 2"/>
    <w:basedOn w:val="3"/>
    <w:next w:val="4"/>
    <w:link w:val="15"/>
    <w:unhideWhenUsed/>
    <w:qFormat/>
    <w:uiPriority w:val="9"/>
    <w:pPr>
      <w:adjustRightInd w:val="0"/>
      <w:snapToGrid w:val="0"/>
      <w:spacing w:line="600" w:lineRule="exact"/>
      <w:ind w:firstLine="640"/>
      <w:outlineLvl w:val="1"/>
    </w:pPr>
    <w:rPr>
      <w:rFonts w:ascii="楷体" w:hAnsi="楷体" w:eastAsia="楷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customStyle="1" w:styleId="4">
    <w:name w:val="公文正文"/>
    <w:basedOn w:val="1"/>
    <w:link w:val="18"/>
    <w:qFormat/>
    <w:uiPriority w:val="0"/>
    <w:pPr>
      <w:adjustRightInd w:val="0"/>
      <w:snapToGrid w:val="0"/>
      <w:spacing w:line="600" w:lineRule="exact"/>
    </w:pPr>
  </w:style>
  <w:style w:type="paragraph" w:styleId="6">
    <w:name w:val="annotation text"/>
    <w:basedOn w:val="1"/>
    <w:link w:val="22"/>
    <w:semiHidden/>
    <w:unhideWhenUsed/>
    <w:qFormat/>
    <w:uiPriority w:val="99"/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qFormat/>
    <w:uiPriority w:val="10"/>
    <w:pPr>
      <w:jc w:val="center"/>
    </w:pPr>
    <w:rPr>
      <w:rFonts w:ascii="宋体" w:hAnsi="宋体" w:eastAsia="宋体" w:cs="宋体"/>
      <w:b/>
      <w:bCs/>
      <w:sz w:val="40"/>
      <w:szCs w:val="40"/>
    </w:rPr>
  </w:style>
  <w:style w:type="paragraph" w:styleId="11">
    <w:name w:val="annotation subject"/>
    <w:basedOn w:val="6"/>
    <w:next w:val="6"/>
    <w:link w:val="23"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3"/>
    <w:link w:val="5"/>
    <w:qFormat/>
    <w:uiPriority w:val="9"/>
    <w:rPr>
      <w:rFonts w:ascii="楷体" w:hAnsi="楷体" w:eastAsia="楷体"/>
      <w:sz w:val="32"/>
      <w:szCs w:val="32"/>
    </w:rPr>
  </w:style>
  <w:style w:type="character" w:customStyle="1" w:styleId="16">
    <w:name w:val="标题 1 字符"/>
    <w:basedOn w:val="13"/>
    <w:link w:val="2"/>
    <w:qFormat/>
    <w:uiPriority w:val="9"/>
    <w:rPr>
      <w:rFonts w:ascii="黑体" w:hAnsi="黑体" w:eastAsia="黑体" w:cs="Times New Roman"/>
      <w:sz w:val="32"/>
      <w:szCs w:val="32"/>
    </w:rPr>
  </w:style>
  <w:style w:type="character" w:customStyle="1" w:styleId="17">
    <w:name w:val="标题 字符"/>
    <w:basedOn w:val="13"/>
    <w:link w:val="10"/>
    <w:qFormat/>
    <w:uiPriority w:val="10"/>
    <w:rPr>
      <w:rFonts w:ascii="宋体" w:hAnsi="宋体" w:eastAsia="宋体" w:cs="宋体"/>
      <w:b/>
      <w:bCs/>
      <w:sz w:val="40"/>
      <w:szCs w:val="40"/>
    </w:rPr>
  </w:style>
  <w:style w:type="character" w:customStyle="1" w:styleId="18">
    <w:name w:val="公文正文 字符"/>
    <w:basedOn w:val="13"/>
    <w:link w:val="4"/>
    <w:qFormat/>
    <w:uiPriority w:val="0"/>
    <w:rPr>
      <w:rFonts w:ascii="仿宋" w:hAnsi="仿宋" w:eastAsia="仿宋" w:cs="Times New Roman"/>
      <w:sz w:val="32"/>
      <w:szCs w:val="32"/>
    </w:rPr>
  </w:style>
  <w:style w:type="character" w:customStyle="1" w:styleId="19">
    <w:name w:val="页眉 字符"/>
    <w:basedOn w:val="13"/>
    <w:link w:val="9"/>
    <w:qFormat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21">
    <w:name w:val="批注框文本 字符"/>
    <w:basedOn w:val="13"/>
    <w:link w:val="7"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22">
    <w:name w:val="批注文字 字符"/>
    <w:basedOn w:val="13"/>
    <w:link w:val="6"/>
    <w:semiHidden/>
    <w:qFormat/>
    <w:uiPriority w:val="99"/>
    <w:rPr>
      <w:rFonts w:ascii="仿宋" w:hAnsi="仿宋" w:eastAsia="仿宋"/>
      <w:sz w:val="32"/>
      <w:szCs w:val="32"/>
    </w:rPr>
  </w:style>
  <w:style w:type="character" w:customStyle="1" w:styleId="23">
    <w:name w:val="批注主题 字符"/>
    <w:basedOn w:val="22"/>
    <w:link w:val="11"/>
    <w:semiHidden/>
    <w:qFormat/>
    <w:uiPriority w:val="99"/>
    <w:rPr>
      <w:rFonts w:ascii="仿宋" w:hAnsi="仿宋" w:eastAsia="仿宋"/>
      <w:b/>
      <w:bCs/>
      <w:sz w:val="32"/>
      <w:szCs w:val="32"/>
    </w:rPr>
  </w:style>
  <w:style w:type="paragraph" w:customStyle="1" w:styleId="24">
    <w:name w:val="修订1"/>
    <w:hidden/>
    <w:unhideWhenUsed/>
    <w:qFormat/>
    <w:uiPriority w:val="99"/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ascii="仿宋" w:hAnsi="仿宋" w:eastAsia="仿宋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2668</Words>
  <Characters>2839</Characters>
  <Lines>22</Lines>
  <Paragraphs>6</Paragraphs>
  <TotalTime>4307</TotalTime>
  <ScaleCrop>false</ScaleCrop>
  <LinksUpToDate>false</LinksUpToDate>
  <CharactersWithSpaces>2968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2024-12-16T00:38:00Z</dcterms:created>
  <dc:creator>zhb-duds</dc:creator>
  <cp:lastModifiedBy>wps</cp:lastModifiedBy>
  <cp:lastPrinted>2024-12-17T09:29:22Z</cp:lastPrinted>
  <dcterms:modified xsi:type="dcterms:W3CDTF">2024-12-17T09:42:23Z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C329CF5F716B469AA8BAF081BA5CBA1A</vt:lpwstr>
  </property>
</Properties>
</file>