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AAFF4" w14:textId="77777777" w:rsidR="00417BD1" w:rsidRDefault="008227EF">
      <w:pPr>
        <w:pStyle w:val="1"/>
        <w:spacing w:line="500" w:lineRule="exact"/>
        <w:rPr>
          <w:rFonts w:ascii="宋体" w:eastAsia="宋体" w:hAnsi="宋体" w:cs="宋体"/>
          <w:sz w:val="24"/>
          <w:szCs w:val="24"/>
          <w:lang w:val="en-US"/>
        </w:rPr>
      </w:pPr>
      <w:r>
        <w:rPr>
          <w:rFonts w:ascii="宋体" w:eastAsia="宋体" w:hAnsi="宋体" w:cs="宋体" w:hint="eastAsia"/>
          <w:sz w:val="24"/>
          <w:szCs w:val="24"/>
          <w:lang w:val="en-US"/>
        </w:rPr>
        <w:t>证券代码：</w:t>
      </w:r>
      <w:r>
        <w:rPr>
          <w:rFonts w:ascii="宋体" w:eastAsia="宋体" w:hAnsi="宋体" w:cs="宋体" w:hint="eastAsia"/>
          <w:sz w:val="24"/>
          <w:szCs w:val="24"/>
          <w:lang w:val="en-US"/>
        </w:rPr>
        <w:t xml:space="preserve">600256                               </w:t>
      </w:r>
      <w:r>
        <w:rPr>
          <w:rFonts w:ascii="宋体" w:eastAsia="宋体" w:hAnsi="宋体" w:cs="宋体" w:hint="eastAsia"/>
          <w:sz w:val="24"/>
          <w:szCs w:val="24"/>
          <w:lang w:val="en-US"/>
        </w:rPr>
        <w:t>证券简称：广汇能源</w:t>
      </w:r>
    </w:p>
    <w:p w14:paraId="25D16023" w14:textId="77777777" w:rsidR="00417BD1" w:rsidRDefault="00417BD1">
      <w:pPr>
        <w:spacing w:line="500" w:lineRule="exact"/>
        <w:rPr>
          <w:rFonts w:ascii="黑体" w:eastAsia="黑体" w:hAnsi="黑体" w:cs="黑体"/>
          <w:sz w:val="36"/>
          <w:szCs w:val="36"/>
          <w:lang w:val="en-US"/>
        </w:rPr>
      </w:pPr>
    </w:p>
    <w:p w14:paraId="3665FDF7" w14:textId="77777777" w:rsidR="00417BD1" w:rsidRDefault="008227EF">
      <w:pPr>
        <w:spacing w:line="500" w:lineRule="exact"/>
        <w:jc w:val="center"/>
        <w:rPr>
          <w:rFonts w:ascii="黑体" w:eastAsia="黑体" w:hAnsi="黑体" w:cs="黑体"/>
          <w:b/>
          <w:bCs/>
          <w:sz w:val="36"/>
          <w:szCs w:val="36"/>
        </w:rPr>
      </w:pPr>
      <w:r>
        <w:rPr>
          <w:rFonts w:ascii="黑体" w:eastAsia="黑体" w:hAnsi="黑体" w:cs="黑体" w:hint="eastAsia"/>
          <w:b/>
          <w:bCs/>
          <w:sz w:val="36"/>
          <w:szCs w:val="36"/>
          <w:lang w:val="en-US"/>
        </w:rPr>
        <w:t>广汇能源</w:t>
      </w:r>
      <w:r>
        <w:rPr>
          <w:rFonts w:ascii="黑体" w:eastAsia="黑体" w:hAnsi="黑体" w:cs="黑体" w:hint="eastAsia"/>
          <w:b/>
          <w:bCs/>
          <w:sz w:val="36"/>
          <w:szCs w:val="36"/>
        </w:rPr>
        <w:t>股份有限公司</w:t>
      </w:r>
    </w:p>
    <w:p w14:paraId="31B0698D" w14:textId="77777777" w:rsidR="00417BD1" w:rsidRDefault="008227EF">
      <w:pPr>
        <w:spacing w:line="500" w:lineRule="exact"/>
        <w:jc w:val="center"/>
        <w:rPr>
          <w:rFonts w:ascii="黑体" w:eastAsia="黑体" w:hAnsi="黑体" w:cs="黑体"/>
          <w:b/>
          <w:bCs/>
          <w:sz w:val="36"/>
          <w:szCs w:val="36"/>
        </w:rPr>
      </w:pPr>
      <w:r>
        <w:rPr>
          <w:rFonts w:ascii="黑体" w:eastAsia="黑体" w:hAnsi="黑体" w:cs="黑体" w:hint="eastAsia"/>
          <w:b/>
          <w:bCs/>
          <w:sz w:val="36"/>
          <w:szCs w:val="36"/>
        </w:rPr>
        <w:t>投资者关系活动记录表</w:t>
      </w:r>
    </w:p>
    <w:p w14:paraId="45AE1D65" w14:textId="77777777" w:rsidR="00417BD1" w:rsidRDefault="008227EF">
      <w:pPr>
        <w:spacing w:line="500" w:lineRule="exact"/>
        <w:jc w:val="center"/>
        <w:rPr>
          <w:rFonts w:ascii="宋体" w:eastAsia="宋体" w:hAnsi="宋体" w:cs="宋体"/>
          <w:sz w:val="28"/>
          <w:szCs w:val="28"/>
          <w:lang w:val="en-US"/>
        </w:rPr>
      </w:pPr>
      <w:r>
        <w:rPr>
          <w:rFonts w:ascii="宋体" w:eastAsia="宋体" w:hAnsi="宋体" w:cs="宋体" w:hint="eastAsia"/>
          <w:sz w:val="28"/>
          <w:szCs w:val="28"/>
          <w:lang w:val="en-US"/>
        </w:rPr>
        <w:t xml:space="preserve">                                              </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30"/>
        <w:gridCol w:w="6595"/>
      </w:tblGrid>
      <w:tr w:rsidR="00417BD1" w14:paraId="795032C9" w14:textId="77777777">
        <w:trPr>
          <w:trHeight w:val="2307"/>
          <w:jc w:val="center"/>
        </w:trPr>
        <w:tc>
          <w:tcPr>
            <w:tcW w:w="1930" w:type="dxa"/>
          </w:tcPr>
          <w:p w14:paraId="4901D0A4" w14:textId="77777777" w:rsidR="00417BD1" w:rsidRDefault="00417BD1">
            <w:pPr>
              <w:pStyle w:val="TableParagraph"/>
              <w:spacing w:line="500" w:lineRule="exact"/>
              <w:jc w:val="center"/>
              <w:rPr>
                <w:rFonts w:ascii="宋体" w:eastAsia="宋体" w:hAnsi="宋体" w:cs="宋体"/>
                <w:b/>
                <w:bCs/>
                <w:sz w:val="24"/>
                <w:szCs w:val="24"/>
              </w:rPr>
            </w:pPr>
          </w:p>
          <w:p w14:paraId="09B59C45" w14:textId="77777777" w:rsidR="00417BD1" w:rsidRDefault="008227EF">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投资者关系</w:t>
            </w:r>
          </w:p>
          <w:p w14:paraId="3D764F34" w14:textId="77777777" w:rsidR="00417BD1" w:rsidRDefault="008227EF">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活动类别</w:t>
            </w:r>
          </w:p>
        </w:tc>
        <w:tc>
          <w:tcPr>
            <w:tcW w:w="6595" w:type="dxa"/>
          </w:tcPr>
          <w:p w14:paraId="350223E3" w14:textId="77777777" w:rsidR="00417BD1" w:rsidRDefault="008227EF">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特定对象调研</w:t>
            </w:r>
            <w:r>
              <w:rPr>
                <w:rFonts w:ascii="宋体" w:eastAsia="宋体" w:hAnsi="宋体" w:cs="宋体" w:hint="eastAsia"/>
                <w:sz w:val="24"/>
                <w:szCs w:val="24"/>
                <w:lang w:val="en-US"/>
              </w:rPr>
              <w:t xml:space="preserve">       </w:t>
            </w:r>
            <w:r>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分析师会议</w:t>
            </w:r>
          </w:p>
          <w:p w14:paraId="5D9FD9CE" w14:textId="77777777" w:rsidR="00417BD1" w:rsidRDefault="008227EF">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媒体采访</w:t>
            </w:r>
            <w:r>
              <w:rPr>
                <w:rFonts w:ascii="宋体" w:eastAsia="宋体" w:hAnsi="宋体" w:cs="宋体" w:hint="eastAsia"/>
                <w:sz w:val="24"/>
                <w:szCs w:val="24"/>
                <w:lang w:val="en-US"/>
              </w:rPr>
              <w:t xml:space="preserve">            </w:t>
            </w:r>
            <w:r>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业绩说明会</w:t>
            </w:r>
          </w:p>
          <w:p w14:paraId="3587E83B" w14:textId="77777777" w:rsidR="00417BD1" w:rsidRDefault="008227EF">
            <w:pPr>
              <w:pStyle w:val="TableParagraph"/>
              <w:tabs>
                <w:tab w:val="left" w:pos="2418"/>
              </w:tabs>
              <w:spacing w:line="500" w:lineRule="exact"/>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新闻发布会</w:t>
            </w:r>
            <w:r>
              <w:rPr>
                <w:rFonts w:ascii="宋体" w:eastAsia="宋体" w:hAnsi="宋体" w:cs="宋体" w:hint="eastAsia"/>
                <w:sz w:val="24"/>
                <w:szCs w:val="24"/>
                <w:lang w:val="en-US"/>
              </w:rPr>
              <w:t xml:space="preserve">         </w:t>
            </w:r>
            <w:r>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路演活动</w:t>
            </w:r>
          </w:p>
          <w:p w14:paraId="4B3A86F9" w14:textId="77777777" w:rsidR="00417BD1" w:rsidRDefault="008227EF">
            <w:pPr>
              <w:pStyle w:val="TableParagraph"/>
              <w:tabs>
                <w:tab w:val="left" w:pos="2418"/>
              </w:tabs>
              <w:spacing w:line="500" w:lineRule="exact"/>
              <w:ind w:left="107"/>
              <w:rPr>
                <w:rFonts w:ascii="宋体" w:eastAsia="宋体" w:hAnsi="宋体" w:cs="宋体"/>
                <w:sz w:val="21"/>
              </w:rPr>
            </w:pPr>
            <w:sdt>
              <w:sdtPr>
                <w:rPr>
                  <w:rFonts w:ascii="宋体" w:eastAsia="宋体" w:hAnsi="宋体" w:cs="宋体" w:hint="eastAsia"/>
                  <w:sz w:val="24"/>
                  <w:szCs w:val="24"/>
                </w:rPr>
                <w:id w:val="-1333366911"/>
                <w14:checkbox>
                  <w14:checked w14:val="1"/>
                  <w14:checkedState w14:val="0052" w14:font="Wingdings 2"/>
                  <w14:uncheckedState w14:val="2610" w14:font="Meiryo"/>
                </w14:checkbox>
              </w:sdtPr>
              <w:sdtEndPr/>
              <w:sdtContent>
                <w:r>
                  <w:rPr>
                    <w:rFonts w:ascii="Wingdings 2" w:eastAsia="宋体" w:hAnsi="Wingdings 2" w:cs="宋体" w:hint="eastAsia"/>
                    <w:sz w:val="24"/>
                    <w:szCs w:val="24"/>
                  </w:rPr>
                  <w:t>R</w:t>
                </w:r>
              </w:sdtContent>
            </w:sdt>
            <w:r>
              <w:rPr>
                <w:rFonts w:ascii="宋体" w:eastAsia="宋体" w:hAnsi="宋体" w:cs="宋体" w:hint="eastAsia"/>
                <w:sz w:val="24"/>
                <w:szCs w:val="24"/>
              </w:rPr>
              <w:t>现场参观</w:t>
            </w:r>
            <w:r>
              <w:rPr>
                <w:rFonts w:ascii="宋体" w:eastAsia="宋体" w:hAnsi="宋体" w:cs="宋体" w:hint="eastAsia"/>
                <w:sz w:val="24"/>
                <w:szCs w:val="24"/>
                <w:lang w:val="en-US"/>
              </w:rPr>
              <w:t xml:space="preserve">              </w:t>
            </w:r>
            <w:sdt>
              <w:sdtPr>
                <w:rPr>
                  <w:rFonts w:ascii="宋体" w:eastAsia="宋体" w:hAnsi="宋体" w:cs="宋体" w:hint="eastAsia"/>
                  <w:sz w:val="24"/>
                  <w:szCs w:val="24"/>
                </w:rPr>
                <w:id w:val="400885218"/>
                <w14:checkbox>
                  <w14:checked w14:val="0"/>
                  <w14:checkedState w14:val="0052" w14:font="Wingdings 2"/>
                  <w14:uncheckedState w14:val="2610" w14:font="Meiryo"/>
                </w14:checkbox>
              </w:sdtPr>
              <w:sdtEndPr/>
              <w:sdtContent>
                <w:r>
                  <w:rPr>
                    <w:rFonts w:ascii="宋体" w:eastAsia="宋体" w:hAnsi="宋体" w:cs="宋体" w:hint="eastAsia"/>
                    <w:sz w:val="24"/>
                    <w:szCs w:val="24"/>
                  </w:rPr>
                  <w:t>☐</w:t>
                </w:r>
              </w:sdtContent>
            </w:sdt>
            <w:r>
              <w:rPr>
                <w:rFonts w:ascii="宋体" w:eastAsia="宋体" w:hAnsi="宋体" w:cs="宋体" w:hint="eastAsia"/>
                <w:sz w:val="24"/>
                <w:szCs w:val="24"/>
              </w:rPr>
              <w:t>其他</w:t>
            </w:r>
          </w:p>
        </w:tc>
      </w:tr>
      <w:tr w:rsidR="00417BD1" w14:paraId="04998EB8" w14:textId="77777777">
        <w:trPr>
          <w:trHeight w:val="716"/>
          <w:jc w:val="center"/>
        </w:trPr>
        <w:tc>
          <w:tcPr>
            <w:tcW w:w="1930" w:type="dxa"/>
            <w:vAlign w:val="center"/>
          </w:tcPr>
          <w:p w14:paraId="06054351" w14:textId="77777777" w:rsidR="00417BD1" w:rsidRDefault="008227EF">
            <w:pPr>
              <w:pStyle w:val="TableParagraph"/>
              <w:spacing w:line="500" w:lineRule="exact"/>
              <w:ind w:left="107"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w:t>
            </w:r>
          </w:p>
          <w:p w14:paraId="0F13A1B4" w14:textId="77777777" w:rsidR="00417BD1" w:rsidRDefault="008227EF">
            <w:pPr>
              <w:pStyle w:val="TableParagraph"/>
              <w:spacing w:line="500" w:lineRule="exact"/>
              <w:ind w:left="107"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及人员姓名</w:t>
            </w:r>
          </w:p>
        </w:tc>
        <w:tc>
          <w:tcPr>
            <w:tcW w:w="6595" w:type="dxa"/>
            <w:vAlign w:val="center"/>
          </w:tcPr>
          <w:p w14:paraId="3E38C951" w14:textId="77777777" w:rsidR="00417BD1" w:rsidRDefault="008227EF">
            <w:pPr>
              <w:pStyle w:val="TableParagraph"/>
              <w:tabs>
                <w:tab w:val="left" w:pos="2418"/>
              </w:tabs>
              <w:spacing w:line="500" w:lineRule="exact"/>
              <w:rPr>
                <w:rFonts w:ascii="宋体" w:eastAsia="宋体" w:hAnsi="宋体" w:cs="宋体"/>
                <w:color w:val="000000"/>
                <w:lang w:val="en-US" w:bidi="ar"/>
              </w:rPr>
            </w:pPr>
            <w:r>
              <w:rPr>
                <w:rFonts w:ascii="宋体" w:eastAsia="宋体" w:hAnsi="宋体" w:cs="宋体" w:hint="eastAsia"/>
                <w:color w:val="000000"/>
                <w:lang w:val="en-US" w:bidi="ar"/>
              </w:rPr>
              <w:t>鹏华基金、宝盈基金、合远投资、朱雀基金、和谐汇一、大朴资产、国君资管、华安财险、浙商资管、善思投资、招商信诺、华创证券</w:t>
            </w:r>
          </w:p>
          <w:p w14:paraId="69B8F91F" w14:textId="77777777" w:rsidR="00417BD1" w:rsidRDefault="008227EF">
            <w:pPr>
              <w:pStyle w:val="TableParagraph"/>
              <w:tabs>
                <w:tab w:val="left" w:pos="2418"/>
              </w:tabs>
              <w:spacing w:line="500" w:lineRule="exact"/>
              <w:rPr>
                <w:rFonts w:ascii="宋体" w:eastAsia="宋体" w:hAnsi="宋体" w:cs="宋体"/>
                <w:color w:val="000000"/>
                <w:lang w:val="en-US" w:bidi="ar"/>
              </w:rPr>
            </w:pPr>
            <w:r>
              <w:rPr>
                <w:rFonts w:ascii="宋体" w:eastAsia="宋体" w:hAnsi="宋体" w:cs="宋体" w:hint="eastAsia"/>
                <w:color w:val="000000"/>
                <w:lang w:val="en-US" w:bidi="ar"/>
              </w:rPr>
              <w:t>（以上排名不分先后）</w:t>
            </w:r>
          </w:p>
        </w:tc>
      </w:tr>
      <w:tr w:rsidR="00417BD1" w14:paraId="7D978C57" w14:textId="77777777">
        <w:trPr>
          <w:trHeight w:val="749"/>
          <w:jc w:val="center"/>
        </w:trPr>
        <w:tc>
          <w:tcPr>
            <w:tcW w:w="1930" w:type="dxa"/>
            <w:vAlign w:val="center"/>
          </w:tcPr>
          <w:p w14:paraId="74D6421D" w14:textId="77777777" w:rsidR="00417BD1" w:rsidRDefault="008227EF">
            <w:pPr>
              <w:pStyle w:val="TableParagraph"/>
              <w:spacing w:line="500" w:lineRule="exact"/>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时间</w:t>
            </w:r>
          </w:p>
        </w:tc>
        <w:tc>
          <w:tcPr>
            <w:tcW w:w="6595" w:type="dxa"/>
            <w:vAlign w:val="center"/>
          </w:tcPr>
          <w:p w14:paraId="48A0F509" w14:textId="77777777" w:rsidR="00417BD1" w:rsidRDefault="008227EF">
            <w:pPr>
              <w:pStyle w:val="TableParagraph"/>
              <w:tabs>
                <w:tab w:val="left" w:pos="2418"/>
              </w:tabs>
              <w:spacing w:line="500" w:lineRule="exact"/>
              <w:rPr>
                <w:rFonts w:ascii="宋体" w:eastAsia="宋体" w:hAnsi="宋体" w:cs="宋体"/>
                <w:sz w:val="24"/>
                <w:szCs w:val="24"/>
                <w:lang w:val="en-US"/>
              </w:rPr>
            </w:pP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sz w:val="24"/>
                <w:szCs w:val="24"/>
                <w:lang w:val="en-US"/>
              </w:rPr>
              <w:t>12</w:t>
            </w:r>
            <w:r>
              <w:rPr>
                <w:rFonts w:ascii="宋体" w:eastAsia="宋体" w:hAnsi="宋体" w:cs="宋体" w:hint="eastAsia"/>
                <w:sz w:val="24"/>
                <w:szCs w:val="24"/>
              </w:rPr>
              <w:t>月</w:t>
            </w:r>
            <w:r>
              <w:rPr>
                <w:rFonts w:ascii="宋体" w:eastAsia="宋体" w:hAnsi="宋体" w:cs="宋体"/>
                <w:sz w:val="24"/>
                <w:szCs w:val="24"/>
                <w:lang w:val="en-US"/>
              </w:rPr>
              <w:t>17</w:t>
            </w:r>
            <w:r>
              <w:rPr>
                <w:rFonts w:ascii="宋体" w:eastAsia="宋体" w:hAnsi="宋体" w:cs="宋体" w:hint="eastAsia"/>
                <w:sz w:val="24"/>
                <w:szCs w:val="24"/>
                <w:lang w:val="en-US"/>
              </w:rPr>
              <w:t>日</w:t>
            </w:r>
          </w:p>
        </w:tc>
      </w:tr>
      <w:tr w:rsidR="00417BD1" w14:paraId="1283A35E" w14:textId="77777777">
        <w:trPr>
          <w:trHeight w:val="716"/>
          <w:jc w:val="center"/>
        </w:trPr>
        <w:tc>
          <w:tcPr>
            <w:tcW w:w="1930" w:type="dxa"/>
            <w:vAlign w:val="center"/>
          </w:tcPr>
          <w:p w14:paraId="740DF712" w14:textId="77777777" w:rsidR="00417BD1" w:rsidRDefault="008227EF">
            <w:pPr>
              <w:pStyle w:val="TableParagraph"/>
              <w:spacing w:line="500" w:lineRule="exact"/>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地点</w:t>
            </w:r>
          </w:p>
        </w:tc>
        <w:tc>
          <w:tcPr>
            <w:tcW w:w="6595" w:type="dxa"/>
            <w:vAlign w:val="center"/>
          </w:tcPr>
          <w:p w14:paraId="041DDBD5" w14:textId="77777777" w:rsidR="00417BD1" w:rsidRDefault="008227EF">
            <w:pPr>
              <w:pStyle w:val="TableParagraph"/>
              <w:tabs>
                <w:tab w:val="left" w:pos="2418"/>
              </w:tabs>
              <w:spacing w:line="500" w:lineRule="exact"/>
              <w:rPr>
                <w:rFonts w:ascii="宋体" w:eastAsia="宋体" w:hAnsi="宋体" w:cs="宋体"/>
                <w:sz w:val="24"/>
                <w:szCs w:val="24"/>
                <w:lang w:val="en-US"/>
              </w:rPr>
            </w:pPr>
            <w:r>
              <w:rPr>
                <w:rFonts w:ascii="宋体" w:eastAsia="宋体" w:hAnsi="宋体" w:cs="宋体" w:hint="eastAsia"/>
                <w:sz w:val="24"/>
                <w:szCs w:val="24"/>
                <w:lang w:val="en-US"/>
              </w:rPr>
              <w:t>新疆维吾尔自治区乌鲁木齐市新华北路</w:t>
            </w:r>
            <w:r>
              <w:rPr>
                <w:rFonts w:ascii="宋体" w:eastAsia="宋体" w:hAnsi="宋体" w:cs="宋体" w:hint="eastAsia"/>
                <w:sz w:val="24"/>
                <w:szCs w:val="24"/>
                <w:lang w:val="en-US"/>
              </w:rPr>
              <w:t>1</w:t>
            </w:r>
            <w:r>
              <w:rPr>
                <w:rFonts w:ascii="宋体" w:eastAsia="宋体" w:hAnsi="宋体" w:cs="宋体"/>
                <w:sz w:val="24"/>
                <w:szCs w:val="24"/>
                <w:lang w:val="en-US"/>
              </w:rPr>
              <w:t>65</w:t>
            </w:r>
            <w:r>
              <w:rPr>
                <w:rFonts w:ascii="宋体" w:eastAsia="宋体" w:hAnsi="宋体" w:cs="宋体" w:hint="eastAsia"/>
                <w:sz w:val="24"/>
                <w:szCs w:val="24"/>
                <w:lang w:val="en-US"/>
              </w:rPr>
              <w:t>号中天广场</w:t>
            </w:r>
            <w:r>
              <w:rPr>
                <w:rFonts w:ascii="宋体" w:eastAsia="宋体" w:hAnsi="宋体" w:cs="宋体" w:hint="eastAsia"/>
                <w:sz w:val="24"/>
                <w:szCs w:val="24"/>
                <w:lang w:val="en-US"/>
              </w:rPr>
              <w:t>4</w:t>
            </w:r>
            <w:r>
              <w:rPr>
                <w:rFonts w:ascii="宋体" w:eastAsia="宋体" w:hAnsi="宋体" w:cs="宋体"/>
                <w:sz w:val="24"/>
                <w:szCs w:val="24"/>
                <w:lang w:val="en-US"/>
              </w:rPr>
              <w:t>3</w:t>
            </w:r>
            <w:r>
              <w:rPr>
                <w:rFonts w:ascii="宋体" w:eastAsia="宋体" w:hAnsi="宋体" w:cs="宋体" w:hint="eastAsia"/>
                <w:sz w:val="24"/>
                <w:szCs w:val="24"/>
                <w:lang w:val="en-US"/>
              </w:rPr>
              <w:t>层</w:t>
            </w:r>
          </w:p>
        </w:tc>
      </w:tr>
      <w:tr w:rsidR="00417BD1" w14:paraId="17E0E7A4" w14:textId="77777777">
        <w:trPr>
          <w:trHeight w:val="855"/>
          <w:jc w:val="center"/>
        </w:trPr>
        <w:tc>
          <w:tcPr>
            <w:tcW w:w="1930" w:type="dxa"/>
            <w:vAlign w:val="center"/>
          </w:tcPr>
          <w:p w14:paraId="07C8561C" w14:textId="77777777" w:rsidR="00417BD1" w:rsidRDefault="008227EF">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上市公司接待</w:t>
            </w:r>
          </w:p>
          <w:p w14:paraId="7087A393" w14:textId="77777777" w:rsidR="00417BD1" w:rsidRDefault="008227EF">
            <w:pPr>
              <w:pStyle w:val="TableParagraph"/>
              <w:spacing w:line="500" w:lineRule="exact"/>
              <w:ind w:left="107"/>
              <w:jc w:val="center"/>
              <w:rPr>
                <w:rFonts w:ascii="宋体" w:eastAsia="宋体" w:hAnsi="宋体" w:cs="宋体"/>
                <w:b/>
                <w:bCs/>
                <w:sz w:val="24"/>
                <w:szCs w:val="24"/>
              </w:rPr>
            </w:pPr>
            <w:r>
              <w:rPr>
                <w:rFonts w:ascii="宋体" w:eastAsia="宋体" w:hAnsi="宋体" w:cs="宋体" w:hint="eastAsia"/>
                <w:b/>
                <w:bCs/>
                <w:sz w:val="24"/>
                <w:szCs w:val="24"/>
              </w:rPr>
              <w:t>人员姓名</w:t>
            </w:r>
          </w:p>
        </w:tc>
        <w:tc>
          <w:tcPr>
            <w:tcW w:w="6595" w:type="dxa"/>
            <w:vAlign w:val="center"/>
          </w:tcPr>
          <w:p w14:paraId="30A17044"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lang w:val="en-US"/>
              </w:rPr>
              <w:t>广汇能源</w:t>
            </w:r>
            <w:r>
              <w:rPr>
                <w:rFonts w:ascii="宋体" w:eastAsia="宋体" w:hAnsi="宋体" w:cs="宋体" w:hint="eastAsia"/>
                <w:sz w:val="24"/>
                <w:szCs w:val="24"/>
              </w:rPr>
              <w:t>董事会秘书、副总经理</w:t>
            </w:r>
            <w:r>
              <w:rPr>
                <w:rFonts w:ascii="宋体" w:eastAsia="宋体" w:hAnsi="宋体" w:cs="宋体" w:hint="eastAsia"/>
                <w:sz w:val="24"/>
                <w:szCs w:val="24"/>
                <w:lang w:val="en-US"/>
              </w:rPr>
              <w:t xml:space="preserve"> </w:t>
            </w:r>
            <w:r>
              <w:rPr>
                <w:rFonts w:ascii="宋体" w:eastAsia="宋体" w:hAnsi="宋体" w:cs="宋体" w:hint="eastAsia"/>
                <w:sz w:val="24"/>
                <w:szCs w:val="24"/>
                <w:lang w:val="en-US"/>
              </w:rPr>
              <w:t>阳贤</w:t>
            </w:r>
          </w:p>
          <w:p w14:paraId="342729C0"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lang w:val="en-US"/>
              </w:rPr>
              <w:t>证券部相关人员</w:t>
            </w:r>
          </w:p>
        </w:tc>
      </w:tr>
      <w:tr w:rsidR="00417BD1" w14:paraId="048CB5B0" w14:textId="77777777">
        <w:trPr>
          <w:trHeight w:val="2800"/>
          <w:jc w:val="center"/>
        </w:trPr>
        <w:tc>
          <w:tcPr>
            <w:tcW w:w="1930" w:type="dxa"/>
          </w:tcPr>
          <w:p w14:paraId="1CCBD7EA" w14:textId="77777777" w:rsidR="00417BD1" w:rsidRDefault="00417BD1">
            <w:pPr>
              <w:pStyle w:val="TableParagraph"/>
              <w:spacing w:line="500" w:lineRule="exact"/>
              <w:jc w:val="center"/>
              <w:rPr>
                <w:rFonts w:ascii="宋体" w:eastAsia="宋体" w:hAnsi="宋体" w:cs="宋体"/>
                <w:b/>
                <w:bCs/>
                <w:sz w:val="24"/>
                <w:szCs w:val="24"/>
              </w:rPr>
            </w:pPr>
          </w:p>
          <w:p w14:paraId="743EE7CE" w14:textId="77777777" w:rsidR="00417BD1" w:rsidRDefault="00417BD1">
            <w:pPr>
              <w:pStyle w:val="TableParagraph"/>
              <w:spacing w:line="500" w:lineRule="exact"/>
              <w:jc w:val="center"/>
              <w:rPr>
                <w:rFonts w:ascii="宋体" w:eastAsia="宋体" w:hAnsi="宋体" w:cs="宋体"/>
                <w:b/>
                <w:bCs/>
                <w:sz w:val="24"/>
                <w:szCs w:val="24"/>
              </w:rPr>
            </w:pPr>
          </w:p>
          <w:p w14:paraId="17A6B181" w14:textId="77777777" w:rsidR="00417BD1" w:rsidRDefault="00417BD1">
            <w:pPr>
              <w:pStyle w:val="TableParagraph"/>
              <w:spacing w:line="500" w:lineRule="exact"/>
              <w:jc w:val="center"/>
              <w:rPr>
                <w:rFonts w:ascii="宋体" w:eastAsia="宋体" w:hAnsi="宋体" w:cs="宋体"/>
                <w:b/>
                <w:bCs/>
                <w:sz w:val="24"/>
                <w:szCs w:val="24"/>
              </w:rPr>
            </w:pPr>
          </w:p>
          <w:p w14:paraId="1E45C64A" w14:textId="77777777" w:rsidR="00417BD1" w:rsidRDefault="008227EF">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投资者关系活动</w:t>
            </w:r>
          </w:p>
          <w:p w14:paraId="2346CBEB" w14:textId="77777777" w:rsidR="00417BD1" w:rsidRDefault="008227EF">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主要内容介绍</w:t>
            </w:r>
          </w:p>
        </w:tc>
        <w:tc>
          <w:tcPr>
            <w:tcW w:w="6595" w:type="dxa"/>
          </w:tcPr>
          <w:p w14:paraId="6EDAF732" w14:textId="77777777" w:rsidR="00417BD1" w:rsidRDefault="008227EF">
            <w:pPr>
              <w:pStyle w:val="TableParagraph"/>
              <w:tabs>
                <w:tab w:val="left" w:pos="0"/>
              </w:tabs>
              <w:spacing w:line="420" w:lineRule="exact"/>
              <w:jc w:val="both"/>
              <w:rPr>
                <w:rFonts w:ascii="宋体" w:eastAsia="宋体" w:hAnsi="宋体" w:cs="宋体"/>
                <w:b/>
                <w:bCs/>
                <w:sz w:val="24"/>
                <w:szCs w:val="24"/>
                <w:lang w:val="en-US"/>
              </w:rPr>
            </w:pPr>
            <w:r>
              <w:rPr>
                <w:rFonts w:ascii="宋体" w:eastAsia="宋体" w:hAnsi="宋体" w:cs="宋体" w:hint="eastAsia"/>
                <w:b/>
                <w:bCs/>
                <w:sz w:val="24"/>
                <w:szCs w:val="24"/>
                <w:lang w:val="en-US"/>
              </w:rPr>
              <w:t>1.</w:t>
            </w:r>
            <w:r>
              <w:rPr>
                <w:rFonts w:hint="eastAsia"/>
              </w:rPr>
              <w:t xml:space="preserve"> </w:t>
            </w:r>
            <w:r>
              <w:rPr>
                <w:rFonts w:ascii="宋体" w:eastAsia="宋体" w:hAnsi="宋体" w:cs="宋体" w:hint="eastAsia"/>
                <w:b/>
                <w:bCs/>
                <w:sz w:val="24"/>
                <w:szCs w:val="24"/>
                <w:lang w:val="en-US"/>
              </w:rPr>
              <w:t>四季度煤炭销售情况？</w:t>
            </w:r>
          </w:p>
          <w:p w14:paraId="43980BA8" w14:textId="77777777" w:rsidR="00417BD1" w:rsidRDefault="008227EF">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w:t>
            </w:r>
            <w:r>
              <w:rPr>
                <w:rFonts w:ascii="宋体" w:eastAsia="宋体" w:hAnsi="宋体" w:cs="宋体" w:hint="eastAsia"/>
                <w:sz w:val="24"/>
                <w:szCs w:val="24"/>
                <w:lang w:val="en-US"/>
              </w:rPr>
              <w:t>一是产销量情况。进入四季度，广汇能源煤炭业务展现出强劲的发展势头，根据公司既定规划，煤炭优质产能正逐步释放并落地实施。目前，公司煤炭产销两旺。从月度数据来看，</w:t>
            </w:r>
            <w:r>
              <w:rPr>
                <w:rFonts w:ascii="宋体" w:eastAsia="宋体" w:hAnsi="宋体" w:cs="宋体" w:hint="eastAsia"/>
                <w:sz w:val="24"/>
                <w:szCs w:val="24"/>
                <w:lang w:val="en-US"/>
              </w:rPr>
              <w:t>9</w:t>
            </w:r>
            <w:r>
              <w:rPr>
                <w:rFonts w:ascii="宋体" w:eastAsia="宋体" w:hAnsi="宋体" w:cs="宋体" w:hint="eastAsia"/>
                <w:sz w:val="24"/>
                <w:szCs w:val="24"/>
                <w:lang w:val="en-US"/>
              </w:rPr>
              <w:t>月份公司实现煤炭销量</w:t>
            </w:r>
            <w:r>
              <w:rPr>
                <w:rFonts w:ascii="宋体" w:eastAsia="宋体" w:hAnsi="宋体" w:cs="宋体" w:hint="eastAsia"/>
                <w:sz w:val="24"/>
                <w:szCs w:val="24"/>
                <w:lang w:val="en-US"/>
              </w:rPr>
              <w:t>529.60</w:t>
            </w:r>
            <w:r>
              <w:rPr>
                <w:rFonts w:ascii="宋体" w:eastAsia="宋体" w:hAnsi="宋体" w:cs="宋体" w:hint="eastAsia"/>
                <w:sz w:val="24"/>
                <w:szCs w:val="24"/>
                <w:lang w:val="en-US"/>
              </w:rPr>
              <w:t>万吨，同比增长</w:t>
            </w:r>
            <w:r>
              <w:rPr>
                <w:rFonts w:ascii="宋体" w:eastAsia="宋体" w:hAnsi="宋体" w:cs="宋体" w:hint="eastAsia"/>
                <w:sz w:val="24"/>
                <w:szCs w:val="24"/>
                <w:lang w:val="en-US"/>
              </w:rPr>
              <w:t>125.90%</w:t>
            </w:r>
            <w:r>
              <w:rPr>
                <w:rFonts w:ascii="宋体" w:eastAsia="宋体" w:hAnsi="宋体" w:cs="宋体" w:hint="eastAsia"/>
                <w:sz w:val="24"/>
                <w:szCs w:val="24"/>
                <w:lang w:val="en-US"/>
              </w:rPr>
              <w:t>，环比增长</w:t>
            </w:r>
            <w:r>
              <w:rPr>
                <w:rFonts w:ascii="宋体" w:eastAsia="宋体" w:hAnsi="宋体" w:cs="宋体" w:hint="eastAsia"/>
                <w:sz w:val="24"/>
                <w:szCs w:val="24"/>
                <w:lang w:val="en-US"/>
              </w:rPr>
              <w:t>10.62%</w:t>
            </w:r>
            <w:r>
              <w:rPr>
                <w:rFonts w:ascii="宋体" w:eastAsia="宋体" w:hAnsi="宋体" w:cs="宋体" w:hint="eastAsia"/>
                <w:sz w:val="24"/>
                <w:szCs w:val="24"/>
                <w:lang w:val="en-US"/>
              </w:rPr>
              <w:t>。</w:t>
            </w:r>
            <w:r>
              <w:rPr>
                <w:rFonts w:ascii="宋体" w:eastAsia="宋体" w:hAnsi="宋体" w:cs="宋体" w:hint="eastAsia"/>
                <w:sz w:val="24"/>
                <w:szCs w:val="24"/>
                <w:lang w:val="en-US"/>
              </w:rPr>
              <w:t>10</w:t>
            </w:r>
            <w:r>
              <w:rPr>
                <w:rFonts w:ascii="宋体" w:eastAsia="宋体" w:hAnsi="宋体" w:cs="宋体" w:hint="eastAsia"/>
                <w:sz w:val="24"/>
                <w:szCs w:val="24"/>
                <w:lang w:val="en-US"/>
              </w:rPr>
              <w:t>月份，煤炭销量进一步攀升至</w:t>
            </w:r>
            <w:r>
              <w:rPr>
                <w:rFonts w:ascii="宋体" w:eastAsia="宋体" w:hAnsi="宋体" w:cs="宋体" w:hint="eastAsia"/>
                <w:sz w:val="24"/>
                <w:szCs w:val="24"/>
                <w:lang w:val="en-US"/>
              </w:rPr>
              <w:t>594.64</w:t>
            </w:r>
            <w:r>
              <w:rPr>
                <w:rFonts w:ascii="宋体" w:eastAsia="宋体" w:hAnsi="宋体" w:cs="宋体" w:hint="eastAsia"/>
                <w:sz w:val="24"/>
                <w:szCs w:val="24"/>
                <w:lang w:val="en-US"/>
              </w:rPr>
              <w:t>万吨，同比增长</w:t>
            </w:r>
            <w:r>
              <w:rPr>
                <w:rFonts w:ascii="宋体" w:eastAsia="宋体" w:hAnsi="宋体" w:cs="宋体" w:hint="eastAsia"/>
                <w:sz w:val="24"/>
                <w:szCs w:val="24"/>
                <w:lang w:val="en-US"/>
              </w:rPr>
              <w:t>153.79%</w:t>
            </w:r>
            <w:r>
              <w:rPr>
                <w:rFonts w:ascii="宋体" w:eastAsia="宋体" w:hAnsi="宋体" w:cs="宋体" w:hint="eastAsia"/>
                <w:sz w:val="24"/>
                <w:szCs w:val="24"/>
                <w:lang w:val="en-US"/>
              </w:rPr>
              <w:t>，环比增长</w:t>
            </w:r>
            <w:r>
              <w:rPr>
                <w:rFonts w:ascii="宋体" w:eastAsia="宋体" w:hAnsi="宋体" w:cs="宋体" w:hint="eastAsia"/>
                <w:sz w:val="24"/>
                <w:szCs w:val="24"/>
                <w:lang w:val="en-US"/>
              </w:rPr>
              <w:t>12.28%</w:t>
            </w:r>
            <w:r>
              <w:rPr>
                <w:rFonts w:ascii="宋体" w:eastAsia="宋体" w:hAnsi="宋体" w:cs="宋体" w:hint="eastAsia"/>
                <w:sz w:val="24"/>
                <w:szCs w:val="24"/>
                <w:lang w:val="en-US"/>
              </w:rPr>
              <w:t>。</w:t>
            </w:r>
            <w:r>
              <w:rPr>
                <w:rFonts w:ascii="宋体" w:eastAsia="宋体" w:hAnsi="宋体" w:cs="宋体" w:hint="eastAsia"/>
                <w:sz w:val="24"/>
                <w:szCs w:val="24"/>
                <w:lang w:val="en-US"/>
              </w:rPr>
              <w:t>11</w:t>
            </w:r>
            <w:r>
              <w:rPr>
                <w:rFonts w:ascii="宋体" w:eastAsia="宋体" w:hAnsi="宋体" w:cs="宋体" w:hint="eastAsia"/>
                <w:sz w:val="24"/>
                <w:szCs w:val="24"/>
                <w:lang w:val="en-US"/>
              </w:rPr>
              <w:t>月份，公司实现煤炭销量</w:t>
            </w:r>
            <w:r>
              <w:rPr>
                <w:rFonts w:ascii="宋体" w:eastAsia="宋体" w:hAnsi="宋体" w:cs="宋体" w:hint="eastAsia"/>
                <w:sz w:val="24"/>
                <w:szCs w:val="24"/>
                <w:lang w:val="en-US"/>
              </w:rPr>
              <w:t>613.83</w:t>
            </w:r>
            <w:r>
              <w:rPr>
                <w:rFonts w:ascii="宋体" w:eastAsia="宋体" w:hAnsi="宋体" w:cs="宋体" w:hint="eastAsia"/>
                <w:sz w:val="24"/>
                <w:szCs w:val="24"/>
                <w:lang w:val="en-US"/>
              </w:rPr>
              <w:t>万吨，同比增长</w:t>
            </w:r>
            <w:r>
              <w:rPr>
                <w:rFonts w:ascii="宋体" w:eastAsia="宋体" w:hAnsi="宋体" w:cs="宋体" w:hint="eastAsia"/>
                <w:sz w:val="24"/>
                <w:szCs w:val="24"/>
                <w:lang w:val="en-US"/>
              </w:rPr>
              <w:t>111.92%</w:t>
            </w:r>
            <w:r>
              <w:rPr>
                <w:rFonts w:ascii="宋体" w:eastAsia="宋体" w:hAnsi="宋体" w:cs="宋体" w:hint="eastAsia"/>
                <w:sz w:val="24"/>
                <w:szCs w:val="24"/>
                <w:lang w:val="en-US"/>
              </w:rPr>
              <w:t>，环比增长</w:t>
            </w:r>
            <w:r>
              <w:rPr>
                <w:rFonts w:ascii="宋体" w:eastAsia="宋体" w:hAnsi="宋体" w:cs="宋体" w:hint="eastAsia"/>
                <w:sz w:val="24"/>
                <w:szCs w:val="24"/>
                <w:lang w:val="en-US"/>
              </w:rPr>
              <w:t>3.23%</w:t>
            </w:r>
            <w:r>
              <w:rPr>
                <w:rFonts w:ascii="宋体" w:eastAsia="宋体" w:hAnsi="宋体" w:cs="宋体" w:hint="eastAsia"/>
                <w:sz w:val="24"/>
                <w:szCs w:val="24"/>
                <w:lang w:val="en-US"/>
              </w:rPr>
              <w:t>。展望</w:t>
            </w:r>
            <w:r>
              <w:rPr>
                <w:rFonts w:ascii="宋体" w:eastAsia="宋体" w:hAnsi="宋体" w:cs="宋体" w:hint="eastAsia"/>
                <w:sz w:val="24"/>
                <w:szCs w:val="24"/>
                <w:lang w:val="en-US"/>
              </w:rPr>
              <w:t>12</w:t>
            </w:r>
            <w:r>
              <w:rPr>
                <w:rFonts w:ascii="宋体" w:eastAsia="宋体" w:hAnsi="宋体" w:cs="宋体" w:hint="eastAsia"/>
                <w:sz w:val="24"/>
                <w:szCs w:val="24"/>
                <w:lang w:val="en-US"/>
              </w:rPr>
              <w:t>月，预计煤炭外销量将继续保持在较高水平。</w:t>
            </w:r>
          </w:p>
          <w:p w14:paraId="429204C8"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lang w:val="en-US"/>
              </w:rPr>
              <w:t>二是价格情况。尽管四季度</w:t>
            </w:r>
            <w:r>
              <w:rPr>
                <w:rFonts w:ascii="宋体" w:eastAsia="宋体" w:hAnsi="宋体" w:cs="宋体" w:hint="eastAsia"/>
                <w:sz w:val="24"/>
                <w:szCs w:val="24"/>
              </w:rPr>
              <w:t>环渤海地区煤炭价格受气温和进口煤</w:t>
            </w:r>
            <w:r>
              <w:rPr>
                <w:rFonts w:ascii="宋体" w:eastAsia="宋体" w:hAnsi="宋体" w:cs="宋体" w:hint="eastAsia"/>
                <w:sz w:val="24"/>
                <w:szCs w:val="24"/>
                <w:lang w:val="en-US"/>
              </w:rPr>
              <w:t>冲击</w:t>
            </w:r>
            <w:r>
              <w:rPr>
                <w:rFonts w:ascii="宋体" w:eastAsia="宋体" w:hAnsi="宋体" w:cs="宋体" w:hint="eastAsia"/>
                <w:sz w:val="24"/>
                <w:szCs w:val="24"/>
              </w:rPr>
              <w:t>影响有所</w:t>
            </w:r>
            <w:r>
              <w:rPr>
                <w:rFonts w:ascii="宋体" w:eastAsia="宋体" w:hAnsi="宋体" w:cs="宋体" w:hint="eastAsia"/>
                <w:sz w:val="24"/>
                <w:szCs w:val="24"/>
                <w:lang w:val="en-US"/>
              </w:rPr>
              <w:t>下滑</w:t>
            </w:r>
            <w:r>
              <w:rPr>
                <w:rFonts w:ascii="宋体" w:eastAsia="宋体" w:hAnsi="宋体" w:cs="宋体" w:hint="eastAsia"/>
                <w:sz w:val="24"/>
                <w:szCs w:val="24"/>
              </w:rPr>
              <w:t>，</w:t>
            </w:r>
            <w:r>
              <w:rPr>
                <w:rFonts w:ascii="宋体" w:eastAsia="宋体" w:hAnsi="宋体" w:cs="宋体" w:hint="eastAsia"/>
                <w:sz w:val="24"/>
                <w:szCs w:val="24"/>
                <w:lang w:val="en-US"/>
              </w:rPr>
              <w:t>公司</w:t>
            </w:r>
            <w:r>
              <w:rPr>
                <w:rFonts w:ascii="宋体" w:eastAsia="宋体" w:hAnsi="宋体" w:cs="宋体" w:hint="eastAsia"/>
                <w:sz w:val="24"/>
                <w:szCs w:val="24"/>
              </w:rPr>
              <w:t>的煤炭销售价格</w:t>
            </w:r>
            <w:r>
              <w:rPr>
                <w:rFonts w:ascii="宋体" w:eastAsia="宋体" w:hAnsi="宋体" w:cs="宋体" w:hint="eastAsia"/>
                <w:sz w:val="24"/>
                <w:szCs w:val="24"/>
                <w:lang w:val="en-US"/>
              </w:rPr>
              <w:t>仍然</w:t>
            </w:r>
            <w:r>
              <w:rPr>
                <w:rFonts w:ascii="宋体" w:eastAsia="宋体" w:hAnsi="宋体" w:cs="宋体" w:hint="eastAsia"/>
                <w:sz w:val="24"/>
                <w:szCs w:val="24"/>
              </w:rPr>
              <w:t>保持稳定，部分煤种价格有所调</w:t>
            </w:r>
            <w:r>
              <w:rPr>
                <w:rFonts w:ascii="宋体" w:eastAsia="宋体" w:hAnsi="宋体" w:cs="宋体" w:hint="eastAsia"/>
                <w:sz w:val="24"/>
                <w:szCs w:val="24"/>
                <w:lang w:val="en-US"/>
              </w:rPr>
              <w:t>涨</w:t>
            </w:r>
            <w:r>
              <w:rPr>
                <w:rFonts w:ascii="宋体" w:eastAsia="宋体" w:hAnsi="宋体" w:cs="宋体" w:hint="eastAsia"/>
                <w:sz w:val="24"/>
                <w:szCs w:val="24"/>
              </w:rPr>
              <w:t>，</w:t>
            </w:r>
            <w:r>
              <w:rPr>
                <w:rFonts w:ascii="宋体" w:eastAsia="宋体" w:hAnsi="宋体" w:cs="宋体" w:hint="eastAsia"/>
                <w:sz w:val="24"/>
                <w:szCs w:val="24"/>
              </w:rPr>
              <w:t>吨煤盈利情况较三季度持稳。</w:t>
            </w:r>
            <w:r>
              <w:rPr>
                <w:rFonts w:ascii="宋体" w:eastAsia="宋体" w:hAnsi="宋体" w:cs="宋体" w:hint="eastAsia"/>
                <w:sz w:val="24"/>
                <w:szCs w:val="24"/>
                <w:lang w:val="en-US"/>
              </w:rPr>
              <w:t>核心原因</w:t>
            </w:r>
            <w:r>
              <w:rPr>
                <w:rFonts w:ascii="宋体" w:eastAsia="宋体" w:hAnsi="宋体" w:cs="宋体" w:hint="eastAsia"/>
                <w:sz w:val="24"/>
                <w:szCs w:val="24"/>
                <w:lang w:val="en-US"/>
              </w:rPr>
              <w:lastRenderedPageBreak/>
              <w:t>是进口煤辐射区域与疆煤重叠较少，公司煤炭外销辐射主要区域为西北及西南地区，供暖季区域刚需对煤炭市场价格起到支撑作用；此外，三季度以来，在疆煤外运量快速增加的背景下，</w:t>
            </w:r>
            <w:r>
              <w:rPr>
                <w:rFonts w:ascii="宋体" w:eastAsia="宋体" w:hAnsi="宋体" w:cs="宋体" w:hint="eastAsia"/>
                <w:sz w:val="24"/>
                <w:szCs w:val="24"/>
              </w:rPr>
              <w:t>区域煤炭市场竞争加剧，</w:t>
            </w:r>
            <w:r>
              <w:rPr>
                <w:rFonts w:ascii="宋体" w:eastAsia="宋体" w:hAnsi="宋体" w:cs="宋体" w:hint="eastAsia"/>
                <w:sz w:val="24"/>
                <w:szCs w:val="24"/>
                <w:lang w:val="en-US"/>
              </w:rPr>
              <w:t>期间</w:t>
            </w:r>
            <w:r>
              <w:rPr>
                <w:rFonts w:ascii="宋体" w:eastAsia="宋体" w:hAnsi="宋体" w:cs="宋体" w:hint="eastAsia"/>
                <w:sz w:val="24"/>
                <w:szCs w:val="24"/>
              </w:rPr>
              <w:t>煤炭</w:t>
            </w:r>
            <w:r>
              <w:rPr>
                <w:rFonts w:ascii="宋体" w:eastAsia="宋体" w:hAnsi="宋体" w:cs="宋体" w:hint="eastAsia"/>
                <w:sz w:val="24"/>
                <w:szCs w:val="24"/>
                <w:lang w:val="en-US"/>
              </w:rPr>
              <w:t>销售</w:t>
            </w:r>
            <w:r>
              <w:rPr>
                <w:rFonts w:ascii="宋体" w:eastAsia="宋体" w:hAnsi="宋体" w:cs="宋体" w:hint="eastAsia"/>
                <w:sz w:val="24"/>
                <w:szCs w:val="24"/>
              </w:rPr>
              <w:t>价格</w:t>
            </w:r>
            <w:r>
              <w:rPr>
                <w:rFonts w:ascii="宋体" w:eastAsia="宋体" w:hAnsi="宋体" w:cs="宋体" w:hint="eastAsia"/>
                <w:sz w:val="24"/>
                <w:szCs w:val="24"/>
                <w:lang w:val="en-US"/>
              </w:rPr>
              <w:t>承压下行，煤炭价格压力已得到释放。</w:t>
            </w:r>
          </w:p>
          <w:p w14:paraId="67EC4644"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6418C732" w14:textId="77777777" w:rsidR="00417BD1" w:rsidRDefault="008227EF">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2.</w:t>
            </w:r>
            <w:r>
              <w:rPr>
                <w:rFonts w:hint="eastAsia"/>
              </w:rPr>
              <w:t xml:space="preserve"> </w:t>
            </w:r>
            <w:r>
              <w:rPr>
                <w:rFonts w:ascii="宋体" w:eastAsia="宋体" w:hAnsi="宋体" w:cs="宋体" w:hint="eastAsia"/>
                <w:b/>
                <w:bCs/>
                <w:sz w:val="24"/>
                <w:szCs w:val="24"/>
                <w:lang w:val="en-US"/>
              </w:rPr>
              <w:t>公司三大煤矿的情况和未来产能规划？</w:t>
            </w:r>
            <w:r>
              <w:rPr>
                <w:rFonts w:ascii="宋体" w:eastAsia="宋体" w:hAnsi="宋体" w:cs="宋体" w:hint="eastAsia"/>
                <w:b/>
                <w:bCs/>
                <w:sz w:val="24"/>
                <w:szCs w:val="24"/>
              </w:rPr>
              <w:t xml:space="preserve"> </w:t>
            </w:r>
          </w:p>
          <w:p w14:paraId="679B1ECE" w14:textId="77777777" w:rsidR="00417BD1" w:rsidRDefault="008227EF">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w:t>
            </w:r>
            <w:r>
              <w:rPr>
                <w:rFonts w:ascii="宋体" w:eastAsia="宋体" w:hAnsi="宋体" w:cs="宋体" w:hint="eastAsia"/>
                <w:sz w:val="24"/>
                <w:szCs w:val="24"/>
                <w:lang w:val="en-US"/>
              </w:rPr>
              <w:t>今年以来，广汇能源在煤炭产能提升方面取得了显著进展，正式步入了发展的“快车道”。其中，</w:t>
            </w:r>
            <w:r>
              <w:rPr>
                <w:rFonts w:ascii="宋体" w:eastAsia="宋体" w:hAnsi="宋体" w:cs="宋体" w:hint="eastAsia"/>
                <w:sz w:val="24"/>
                <w:szCs w:val="24"/>
              </w:rPr>
              <w:t>白石湖煤矿产能</w:t>
            </w:r>
            <w:r>
              <w:rPr>
                <w:rFonts w:ascii="宋体" w:eastAsia="宋体" w:hAnsi="宋体" w:cs="宋体" w:hint="eastAsia"/>
                <w:sz w:val="24"/>
                <w:szCs w:val="24"/>
                <w:lang w:val="en-US"/>
              </w:rPr>
              <w:t>稳步提升</w:t>
            </w:r>
            <w:r>
              <w:rPr>
                <w:rFonts w:ascii="宋体" w:eastAsia="宋体" w:hAnsi="宋体" w:cs="宋体" w:hint="eastAsia"/>
                <w:sz w:val="24"/>
                <w:szCs w:val="24"/>
              </w:rPr>
              <w:t>；马朗煤矿</w:t>
            </w:r>
            <w:r>
              <w:rPr>
                <w:rFonts w:ascii="宋体" w:eastAsia="宋体" w:hAnsi="宋体" w:cs="宋体" w:hint="eastAsia"/>
                <w:sz w:val="24"/>
                <w:szCs w:val="24"/>
                <w:lang w:val="en-US"/>
              </w:rPr>
              <w:t>已获得项目核准及</w:t>
            </w:r>
            <w:r>
              <w:rPr>
                <w:rFonts w:ascii="宋体" w:eastAsia="宋体" w:hAnsi="宋体" w:cs="宋体" w:hint="eastAsia"/>
                <w:sz w:val="24"/>
                <w:szCs w:val="24"/>
              </w:rPr>
              <w:t>采矿权证，</w:t>
            </w:r>
            <w:r>
              <w:rPr>
                <w:rFonts w:ascii="宋体" w:eastAsia="宋体" w:hAnsi="宋体" w:cs="宋体" w:hint="eastAsia"/>
                <w:sz w:val="24"/>
                <w:szCs w:val="24"/>
                <w:lang w:val="en-US"/>
              </w:rPr>
              <w:t>明年将</w:t>
            </w:r>
            <w:r>
              <w:rPr>
                <w:rFonts w:ascii="宋体" w:eastAsia="宋体" w:hAnsi="宋体" w:cs="宋体" w:hint="eastAsia"/>
                <w:sz w:val="24"/>
                <w:szCs w:val="24"/>
              </w:rPr>
              <w:t>进入产能核增程序</w:t>
            </w:r>
            <w:r>
              <w:rPr>
                <w:rFonts w:ascii="宋体" w:eastAsia="宋体" w:hAnsi="宋体" w:cs="宋体" w:hint="eastAsia"/>
                <w:sz w:val="24"/>
                <w:szCs w:val="24"/>
              </w:rPr>
              <w:t>；</w:t>
            </w:r>
            <w:r>
              <w:rPr>
                <w:rFonts w:ascii="宋体" w:eastAsia="宋体" w:hAnsi="宋体" w:cs="宋体" w:hint="eastAsia"/>
                <w:sz w:val="24"/>
                <w:szCs w:val="24"/>
                <w:lang w:val="en-US"/>
              </w:rPr>
              <w:t>东部矿区从适时开发调整为优先开发取得重要突破</w:t>
            </w:r>
            <w:r>
              <w:rPr>
                <w:rFonts w:ascii="宋体" w:eastAsia="宋体" w:hAnsi="宋体" w:cs="宋体" w:hint="eastAsia"/>
                <w:sz w:val="24"/>
                <w:szCs w:val="24"/>
              </w:rPr>
              <w:t>，</w:t>
            </w:r>
            <w:r>
              <w:rPr>
                <w:rFonts w:ascii="宋体" w:eastAsia="宋体" w:hAnsi="宋体" w:cs="宋体" w:hint="eastAsia"/>
                <w:sz w:val="24"/>
                <w:szCs w:val="24"/>
                <w:lang w:val="en-US"/>
              </w:rPr>
              <w:t>手续有望近期落地。随着公司三大矿区优质产能的有序释放，公司服务保障国家能源安全的能力将得到显著提升</w:t>
            </w:r>
            <w:r>
              <w:rPr>
                <w:rFonts w:ascii="宋体" w:eastAsia="宋体" w:hAnsi="宋体" w:cs="宋体" w:hint="eastAsia"/>
                <w:sz w:val="24"/>
                <w:szCs w:val="24"/>
              </w:rPr>
              <w:t>。</w:t>
            </w:r>
          </w:p>
          <w:p w14:paraId="5D9C1AEE"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79111E7C" w14:textId="77777777" w:rsidR="00417BD1" w:rsidRDefault="008227EF">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3.</w:t>
            </w:r>
            <w:r>
              <w:rPr>
                <w:rFonts w:hint="eastAsia"/>
              </w:rPr>
              <w:t xml:space="preserve"> </w:t>
            </w:r>
            <w:r>
              <w:rPr>
                <w:rFonts w:ascii="宋体" w:eastAsia="宋体" w:hAnsi="宋体" w:cs="宋体" w:hint="eastAsia"/>
                <w:b/>
                <w:bCs/>
                <w:sz w:val="24"/>
                <w:szCs w:val="24"/>
              </w:rPr>
              <w:t>请问马朗煤矿热值情况如何？未来是提供给新的煤化工项目么？</w:t>
            </w:r>
          </w:p>
          <w:p w14:paraId="1782CE8C"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lang w:val="en-US"/>
              </w:rPr>
              <w:t>回复：</w:t>
            </w:r>
            <w:r>
              <w:rPr>
                <w:rFonts w:ascii="宋体" w:eastAsia="宋体" w:hAnsi="宋体" w:cs="宋体" w:hint="eastAsia"/>
                <w:sz w:val="24"/>
                <w:szCs w:val="24"/>
                <w:lang w:val="en-US"/>
              </w:rPr>
              <w:t>1.</w:t>
            </w:r>
            <w:r>
              <w:rPr>
                <w:rFonts w:ascii="宋体" w:eastAsia="宋体" w:hAnsi="宋体" w:cs="宋体" w:hint="eastAsia"/>
                <w:sz w:val="24"/>
                <w:szCs w:val="24"/>
                <w:lang w:val="en-US"/>
              </w:rPr>
              <w:t>马朗煤矿开采</w:t>
            </w:r>
            <w:r>
              <w:rPr>
                <w:rFonts w:ascii="宋体" w:eastAsia="宋体" w:hAnsi="宋体" w:cs="宋体" w:hint="eastAsia"/>
                <w:sz w:val="24"/>
                <w:szCs w:val="24"/>
                <w:lang w:val="en-US"/>
              </w:rPr>
              <w:t>初期原煤</w:t>
            </w:r>
            <w:r>
              <w:rPr>
                <w:rFonts w:ascii="宋体" w:eastAsia="宋体" w:hAnsi="宋体" w:cs="宋体" w:hint="eastAsia"/>
                <w:sz w:val="24"/>
                <w:szCs w:val="24"/>
                <w:lang w:val="en-US"/>
              </w:rPr>
              <w:t>热值</w:t>
            </w:r>
            <w:r>
              <w:rPr>
                <w:rFonts w:ascii="宋体" w:eastAsia="宋体" w:hAnsi="宋体" w:cs="宋体" w:hint="eastAsia"/>
                <w:sz w:val="24"/>
                <w:szCs w:val="24"/>
                <w:lang w:val="en-US"/>
              </w:rPr>
              <w:t>为</w:t>
            </w:r>
            <w:r>
              <w:rPr>
                <w:rFonts w:ascii="宋体" w:eastAsia="宋体" w:hAnsi="宋体" w:cs="宋体" w:hint="eastAsia"/>
                <w:sz w:val="24"/>
                <w:szCs w:val="24"/>
                <w:lang w:val="en-US"/>
              </w:rPr>
              <w:t>4600-4700</w:t>
            </w:r>
            <w:r>
              <w:rPr>
                <w:rFonts w:ascii="宋体" w:eastAsia="宋体" w:hAnsi="宋体" w:cs="宋体" w:hint="eastAsia"/>
                <w:sz w:val="24"/>
                <w:szCs w:val="24"/>
                <w:lang w:val="en-US"/>
              </w:rPr>
              <w:t>大卡，随着开采深度的增加，水分和</w:t>
            </w:r>
            <w:r>
              <w:rPr>
                <w:rFonts w:ascii="宋体" w:eastAsia="宋体" w:hAnsi="宋体" w:cs="宋体" w:hint="eastAsia"/>
                <w:sz w:val="24"/>
                <w:szCs w:val="24"/>
                <w:lang w:val="en-US"/>
              </w:rPr>
              <w:t>腐殖酸</w:t>
            </w:r>
            <w:r>
              <w:rPr>
                <w:rFonts w:ascii="宋体" w:eastAsia="宋体" w:hAnsi="宋体" w:cs="宋体" w:hint="eastAsia"/>
                <w:sz w:val="24"/>
                <w:szCs w:val="24"/>
                <w:lang w:val="en-US"/>
              </w:rPr>
              <w:t>含量都在持续</w:t>
            </w:r>
            <w:r>
              <w:rPr>
                <w:rFonts w:ascii="宋体" w:eastAsia="宋体" w:hAnsi="宋体" w:cs="宋体" w:hint="eastAsia"/>
                <w:sz w:val="24"/>
                <w:szCs w:val="24"/>
                <w:lang w:val="en-US"/>
              </w:rPr>
              <w:t>降低</w:t>
            </w:r>
            <w:r>
              <w:rPr>
                <w:rFonts w:ascii="宋体" w:eastAsia="宋体" w:hAnsi="宋体" w:cs="宋体" w:hint="eastAsia"/>
                <w:sz w:val="24"/>
                <w:szCs w:val="24"/>
                <w:lang w:val="en-US"/>
              </w:rPr>
              <w:t>，目前</w:t>
            </w:r>
            <w:r>
              <w:rPr>
                <w:rFonts w:ascii="宋体" w:eastAsia="宋体" w:hAnsi="宋体" w:cs="宋体" w:hint="eastAsia"/>
                <w:sz w:val="24"/>
                <w:szCs w:val="24"/>
                <w:lang w:val="en-US"/>
              </w:rPr>
              <w:t>原煤</w:t>
            </w:r>
            <w:r>
              <w:rPr>
                <w:rFonts w:ascii="宋体" w:eastAsia="宋体" w:hAnsi="宋体" w:cs="宋体" w:hint="eastAsia"/>
                <w:sz w:val="24"/>
                <w:szCs w:val="24"/>
                <w:lang w:val="en-US"/>
              </w:rPr>
              <w:t>热值</w:t>
            </w:r>
            <w:r>
              <w:rPr>
                <w:rFonts w:ascii="宋体" w:eastAsia="宋体" w:hAnsi="宋体" w:cs="宋体" w:hint="eastAsia"/>
                <w:sz w:val="24"/>
                <w:szCs w:val="24"/>
                <w:lang w:val="en-US"/>
              </w:rPr>
              <w:t>已达到</w:t>
            </w:r>
            <w:r>
              <w:rPr>
                <w:rFonts w:ascii="宋体" w:eastAsia="宋体" w:hAnsi="宋体" w:cs="宋体" w:hint="eastAsia"/>
                <w:sz w:val="24"/>
                <w:szCs w:val="24"/>
                <w:lang w:val="en-US"/>
              </w:rPr>
              <w:t>4900-5000</w:t>
            </w:r>
            <w:r>
              <w:rPr>
                <w:rFonts w:ascii="宋体" w:eastAsia="宋体" w:hAnsi="宋体" w:cs="宋体" w:hint="eastAsia"/>
                <w:sz w:val="24"/>
                <w:szCs w:val="24"/>
                <w:lang w:val="en-US"/>
              </w:rPr>
              <w:t>大卡</w:t>
            </w:r>
            <w:r>
              <w:rPr>
                <w:rFonts w:ascii="宋体" w:eastAsia="宋体" w:hAnsi="宋体" w:cs="宋体" w:hint="eastAsia"/>
                <w:sz w:val="24"/>
                <w:szCs w:val="24"/>
                <w:lang w:val="en-US"/>
              </w:rPr>
              <w:t>。后期，原煤</w:t>
            </w:r>
            <w:r>
              <w:rPr>
                <w:rFonts w:ascii="宋体" w:eastAsia="宋体" w:hAnsi="宋体" w:cs="宋体" w:hint="eastAsia"/>
                <w:sz w:val="24"/>
                <w:szCs w:val="24"/>
                <w:lang w:val="en-US"/>
              </w:rPr>
              <w:t>水分和</w:t>
            </w:r>
            <w:r>
              <w:rPr>
                <w:rFonts w:ascii="宋体" w:eastAsia="宋体" w:hAnsi="宋体" w:cs="宋体" w:hint="eastAsia"/>
                <w:sz w:val="24"/>
                <w:szCs w:val="24"/>
                <w:lang w:val="en-US"/>
              </w:rPr>
              <w:t>腐殖酸</w:t>
            </w:r>
            <w:r>
              <w:rPr>
                <w:rFonts w:ascii="宋体" w:eastAsia="宋体" w:hAnsi="宋体" w:cs="宋体" w:hint="eastAsia"/>
                <w:sz w:val="24"/>
                <w:szCs w:val="24"/>
                <w:lang w:val="en-US"/>
              </w:rPr>
              <w:t>含量</w:t>
            </w:r>
            <w:r>
              <w:rPr>
                <w:rFonts w:ascii="宋体" w:eastAsia="宋体" w:hAnsi="宋体" w:cs="宋体" w:hint="eastAsia"/>
                <w:sz w:val="24"/>
                <w:szCs w:val="24"/>
                <w:lang w:val="en-US"/>
              </w:rPr>
              <w:t>有望进一步降低，</w:t>
            </w:r>
            <w:r>
              <w:rPr>
                <w:rFonts w:ascii="宋体" w:eastAsia="宋体" w:hAnsi="宋体" w:cs="宋体" w:hint="eastAsia"/>
                <w:sz w:val="24"/>
                <w:szCs w:val="24"/>
                <w:lang w:val="en-US"/>
              </w:rPr>
              <w:t>煤炭的热值</w:t>
            </w:r>
            <w:r>
              <w:rPr>
                <w:rFonts w:ascii="宋体" w:eastAsia="宋体" w:hAnsi="宋体" w:cs="宋体" w:hint="eastAsia"/>
                <w:sz w:val="24"/>
                <w:szCs w:val="24"/>
                <w:lang w:val="en-US"/>
              </w:rPr>
              <w:t>或将</w:t>
            </w:r>
            <w:r>
              <w:rPr>
                <w:rFonts w:ascii="宋体" w:eastAsia="宋体" w:hAnsi="宋体" w:cs="宋体" w:hint="eastAsia"/>
                <w:sz w:val="24"/>
                <w:szCs w:val="24"/>
                <w:lang w:val="en-US"/>
              </w:rPr>
              <w:t>稳步</w:t>
            </w:r>
            <w:r>
              <w:rPr>
                <w:rFonts w:ascii="宋体" w:eastAsia="宋体" w:hAnsi="宋体" w:cs="宋体" w:hint="eastAsia"/>
                <w:sz w:val="24"/>
                <w:szCs w:val="24"/>
                <w:lang w:val="en-US"/>
              </w:rPr>
              <w:t>提升。</w:t>
            </w:r>
          </w:p>
          <w:p w14:paraId="1C9DE239"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lang w:val="en-US"/>
              </w:rPr>
              <w:t>2.</w:t>
            </w:r>
            <w:r>
              <w:rPr>
                <w:rFonts w:ascii="宋体" w:eastAsia="宋体" w:hAnsi="宋体" w:cs="宋体" w:hint="eastAsia"/>
                <w:sz w:val="24"/>
                <w:szCs w:val="24"/>
                <w:lang w:val="en-US"/>
              </w:rPr>
              <w:t>根据马朗一号煤矿勘察报告显示，该煤矿原煤为中高～高发热量，各煤层以</w:t>
            </w:r>
            <w:r>
              <w:rPr>
                <w:rFonts w:ascii="宋体" w:eastAsia="宋体" w:hAnsi="宋体" w:cs="宋体" w:hint="eastAsia"/>
                <w:sz w:val="24"/>
                <w:szCs w:val="24"/>
                <w:lang w:val="en-US"/>
              </w:rPr>
              <w:t>31BN</w:t>
            </w:r>
            <w:r>
              <w:rPr>
                <w:rFonts w:ascii="宋体" w:eastAsia="宋体" w:hAnsi="宋体" w:cs="宋体" w:hint="eastAsia"/>
                <w:sz w:val="24"/>
                <w:szCs w:val="24"/>
                <w:lang w:val="en-US"/>
              </w:rPr>
              <w:t>（不粘煤）为主，</w:t>
            </w:r>
            <w:r>
              <w:rPr>
                <w:rFonts w:ascii="宋体" w:eastAsia="宋体" w:hAnsi="宋体" w:cs="宋体" w:hint="eastAsia"/>
                <w:sz w:val="24"/>
                <w:szCs w:val="24"/>
                <w:lang w:val="en-US"/>
              </w:rPr>
              <w:t>41CY</w:t>
            </w:r>
            <w:r>
              <w:rPr>
                <w:rFonts w:ascii="宋体" w:eastAsia="宋体" w:hAnsi="宋体" w:cs="宋体" w:hint="eastAsia"/>
                <w:sz w:val="24"/>
                <w:szCs w:val="24"/>
                <w:lang w:val="en-US"/>
              </w:rPr>
              <w:t>（长焰煤）次之，是优质的</w:t>
            </w:r>
            <w:r>
              <w:rPr>
                <w:rFonts w:ascii="宋体" w:eastAsia="宋体" w:hAnsi="宋体" w:cs="宋体" w:hint="eastAsia"/>
                <w:sz w:val="24"/>
                <w:szCs w:val="24"/>
                <w:lang w:val="en-US"/>
              </w:rPr>
              <w:t>动力煤，公司将根据实际产出煤炭的品质特性，进行精准的市场销售定位，以确保煤炭产品能够满足不同客户的需求，并在市场上获得最佳的价值实现。</w:t>
            </w:r>
          </w:p>
          <w:p w14:paraId="2A8F447F" w14:textId="77777777" w:rsidR="00417BD1" w:rsidRDefault="00417BD1">
            <w:pPr>
              <w:pStyle w:val="TableParagraph"/>
              <w:tabs>
                <w:tab w:val="left" w:pos="0"/>
              </w:tabs>
              <w:spacing w:line="420" w:lineRule="exact"/>
              <w:jc w:val="both"/>
              <w:rPr>
                <w:rFonts w:ascii="宋体" w:eastAsia="宋体" w:hAnsi="宋体" w:cs="宋体"/>
                <w:sz w:val="24"/>
                <w:szCs w:val="24"/>
                <w:lang w:val="en-US"/>
              </w:rPr>
            </w:pPr>
          </w:p>
          <w:p w14:paraId="0CB8CA41" w14:textId="77777777" w:rsidR="00417BD1" w:rsidRDefault="008227EF">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4.</w:t>
            </w:r>
            <w:r>
              <w:rPr>
                <w:rFonts w:hint="eastAsia"/>
              </w:rPr>
              <w:t xml:space="preserve"> </w:t>
            </w:r>
            <w:r>
              <w:rPr>
                <w:rFonts w:ascii="宋体" w:eastAsia="宋体" w:hAnsi="宋体" w:cs="宋体" w:hint="eastAsia"/>
                <w:b/>
                <w:bCs/>
                <w:sz w:val="24"/>
                <w:szCs w:val="24"/>
              </w:rPr>
              <w:t>后续煤炭产能释放，运力方面是否能够有所保障？</w:t>
            </w:r>
          </w:p>
          <w:p w14:paraId="3EFC821D"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rPr>
              <w:t>回复：</w:t>
            </w:r>
            <w:r>
              <w:rPr>
                <w:rFonts w:ascii="宋体" w:eastAsia="宋体" w:hAnsi="宋体" w:cs="宋体" w:hint="eastAsia"/>
                <w:sz w:val="24"/>
                <w:szCs w:val="24"/>
                <w:lang w:val="en-US"/>
              </w:rPr>
              <w:t>在宏观层面上，中国煤炭产能的地理转移趋势愈发明显，新疆作为这一转移中的关键区域，其在煤炭供应增长中扮演的角色日益重要。据新疆铁路部门的最新数据，截至</w:t>
            </w:r>
            <w:r>
              <w:rPr>
                <w:rFonts w:ascii="宋体" w:eastAsia="宋体" w:hAnsi="宋体" w:cs="宋体" w:hint="eastAsia"/>
                <w:sz w:val="24"/>
                <w:szCs w:val="24"/>
                <w:lang w:val="en-US"/>
              </w:rPr>
              <w:t>11</w:t>
            </w:r>
            <w:r>
              <w:rPr>
                <w:rFonts w:ascii="宋体" w:eastAsia="宋体" w:hAnsi="宋体" w:cs="宋体" w:hint="eastAsia"/>
                <w:sz w:val="24"/>
                <w:szCs w:val="24"/>
                <w:lang w:val="en-US"/>
              </w:rPr>
              <w:t>月</w:t>
            </w:r>
            <w:r>
              <w:rPr>
                <w:rFonts w:ascii="宋体" w:eastAsia="宋体" w:hAnsi="宋体" w:cs="宋体" w:hint="eastAsia"/>
                <w:sz w:val="24"/>
                <w:szCs w:val="24"/>
                <w:lang w:val="en-US"/>
              </w:rPr>
              <w:t>29</w:t>
            </w:r>
            <w:r>
              <w:rPr>
                <w:rFonts w:ascii="宋体" w:eastAsia="宋体" w:hAnsi="宋体" w:cs="宋体" w:hint="eastAsia"/>
                <w:sz w:val="24"/>
                <w:szCs w:val="24"/>
                <w:lang w:val="en-US"/>
              </w:rPr>
              <w:t>日，新疆铁路的疆煤外运量已达到</w:t>
            </w:r>
            <w:r>
              <w:rPr>
                <w:rFonts w:ascii="宋体" w:eastAsia="宋体" w:hAnsi="宋体" w:cs="宋体" w:hint="eastAsia"/>
                <w:sz w:val="24"/>
                <w:szCs w:val="24"/>
                <w:lang w:val="en-US"/>
              </w:rPr>
              <w:t>8147.9</w:t>
            </w:r>
            <w:r>
              <w:rPr>
                <w:rFonts w:ascii="宋体" w:eastAsia="宋体" w:hAnsi="宋体" w:cs="宋体" w:hint="eastAsia"/>
                <w:sz w:val="24"/>
                <w:szCs w:val="24"/>
                <w:lang w:val="en-US"/>
              </w:rPr>
              <w:t>万吨，同比增长</w:t>
            </w:r>
            <w:r>
              <w:rPr>
                <w:rFonts w:ascii="宋体" w:eastAsia="宋体" w:hAnsi="宋体" w:cs="宋体" w:hint="eastAsia"/>
                <w:sz w:val="24"/>
                <w:szCs w:val="24"/>
                <w:lang w:val="en-US"/>
              </w:rPr>
              <w:t>52.4%</w:t>
            </w:r>
            <w:r>
              <w:rPr>
                <w:rFonts w:ascii="宋体" w:eastAsia="宋体" w:hAnsi="宋体" w:cs="宋体" w:hint="eastAsia"/>
                <w:sz w:val="24"/>
                <w:szCs w:val="24"/>
                <w:lang w:val="en-US"/>
              </w:rPr>
              <w:t>，这一显著的增长反映了新疆煤炭在满足本地区需求的同时，也积极响应了外部市场需求的增加，实现了外运量的大幅增长。</w:t>
            </w:r>
          </w:p>
          <w:p w14:paraId="0E753E3C"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lang w:val="en-US"/>
              </w:rPr>
              <w:lastRenderedPageBreak/>
              <w:t>在公司层面，广汇能源凭借前瞻性的布局，拥有自建的铁路和公路双重出疆通道，这为公司的煤炭销售提供了坚实的物流保障。明年，公司自建的淖柳公路将完成从</w:t>
            </w:r>
            <w:r>
              <w:rPr>
                <w:rFonts w:ascii="宋体" w:eastAsia="宋体" w:hAnsi="宋体" w:cs="宋体" w:hint="eastAsia"/>
                <w:sz w:val="24"/>
                <w:szCs w:val="24"/>
                <w:lang w:val="en-US"/>
              </w:rPr>
              <w:t>2000</w:t>
            </w:r>
            <w:r>
              <w:rPr>
                <w:rFonts w:ascii="宋体" w:eastAsia="宋体" w:hAnsi="宋体" w:cs="宋体" w:hint="eastAsia"/>
                <w:sz w:val="24"/>
                <w:szCs w:val="24"/>
                <w:lang w:val="en-US"/>
              </w:rPr>
              <w:t>万吨</w:t>
            </w:r>
            <w:r>
              <w:rPr>
                <w:rFonts w:ascii="宋体" w:eastAsia="宋体" w:hAnsi="宋体" w:cs="宋体" w:hint="eastAsia"/>
                <w:sz w:val="24"/>
                <w:szCs w:val="24"/>
                <w:lang w:val="en-US"/>
              </w:rPr>
              <w:t>/</w:t>
            </w:r>
            <w:r>
              <w:rPr>
                <w:rFonts w:ascii="宋体" w:eastAsia="宋体" w:hAnsi="宋体" w:cs="宋体" w:hint="eastAsia"/>
                <w:sz w:val="24"/>
                <w:szCs w:val="24"/>
                <w:lang w:val="en-US"/>
              </w:rPr>
              <w:t>年至</w:t>
            </w:r>
            <w:r>
              <w:rPr>
                <w:rFonts w:ascii="宋体" w:eastAsia="宋体" w:hAnsi="宋体" w:cs="宋体" w:hint="eastAsia"/>
                <w:sz w:val="24"/>
                <w:szCs w:val="24"/>
                <w:lang w:val="en-US"/>
              </w:rPr>
              <w:t>4000</w:t>
            </w:r>
            <w:r>
              <w:rPr>
                <w:rFonts w:ascii="宋体" w:eastAsia="宋体" w:hAnsi="宋体" w:cs="宋体" w:hint="eastAsia"/>
                <w:sz w:val="24"/>
                <w:szCs w:val="24"/>
                <w:lang w:val="en-US"/>
              </w:rPr>
              <w:t>万吨</w:t>
            </w:r>
            <w:r>
              <w:rPr>
                <w:rFonts w:ascii="宋体" w:eastAsia="宋体" w:hAnsi="宋体" w:cs="宋体" w:hint="eastAsia"/>
                <w:sz w:val="24"/>
                <w:szCs w:val="24"/>
                <w:lang w:val="en-US"/>
              </w:rPr>
              <w:t>/</w:t>
            </w:r>
            <w:r>
              <w:rPr>
                <w:rFonts w:ascii="宋体" w:eastAsia="宋体" w:hAnsi="宋体" w:cs="宋体" w:hint="eastAsia"/>
                <w:sz w:val="24"/>
                <w:szCs w:val="24"/>
                <w:lang w:val="en-US"/>
              </w:rPr>
              <w:t>年的扩增工程，进一步提升了公路运输能力。同时，淖柳公路到河西走廊地区的公转铁辐射能力也将逐步提升，叠加广汇物流运力提升的各项措施的落地，这将极大地满足公司的煤炭外销的运力需求。同时，公司持续推进客户自提业务，充分调动社会资源，发挥客户自提的积极性，多措并举保障煤炭运输。</w:t>
            </w:r>
          </w:p>
          <w:p w14:paraId="1A1F2EC7"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0F7F9234" w14:textId="77777777" w:rsidR="00417BD1" w:rsidRDefault="008227EF">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5.</w:t>
            </w:r>
            <w:r>
              <w:rPr>
                <w:rFonts w:hint="eastAsia"/>
              </w:rPr>
              <w:t xml:space="preserve"> </w:t>
            </w:r>
            <w:r>
              <w:rPr>
                <w:rFonts w:ascii="宋体" w:eastAsia="宋体" w:hAnsi="宋体" w:cs="宋体" w:hint="eastAsia"/>
                <w:b/>
                <w:bCs/>
                <w:sz w:val="24"/>
                <w:szCs w:val="24"/>
              </w:rPr>
              <w:t>四季度煤化工板块情况如何？</w:t>
            </w:r>
          </w:p>
          <w:p w14:paraId="3CBA08F4"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rPr>
              <w:t>回复：</w:t>
            </w:r>
            <w:r>
              <w:rPr>
                <w:rFonts w:ascii="宋体" w:eastAsia="宋体" w:hAnsi="宋体" w:cs="宋体" w:hint="eastAsia"/>
                <w:sz w:val="24"/>
                <w:szCs w:val="24"/>
                <w:lang w:val="en-US"/>
              </w:rPr>
              <w:t>四季度以来，公司荒煤气综合利用制乙二醇装置的运行负荷得到显著提升，预计四季度有望实现减亏；其他煤化工主产品产量保持高位。</w:t>
            </w:r>
            <w:r>
              <w:rPr>
                <w:rFonts w:ascii="宋体" w:eastAsia="宋体" w:hAnsi="宋体" w:cs="宋体" w:hint="eastAsia"/>
                <w:sz w:val="24"/>
                <w:szCs w:val="24"/>
                <w:lang w:val="en-US"/>
              </w:rPr>
              <w:t>2025</w:t>
            </w:r>
            <w:r>
              <w:rPr>
                <w:rFonts w:ascii="宋体" w:eastAsia="宋体" w:hAnsi="宋体" w:cs="宋体" w:hint="eastAsia"/>
                <w:sz w:val="24"/>
                <w:szCs w:val="24"/>
                <w:lang w:val="en-US"/>
              </w:rPr>
              <w:t>年，公司煤化工板块将以稳定为主，重点保障现有装置的稳定运行，确保生产效率和产品质量，满足市场需求。同时，公司将加快推进</w:t>
            </w:r>
            <w:r>
              <w:rPr>
                <w:rFonts w:ascii="宋体" w:eastAsia="宋体" w:hAnsi="宋体" w:cs="宋体" w:hint="eastAsia"/>
                <w:sz w:val="24"/>
                <w:szCs w:val="24"/>
                <w:lang w:val="en-US"/>
              </w:rPr>
              <w:t>1500</w:t>
            </w:r>
            <w:r>
              <w:rPr>
                <w:rFonts w:ascii="宋体" w:eastAsia="宋体" w:hAnsi="宋体" w:cs="宋体" w:hint="eastAsia"/>
                <w:sz w:val="24"/>
                <w:szCs w:val="24"/>
                <w:lang w:val="en-US"/>
              </w:rPr>
              <w:t>万吨</w:t>
            </w:r>
            <w:r>
              <w:rPr>
                <w:rFonts w:ascii="宋体" w:eastAsia="宋体" w:hAnsi="宋体" w:cs="宋体" w:hint="eastAsia"/>
                <w:sz w:val="24"/>
                <w:szCs w:val="24"/>
                <w:lang w:val="en-US"/>
              </w:rPr>
              <w:t>/</w:t>
            </w:r>
            <w:r>
              <w:rPr>
                <w:rFonts w:ascii="宋体" w:eastAsia="宋体" w:hAnsi="宋体" w:cs="宋体" w:hint="eastAsia"/>
                <w:sz w:val="24"/>
                <w:szCs w:val="24"/>
                <w:lang w:val="en-US"/>
              </w:rPr>
              <w:t>年煤炭分质分级利用示范项目，进一步提升公司在煤炭深加工领域的竞争力，增强产品附加值。</w:t>
            </w:r>
          </w:p>
          <w:p w14:paraId="3AACE9B0" w14:textId="77777777" w:rsidR="00417BD1" w:rsidRDefault="00417BD1">
            <w:pPr>
              <w:pStyle w:val="TableParagraph"/>
              <w:tabs>
                <w:tab w:val="left" w:pos="0"/>
              </w:tabs>
              <w:spacing w:line="420" w:lineRule="exact"/>
              <w:jc w:val="both"/>
              <w:rPr>
                <w:rFonts w:ascii="宋体" w:eastAsia="宋体" w:hAnsi="宋体" w:cs="宋体"/>
                <w:sz w:val="24"/>
                <w:szCs w:val="24"/>
                <w:lang w:val="en-US"/>
              </w:rPr>
            </w:pPr>
          </w:p>
          <w:p w14:paraId="28CBA971" w14:textId="77777777" w:rsidR="00417BD1" w:rsidRDefault="008227EF">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6.</w:t>
            </w:r>
            <w:r>
              <w:rPr>
                <w:rFonts w:hint="eastAsia"/>
              </w:rPr>
              <w:t xml:space="preserve"> </w:t>
            </w:r>
            <w:r>
              <w:rPr>
                <w:rFonts w:ascii="宋体" w:eastAsia="宋体" w:hAnsi="宋体" w:cs="宋体" w:hint="eastAsia"/>
                <w:b/>
                <w:bCs/>
                <w:sz w:val="24"/>
                <w:szCs w:val="24"/>
              </w:rPr>
              <w:t>请问一下公司未来煤化工的规划？</w:t>
            </w:r>
          </w:p>
          <w:p w14:paraId="77D6B583"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rPr>
              <w:t>回复：</w:t>
            </w:r>
            <w:r>
              <w:rPr>
                <w:rFonts w:ascii="宋体" w:eastAsia="宋体" w:hAnsi="宋体" w:cs="宋体" w:hint="eastAsia"/>
                <w:sz w:val="24"/>
                <w:szCs w:val="24"/>
                <w:lang w:val="en-US"/>
              </w:rPr>
              <w:t>在新疆全力打造国家能源资源战略保障基地的背景下，公司始终坚持煤炭和煤炭工产业链一体化发展，依托产品的多样化平抑煤炭市场价格大幅波动对公司利润造成的影响，同时坚持探索煤化工与新能源产业的耦合，走绿色、低碳、清洁化发展道路。目前公司在确保现有煤化工装置稳定运行的基础上，稳步推进</w:t>
            </w:r>
            <w:r>
              <w:rPr>
                <w:rFonts w:ascii="宋体" w:eastAsia="宋体" w:hAnsi="宋体" w:cs="宋体" w:hint="eastAsia"/>
                <w:sz w:val="24"/>
                <w:szCs w:val="24"/>
                <w:lang w:val="en-US"/>
              </w:rPr>
              <w:t>1500</w:t>
            </w:r>
            <w:r>
              <w:rPr>
                <w:rFonts w:ascii="宋体" w:eastAsia="宋体" w:hAnsi="宋体" w:cs="宋体" w:hint="eastAsia"/>
                <w:sz w:val="24"/>
                <w:szCs w:val="24"/>
                <w:lang w:val="en-US"/>
              </w:rPr>
              <w:t>万吨</w:t>
            </w:r>
            <w:r>
              <w:rPr>
                <w:rFonts w:ascii="宋体" w:eastAsia="宋体" w:hAnsi="宋体" w:cs="宋体" w:hint="eastAsia"/>
                <w:sz w:val="24"/>
                <w:szCs w:val="24"/>
                <w:lang w:val="en-US"/>
              </w:rPr>
              <w:t>/</w:t>
            </w:r>
            <w:r>
              <w:rPr>
                <w:rFonts w:ascii="宋体" w:eastAsia="宋体" w:hAnsi="宋体" w:cs="宋体" w:hint="eastAsia"/>
                <w:sz w:val="24"/>
                <w:szCs w:val="24"/>
                <w:lang w:val="en-US"/>
              </w:rPr>
              <w:t>年煤炭分级分质综合利用示范项目，同时，将与战略合作方一起论证新的煤化工产品方案，共同推进煤化工产业链延链、补链、强链，产品往高端化、差异化方向发展。</w:t>
            </w:r>
          </w:p>
          <w:p w14:paraId="500A586A"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5E06EB52" w14:textId="77777777" w:rsidR="00417BD1" w:rsidRDefault="008227EF">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7.</w:t>
            </w:r>
            <w:r>
              <w:rPr>
                <w:rFonts w:hint="eastAsia"/>
              </w:rPr>
              <w:t xml:space="preserve"> </w:t>
            </w:r>
            <w:r>
              <w:rPr>
                <w:rFonts w:ascii="宋体" w:eastAsia="宋体" w:hAnsi="宋体" w:cs="宋体" w:hint="eastAsia"/>
                <w:b/>
                <w:bCs/>
                <w:sz w:val="24"/>
                <w:szCs w:val="24"/>
              </w:rPr>
              <w:t>公司天然气板块的整体情况及未来规划？</w:t>
            </w:r>
          </w:p>
          <w:p w14:paraId="380E5F28"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rPr>
              <w:t>回复：</w:t>
            </w:r>
            <w:r>
              <w:rPr>
                <w:rFonts w:ascii="宋体" w:eastAsia="宋体" w:hAnsi="宋体" w:cs="宋体" w:hint="eastAsia"/>
                <w:sz w:val="24"/>
                <w:szCs w:val="24"/>
                <w:lang w:val="en-US"/>
              </w:rPr>
              <w:t>自产气部分，除新能源公司</w:t>
            </w:r>
            <w:r>
              <w:rPr>
                <w:rFonts w:ascii="宋体" w:eastAsia="宋体" w:hAnsi="宋体" w:cs="宋体" w:hint="eastAsia"/>
                <w:sz w:val="24"/>
                <w:szCs w:val="24"/>
                <w:lang w:val="en-US"/>
              </w:rPr>
              <w:t>120</w:t>
            </w:r>
            <w:r>
              <w:rPr>
                <w:rFonts w:ascii="宋体" w:eastAsia="宋体" w:hAnsi="宋体" w:cs="宋体" w:hint="eastAsia"/>
                <w:sz w:val="24"/>
                <w:szCs w:val="24"/>
                <w:lang w:val="en-US"/>
              </w:rPr>
              <w:t>万吨甲醇联产</w:t>
            </w:r>
            <w:r>
              <w:rPr>
                <w:rFonts w:ascii="宋体" w:eastAsia="宋体" w:hAnsi="宋体" w:cs="宋体" w:hint="eastAsia"/>
                <w:sz w:val="24"/>
                <w:szCs w:val="24"/>
                <w:lang w:val="en-US"/>
              </w:rPr>
              <w:t>7</w:t>
            </w:r>
            <w:r>
              <w:rPr>
                <w:rFonts w:ascii="宋体" w:eastAsia="宋体" w:hAnsi="宋体" w:cs="宋体" w:hint="eastAsia"/>
                <w:sz w:val="24"/>
                <w:szCs w:val="24"/>
                <w:lang w:val="en-US"/>
              </w:rPr>
              <w:t>亿方</w:t>
            </w:r>
            <w:r>
              <w:rPr>
                <w:rFonts w:ascii="宋体" w:eastAsia="宋体" w:hAnsi="宋体" w:cs="宋体" w:hint="eastAsia"/>
                <w:sz w:val="24"/>
                <w:szCs w:val="24"/>
                <w:lang w:val="en-US"/>
              </w:rPr>
              <w:t>LNG</w:t>
            </w:r>
            <w:r>
              <w:rPr>
                <w:rFonts w:ascii="宋体" w:eastAsia="宋体" w:hAnsi="宋体" w:cs="宋体" w:hint="eastAsia"/>
                <w:sz w:val="24"/>
                <w:szCs w:val="24"/>
                <w:lang w:val="en-US"/>
              </w:rPr>
              <w:t>项目，公司新投建的</w:t>
            </w:r>
            <w:r>
              <w:rPr>
                <w:rFonts w:ascii="宋体" w:eastAsia="宋体" w:hAnsi="宋体" w:cs="宋体" w:hint="eastAsia"/>
                <w:sz w:val="24"/>
                <w:szCs w:val="24"/>
                <w:lang w:val="en-US"/>
              </w:rPr>
              <w:t>1500</w:t>
            </w:r>
            <w:r>
              <w:rPr>
                <w:rFonts w:ascii="宋体" w:eastAsia="宋体" w:hAnsi="宋体" w:cs="宋体" w:hint="eastAsia"/>
                <w:sz w:val="24"/>
                <w:szCs w:val="24"/>
                <w:lang w:val="en-US"/>
              </w:rPr>
              <w:t>万吨</w:t>
            </w:r>
            <w:r>
              <w:rPr>
                <w:rFonts w:ascii="宋体" w:eastAsia="宋体" w:hAnsi="宋体" w:cs="宋体" w:hint="eastAsia"/>
                <w:sz w:val="24"/>
                <w:szCs w:val="24"/>
                <w:lang w:val="en-US"/>
              </w:rPr>
              <w:t>/</w:t>
            </w:r>
            <w:r>
              <w:rPr>
                <w:rFonts w:ascii="宋体" w:eastAsia="宋体" w:hAnsi="宋体" w:cs="宋体" w:hint="eastAsia"/>
                <w:sz w:val="24"/>
                <w:szCs w:val="24"/>
                <w:lang w:val="en-US"/>
              </w:rPr>
              <w:t>年煤炭分质分级利用示范项目建成后，预计新增</w:t>
            </w:r>
            <w:r>
              <w:rPr>
                <w:rFonts w:ascii="宋体" w:eastAsia="宋体" w:hAnsi="宋体" w:cs="宋体" w:hint="eastAsia"/>
                <w:sz w:val="24"/>
                <w:szCs w:val="24"/>
                <w:lang w:val="en-US"/>
              </w:rPr>
              <w:t>LNG</w:t>
            </w:r>
            <w:r>
              <w:rPr>
                <w:rFonts w:ascii="宋体" w:eastAsia="宋体" w:hAnsi="宋体" w:cs="宋体" w:hint="eastAsia"/>
                <w:sz w:val="24"/>
                <w:szCs w:val="24"/>
                <w:lang w:val="en-US"/>
              </w:rPr>
              <w:t>产能约</w:t>
            </w:r>
            <w:r>
              <w:rPr>
                <w:rFonts w:ascii="宋体" w:eastAsia="宋体" w:hAnsi="宋体" w:cs="宋体" w:hint="eastAsia"/>
                <w:sz w:val="24"/>
                <w:szCs w:val="24"/>
                <w:lang w:val="en-US"/>
              </w:rPr>
              <w:t>12</w:t>
            </w:r>
            <w:r>
              <w:rPr>
                <w:rFonts w:ascii="宋体" w:eastAsia="宋体" w:hAnsi="宋体" w:cs="宋体" w:hint="eastAsia"/>
                <w:sz w:val="24"/>
                <w:szCs w:val="24"/>
                <w:lang w:val="en-US"/>
              </w:rPr>
              <w:t>亿方。</w:t>
            </w:r>
          </w:p>
          <w:p w14:paraId="02349FD1" w14:textId="77777777" w:rsidR="00417BD1" w:rsidRDefault="008227EF">
            <w:pPr>
              <w:pStyle w:val="TableParagraph"/>
              <w:tabs>
                <w:tab w:val="left" w:pos="0"/>
              </w:tabs>
              <w:spacing w:line="420" w:lineRule="exact"/>
              <w:jc w:val="both"/>
              <w:rPr>
                <w:rFonts w:ascii="宋体" w:eastAsia="宋体" w:hAnsi="宋体" w:cs="宋体"/>
                <w:sz w:val="24"/>
                <w:szCs w:val="24"/>
                <w:lang w:val="en-US"/>
              </w:rPr>
            </w:pPr>
            <w:r>
              <w:rPr>
                <w:rFonts w:ascii="宋体" w:eastAsia="宋体" w:hAnsi="宋体" w:cs="宋体" w:hint="eastAsia"/>
                <w:sz w:val="24"/>
                <w:szCs w:val="24"/>
                <w:lang w:val="en-US"/>
              </w:rPr>
              <w:t>外购气部分，公司依托江苏南通吕四港启东</w:t>
            </w:r>
            <w:r>
              <w:rPr>
                <w:rFonts w:ascii="宋体" w:eastAsia="宋体" w:hAnsi="宋体" w:cs="宋体" w:hint="eastAsia"/>
                <w:sz w:val="24"/>
                <w:szCs w:val="24"/>
                <w:lang w:val="en-US"/>
              </w:rPr>
              <w:t>LNG</w:t>
            </w:r>
            <w:r>
              <w:rPr>
                <w:rFonts w:ascii="宋体" w:eastAsia="宋体" w:hAnsi="宋体" w:cs="宋体" w:hint="eastAsia"/>
                <w:sz w:val="24"/>
                <w:szCs w:val="24"/>
                <w:lang w:val="en-US"/>
              </w:rPr>
              <w:t>接收站</w:t>
            </w:r>
            <w:r>
              <w:rPr>
                <w:rFonts w:ascii="宋体" w:eastAsia="宋体" w:hAnsi="宋体" w:cs="宋体" w:hint="eastAsia"/>
                <w:sz w:val="24"/>
                <w:szCs w:val="24"/>
                <w:lang w:val="en-US"/>
              </w:rPr>
              <w:t>,</w:t>
            </w:r>
            <w:r>
              <w:rPr>
                <w:rFonts w:ascii="宋体" w:eastAsia="宋体" w:hAnsi="宋体" w:cs="宋体" w:hint="eastAsia"/>
                <w:sz w:val="24"/>
                <w:szCs w:val="24"/>
                <w:lang w:val="en-US"/>
              </w:rPr>
              <w:t>立足国</w:t>
            </w:r>
            <w:r>
              <w:rPr>
                <w:rFonts w:ascii="宋体" w:eastAsia="宋体" w:hAnsi="宋体" w:cs="宋体" w:hint="eastAsia"/>
                <w:sz w:val="24"/>
                <w:szCs w:val="24"/>
                <w:lang w:val="en-US"/>
              </w:rPr>
              <w:lastRenderedPageBreak/>
              <w:t>内和国际两个市场，采用以利润为导向的“一气多销”销售模式，增强市场竞争力。现阶段，国际天然气价格高于国内市场，公司外购气主要立足国际市场为主的销售策略，保障公司利润最大化。未来公司将继续对启东</w:t>
            </w:r>
            <w:r>
              <w:rPr>
                <w:rFonts w:ascii="宋体" w:eastAsia="宋体" w:hAnsi="宋体" w:cs="宋体" w:hint="eastAsia"/>
                <w:sz w:val="24"/>
                <w:szCs w:val="24"/>
                <w:lang w:val="en-US"/>
              </w:rPr>
              <w:t>LNG</w:t>
            </w:r>
            <w:r>
              <w:rPr>
                <w:rFonts w:ascii="宋体" w:eastAsia="宋体" w:hAnsi="宋体" w:cs="宋体" w:hint="eastAsia"/>
                <w:sz w:val="24"/>
                <w:szCs w:val="24"/>
                <w:lang w:val="en-US"/>
              </w:rPr>
              <w:t>接收站进行扩能改造，并进一步提升接收周转能力至</w:t>
            </w:r>
            <w:r>
              <w:rPr>
                <w:rFonts w:ascii="宋体" w:eastAsia="宋体" w:hAnsi="宋体" w:cs="宋体" w:hint="eastAsia"/>
                <w:sz w:val="24"/>
                <w:szCs w:val="24"/>
                <w:lang w:val="en-US"/>
              </w:rPr>
              <w:t>1000</w:t>
            </w:r>
            <w:r>
              <w:rPr>
                <w:rFonts w:ascii="宋体" w:eastAsia="宋体" w:hAnsi="宋体" w:cs="宋体" w:hint="eastAsia"/>
                <w:sz w:val="24"/>
                <w:szCs w:val="24"/>
                <w:lang w:val="en-US"/>
              </w:rPr>
              <w:t>万吨</w:t>
            </w:r>
            <w:r>
              <w:rPr>
                <w:rFonts w:ascii="宋体" w:eastAsia="宋体" w:hAnsi="宋体" w:cs="宋体" w:hint="eastAsia"/>
                <w:sz w:val="24"/>
                <w:szCs w:val="24"/>
                <w:lang w:val="en-US"/>
              </w:rPr>
              <w:t>/</w:t>
            </w:r>
            <w:r>
              <w:rPr>
                <w:rFonts w:ascii="宋体" w:eastAsia="宋体" w:hAnsi="宋体" w:cs="宋体" w:hint="eastAsia"/>
                <w:sz w:val="24"/>
                <w:szCs w:val="24"/>
                <w:lang w:val="en-US"/>
              </w:rPr>
              <w:t>年，随着国内外天然气价格趋于合理区间，公司将加大码头周转规模，优化仓储和接卸流程，提高运营效率，确保稳定的盈利能力。</w:t>
            </w:r>
          </w:p>
          <w:p w14:paraId="6B328987"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5FA4D481" w14:textId="77777777" w:rsidR="00417BD1" w:rsidRDefault="008227EF">
            <w:pPr>
              <w:pStyle w:val="TableParagraph"/>
              <w:tabs>
                <w:tab w:val="left" w:pos="0"/>
              </w:tabs>
              <w:spacing w:line="420" w:lineRule="exact"/>
              <w:jc w:val="both"/>
              <w:rPr>
                <w:rFonts w:ascii="宋体" w:eastAsia="宋体" w:hAnsi="宋体" w:cs="宋体"/>
                <w:b/>
                <w:bCs/>
                <w:sz w:val="24"/>
                <w:szCs w:val="24"/>
              </w:rPr>
            </w:pPr>
            <w:r>
              <w:rPr>
                <w:rFonts w:ascii="宋体" w:eastAsia="宋体" w:hAnsi="宋体" w:cs="宋体" w:hint="eastAsia"/>
                <w:b/>
                <w:bCs/>
                <w:sz w:val="24"/>
                <w:szCs w:val="24"/>
                <w:lang w:val="en-US"/>
              </w:rPr>
              <w:t>8</w:t>
            </w:r>
            <w:r>
              <w:rPr>
                <w:rFonts w:ascii="宋体" w:eastAsia="宋体" w:hAnsi="宋体" w:cs="宋体" w:hint="eastAsia"/>
                <w:b/>
                <w:bCs/>
                <w:sz w:val="24"/>
                <w:szCs w:val="24"/>
              </w:rPr>
              <w:t>.</w:t>
            </w:r>
            <w:r>
              <w:rPr>
                <w:rFonts w:hint="eastAsia"/>
              </w:rPr>
              <w:t xml:space="preserve"> </w:t>
            </w:r>
            <w:r>
              <w:rPr>
                <w:rFonts w:ascii="宋体" w:eastAsia="宋体" w:hAnsi="宋体" w:cs="宋体" w:hint="eastAsia"/>
                <w:b/>
                <w:bCs/>
                <w:sz w:val="24"/>
                <w:szCs w:val="24"/>
              </w:rPr>
              <w:t>请问公司未来还会保持现在的分红比例么？</w:t>
            </w:r>
          </w:p>
          <w:p w14:paraId="38D0A8F4" w14:textId="77777777" w:rsidR="00417BD1" w:rsidRDefault="008227EF">
            <w:pPr>
              <w:pStyle w:val="TableParagraph"/>
              <w:tabs>
                <w:tab w:val="left" w:pos="0"/>
              </w:tabs>
              <w:spacing w:line="420" w:lineRule="exact"/>
              <w:jc w:val="both"/>
              <w:rPr>
                <w:rFonts w:ascii="宋体" w:eastAsia="宋体" w:hAnsi="宋体" w:cs="宋体"/>
                <w:sz w:val="24"/>
                <w:szCs w:val="24"/>
              </w:rPr>
            </w:pPr>
            <w:r>
              <w:rPr>
                <w:rFonts w:ascii="宋体" w:eastAsia="宋体" w:hAnsi="宋体" w:cs="宋体" w:hint="eastAsia"/>
                <w:sz w:val="24"/>
                <w:szCs w:val="24"/>
              </w:rPr>
              <w:t>回复：公司会在完成</w:t>
            </w:r>
            <w:r>
              <w:rPr>
                <w:rFonts w:ascii="宋体" w:eastAsia="宋体" w:hAnsi="宋体" w:cs="宋体"/>
                <w:sz w:val="24"/>
                <w:szCs w:val="24"/>
              </w:rPr>
              <w:t>2022-2024</w:t>
            </w:r>
            <w:r>
              <w:rPr>
                <w:rFonts w:ascii="宋体" w:eastAsia="宋体" w:hAnsi="宋体" w:cs="宋体"/>
                <w:sz w:val="24"/>
                <w:szCs w:val="24"/>
              </w:rPr>
              <w:t>年既有分红方案的基础上，结合业务发展实际需求、盈利水平、政策指导及股东诉求等多方面因素综合考虑新的三年分红政策及方案，同时秉承与时俱进理念积极支持分红形式的多样化，予以合理平衡企业可持续发展和股东回报。</w:t>
            </w:r>
          </w:p>
          <w:p w14:paraId="0D1AE455"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7EEEF6C3"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06B9D571"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1F691716"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31B69C58"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02D50E07"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45641283"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7ABE367C"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0A8B2EA2"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503879B9"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290A14CC"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626B894E"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4256FFB5"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2355611E" w14:textId="77777777" w:rsidR="00417BD1" w:rsidRDefault="00417BD1">
            <w:pPr>
              <w:pStyle w:val="TableParagraph"/>
              <w:tabs>
                <w:tab w:val="left" w:pos="0"/>
              </w:tabs>
              <w:spacing w:line="420" w:lineRule="exact"/>
              <w:jc w:val="both"/>
              <w:rPr>
                <w:rFonts w:ascii="宋体" w:eastAsia="宋体" w:hAnsi="宋体" w:cs="宋体"/>
                <w:sz w:val="24"/>
                <w:szCs w:val="24"/>
              </w:rPr>
            </w:pPr>
          </w:p>
          <w:p w14:paraId="75A45A81" w14:textId="77777777" w:rsidR="00417BD1" w:rsidRDefault="00417BD1">
            <w:pPr>
              <w:pStyle w:val="TableParagraph"/>
              <w:tabs>
                <w:tab w:val="left" w:pos="0"/>
              </w:tabs>
              <w:spacing w:line="420" w:lineRule="exact"/>
              <w:jc w:val="both"/>
              <w:rPr>
                <w:rFonts w:ascii="宋体" w:eastAsia="宋体" w:hAnsi="宋体" w:cs="宋体"/>
                <w:sz w:val="24"/>
                <w:szCs w:val="24"/>
              </w:rPr>
            </w:pPr>
          </w:p>
        </w:tc>
      </w:tr>
      <w:tr w:rsidR="00417BD1" w14:paraId="1AB4090E" w14:textId="77777777">
        <w:trPr>
          <w:trHeight w:val="561"/>
          <w:jc w:val="center"/>
        </w:trPr>
        <w:tc>
          <w:tcPr>
            <w:tcW w:w="1930" w:type="dxa"/>
            <w:vAlign w:val="center"/>
          </w:tcPr>
          <w:p w14:paraId="6FD46E7E" w14:textId="77777777" w:rsidR="00417BD1" w:rsidRDefault="008227EF">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lastRenderedPageBreak/>
              <w:t>附件清单（如有）</w:t>
            </w:r>
          </w:p>
        </w:tc>
        <w:tc>
          <w:tcPr>
            <w:tcW w:w="6595" w:type="dxa"/>
            <w:vAlign w:val="center"/>
          </w:tcPr>
          <w:p w14:paraId="04407F2D" w14:textId="77777777" w:rsidR="00417BD1" w:rsidRDefault="008227EF">
            <w:pPr>
              <w:pStyle w:val="TableParagraph"/>
              <w:tabs>
                <w:tab w:val="left" w:pos="0"/>
              </w:tabs>
              <w:spacing w:line="500" w:lineRule="exact"/>
              <w:rPr>
                <w:rFonts w:ascii="宋体" w:eastAsia="宋体" w:hAnsi="宋体" w:cs="宋体"/>
                <w:sz w:val="24"/>
                <w:szCs w:val="24"/>
              </w:rPr>
            </w:pPr>
            <w:r>
              <w:rPr>
                <w:rFonts w:ascii="宋体" w:eastAsia="宋体" w:hAnsi="宋体" w:cs="宋体" w:hint="eastAsia"/>
                <w:sz w:val="24"/>
                <w:szCs w:val="24"/>
              </w:rPr>
              <w:t>无</w:t>
            </w:r>
          </w:p>
        </w:tc>
      </w:tr>
      <w:tr w:rsidR="00417BD1" w14:paraId="3F170A9C" w14:textId="77777777">
        <w:trPr>
          <w:trHeight w:val="558"/>
          <w:jc w:val="center"/>
        </w:trPr>
        <w:tc>
          <w:tcPr>
            <w:tcW w:w="1930" w:type="dxa"/>
            <w:vAlign w:val="center"/>
          </w:tcPr>
          <w:p w14:paraId="2AF1222B" w14:textId="77777777" w:rsidR="00417BD1" w:rsidRDefault="008227EF">
            <w:pPr>
              <w:pStyle w:val="TableParagraph"/>
              <w:spacing w:line="500" w:lineRule="exact"/>
              <w:ind w:left="107" w:right="96"/>
              <w:jc w:val="center"/>
              <w:rPr>
                <w:rFonts w:ascii="宋体" w:eastAsia="宋体" w:hAnsi="宋体" w:cs="宋体"/>
                <w:b/>
                <w:bCs/>
                <w:sz w:val="24"/>
                <w:szCs w:val="24"/>
              </w:rPr>
            </w:pPr>
            <w:r>
              <w:rPr>
                <w:rFonts w:ascii="宋体" w:eastAsia="宋体" w:hAnsi="宋体" w:cs="宋体" w:hint="eastAsia"/>
                <w:b/>
                <w:bCs/>
                <w:sz w:val="24"/>
                <w:szCs w:val="24"/>
              </w:rPr>
              <w:t>日期</w:t>
            </w:r>
          </w:p>
        </w:tc>
        <w:tc>
          <w:tcPr>
            <w:tcW w:w="6595" w:type="dxa"/>
            <w:vAlign w:val="center"/>
          </w:tcPr>
          <w:p w14:paraId="73CC5FD5" w14:textId="7846C494" w:rsidR="00417BD1" w:rsidRDefault="008227EF">
            <w:pPr>
              <w:pStyle w:val="TableParagraph"/>
              <w:tabs>
                <w:tab w:val="left" w:pos="0"/>
              </w:tabs>
              <w:spacing w:line="500" w:lineRule="exact"/>
              <w:rPr>
                <w:rFonts w:ascii="宋体" w:eastAsia="宋体" w:hAnsi="宋体" w:cs="宋体"/>
                <w:sz w:val="24"/>
                <w:szCs w:val="24"/>
              </w:rPr>
            </w:pP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hint="eastAsia"/>
                <w:sz w:val="24"/>
                <w:szCs w:val="24"/>
                <w:lang w:val="en-US"/>
              </w:rPr>
              <w:t>1</w:t>
            </w:r>
            <w:r>
              <w:rPr>
                <w:rFonts w:ascii="宋体" w:eastAsia="宋体" w:hAnsi="宋体" w:cs="宋体"/>
                <w:sz w:val="24"/>
                <w:szCs w:val="24"/>
                <w:lang w:val="en-US"/>
              </w:rPr>
              <w:t>2</w:t>
            </w:r>
            <w:r>
              <w:rPr>
                <w:rFonts w:ascii="宋体" w:eastAsia="宋体" w:hAnsi="宋体" w:cs="宋体"/>
                <w:sz w:val="24"/>
                <w:szCs w:val="24"/>
              </w:rPr>
              <w:t>月</w:t>
            </w:r>
            <w:r>
              <w:rPr>
                <w:rFonts w:ascii="宋体" w:eastAsia="宋体" w:hAnsi="宋体" w:cs="宋体" w:hint="eastAsia"/>
                <w:sz w:val="24"/>
                <w:szCs w:val="24"/>
                <w:lang w:val="en-US"/>
              </w:rPr>
              <w:t>18</w:t>
            </w:r>
            <w:r>
              <w:rPr>
                <w:rFonts w:ascii="宋体" w:eastAsia="宋体" w:hAnsi="宋体" w:cs="宋体"/>
                <w:sz w:val="24"/>
                <w:szCs w:val="24"/>
              </w:rPr>
              <w:t>日</w:t>
            </w:r>
          </w:p>
        </w:tc>
      </w:tr>
    </w:tbl>
    <w:p w14:paraId="5C61BF4C" w14:textId="77777777" w:rsidR="00417BD1" w:rsidRDefault="00417BD1">
      <w:pPr>
        <w:spacing w:line="500" w:lineRule="exact"/>
        <w:rPr>
          <w:rFonts w:ascii="宋体" w:eastAsia="宋体" w:hAnsi="宋体" w:cs="宋体"/>
          <w:sz w:val="28"/>
          <w:szCs w:val="36"/>
        </w:rPr>
      </w:pPr>
    </w:p>
    <w:sectPr w:rsidR="00417BD1">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FlMDdiNDQyMTc0OTdmZTBhNDNlYzcxODI3YWVjM2UifQ=="/>
  </w:docVars>
  <w:rsids>
    <w:rsidRoot w:val="00301D32"/>
    <w:rsid w:val="00003FED"/>
    <w:rsid w:val="000161F5"/>
    <w:rsid w:val="00026CC3"/>
    <w:rsid w:val="00026E4C"/>
    <w:rsid w:val="00036089"/>
    <w:rsid w:val="00053CFA"/>
    <w:rsid w:val="000633EC"/>
    <w:rsid w:val="00063804"/>
    <w:rsid w:val="000665A2"/>
    <w:rsid w:val="000877AB"/>
    <w:rsid w:val="0009564A"/>
    <w:rsid w:val="000B7C08"/>
    <w:rsid w:val="000D12CF"/>
    <w:rsid w:val="000D2D88"/>
    <w:rsid w:val="000D61BC"/>
    <w:rsid w:val="000E4B20"/>
    <w:rsid w:val="00113904"/>
    <w:rsid w:val="0011418F"/>
    <w:rsid w:val="00146780"/>
    <w:rsid w:val="00172C24"/>
    <w:rsid w:val="001E59D1"/>
    <w:rsid w:val="001E5EA4"/>
    <w:rsid w:val="002042A7"/>
    <w:rsid w:val="00204445"/>
    <w:rsid w:val="00205911"/>
    <w:rsid w:val="002146AD"/>
    <w:rsid w:val="00275CB6"/>
    <w:rsid w:val="002800B5"/>
    <w:rsid w:val="00295B29"/>
    <w:rsid w:val="002D4073"/>
    <w:rsid w:val="002E7098"/>
    <w:rsid w:val="00301D32"/>
    <w:rsid w:val="003372BA"/>
    <w:rsid w:val="00366FAD"/>
    <w:rsid w:val="0037105B"/>
    <w:rsid w:val="003975BA"/>
    <w:rsid w:val="003A74E6"/>
    <w:rsid w:val="003B73DD"/>
    <w:rsid w:val="003D011C"/>
    <w:rsid w:val="004108C7"/>
    <w:rsid w:val="00412DC2"/>
    <w:rsid w:val="00417BD1"/>
    <w:rsid w:val="00440041"/>
    <w:rsid w:val="00451268"/>
    <w:rsid w:val="004515AD"/>
    <w:rsid w:val="00451857"/>
    <w:rsid w:val="00453516"/>
    <w:rsid w:val="00457548"/>
    <w:rsid w:val="00470DB2"/>
    <w:rsid w:val="00471638"/>
    <w:rsid w:val="00472E01"/>
    <w:rsid w:val="004925E7"/>
    <w:rsid w:val="00495B11"/>
    <w:rsid w:val="004E4E6E"/>
    <w:rsid w:val="004F0D7C"/>
    <w:rsid w:val="004F6FF3"/>
    <w:rsid w:val="005018EB"/>
    <w:rsid w:val="00534833"/>
    <w:rsid w:val="00571B49"/>
    <w:rsid w:val="005743AE"/>
    <w:rsid w:val="005802A2"/>
    <w:rsid w:val="0059577A"/>
    <w:rsid w:val="005D64CA"/>
    <w:rsid w:val="005E5717"/>
    <w:rsid w:val="005E6DB2"/>
    <w:rsid w:val="0061433E"/>
    <w:rsid w:val="0062751D"/>
    <w:rsid w:val="006354AA"/>
    <w:rsid w:val="00661AFA"/>
    <w:rsid w:val="006726BF"/>
    <w:rsid w:val="00677B77"/>
    <w:rsid w:val="0068718A"/>
    <w:rsid w:val="006A2739"/>
    <w:rsid w:val="006A67F0"/>
    <w:rsid w:val="006B5C95"/>
    <w:rsid w:val="006D2843"/>
    <w:rsid w:val="006E14B0"/>
    <w:rsid w:val="006F0108"/>
    <w:rsid w:val="00704AE6"/>
    <w:rsid w:val="007153A2"/>
    <w:rsid w:val="00724A68"/>
    <w:rsid w:val="007271BF"/>
    <w:rsid w:val="00730DD3"/>
    <w:rsid w:val="00733224"/>
    <w:rsid w:val="00764128"/>
    <w:rsid w:val="00770545"/>
    <w:rsid w:val="007824B8"/>
    <w:rsid w:val="007910DD"/>
    <w:rsid w:val="007A3EC1"/>
    <w:rsid w:val="007A528B"/>
    <w:rsid w:val="007B3368"/>
    <w:rsid w:val="007B6887"/>
    <w:rsid w:val="007D0A69"/>
    <w:rsid w:val="007D6DC4"/>
    <w:rsid w:val="007F67F6"/>
    <w:rsid w:val="008227EF"/>
    <w:rsid w:val="008405BC"/>
    <w:rsid w:val="00853463"/>
    <w:rsid w:val="00893F25"/>
    <w:rsid w:val="00895035"/>
    <w:rsid w:val="008B2B14"/>
    <w:rsid w:val="008C6AED"/>
    <w:rsid w:val="008C7604"/>
    <w:rsid w:val="008D0D38"/>
    <w:rsid w:val="008E1B27"/>
    <w:rsid w:val="00903379"/>
    <w:rsid w:val="00906975"/>
    <w:rsid w:val="00917F0B"/>
    <w:rsid w:val="00917F8B"/>
    <w:rsid w:val="00960964"/>
    <w:rsid w:val="00965E4D"/>
    <w:rsid w:val="00973294"/>
    <w:rsid w:val="009B1D5C"/>
    <w:rsid w:val="009C2E31"/>
    <w:rsid w:val="009E1955"/>
    <w:rsid w:val="00A527AA"/>
    <w:rsid w:val="00A5684D"/>
    <w:rsid w:val="00A632D1"/>
    <w:rsid w:val="00A75C61"/>
    <w:rsid w:val="00A905A0"/>
    <w:rsid w:val="00A9601B"/>
    <w:rsid w:val="00AA7E16"/>
    <w:rsid w:val="00AD100E"/>
    <w:rsid w:val="00AE1E36"/>
    <w:rsid w:val="00AF74AA"/>
    <w:rsid w:val="00AF79F5"/>
    <w:rsid w:val="00B03C2F"/>
    <w:rsid w:val="00B15064"/>
    <w:rsid w:val="00B340A3"/>
    <w:rsid w:val="00B410F5"/>
    <w:rsid w:val="00B6280C"/>
    <w:rsid w:val="00B671A4"/>
    <w:rsid w:val="00B72CD4"/>
    <w:rsid w:val="00B85B00"/>
    <w:rsid w:val="00BF132F"/>
    <w:rsid w:val="00C13878"/>
    <w:rsid w:val="00CA1705"/>
    <w:rsid w:val="00CE1A54"/>
    <w:rsid w:val="00CF0C3F"/>
    <w:rsid w:val="00CF5FB6"/>
    <w:rsid w:val="00D02518"/>
    <w:rsid w:val="00D17454"/>
    <w:rsid w:val="00D33FBC"/>
    <w:rsid w:val="00D561AF"/>
    <w:rsid w:val="00D7158F"/>
    <w:rsid w:val="00D7535C"/>
    <w:rsid w:val="00D76302"/>
    <w:rsid w:val="00DA5CE2"/>
    <w:rsid w:val="00DE10E8"/>
    <w:rsid w:val="00E16FDA"/>
    <w:rsid w:val="00E35F58"/>
    <w:rsid w:val="00E45BD9"/>
    <w:rsid w:val="00E66FFC"/>
    <w:rsid w:val="00E759D6"/>
    <w:rsid w:val="00E823C6"/>
    <w:rsid w:val="00E84A8C"/>
    <w:rsid w:val="00E930CF"/>
    <w:rsid w:val="00E976DE"/>
    <w:rsid w:val="00EC0F83"/>
    <w:rsid w:val="00EE3187"/>
    <w:rsid w:val="00EF499B"/>
    <w:rsid w:val="00F14977"/>
    <w:rsid w:val="00F61984"/>
    <w:rsid w:val="00FB4A08"/>
    <w:rsid w:val="00FB6D6F"/>
    <w:rsid w:val="00FC0C2A"/>
    <w:rsid w:val="00FD7F8E"/>
    <w:rsid w:val="00FF11E4"/>
    <w:rsid w:val="02557DFA"/>
    <w:rsid w:val="02832A46"/>
    <w:rsid w:val="034A3564"/>
    <w:rsid w:val="03D53320"/>
    <w:rsid w:val="04B072D4"/>
    <w:rsid w:val="05461B09"/>
    <w:rsid w:val="05F575D4"/>
    <w:rsid w:val="064249C6"/>
    <w:rsid w:val="08641132"/>
    <w:rsid w:val="09186774"/>
    <w:rsid w:val="0945438F"/>
    <w:rsid w:val="0A71587A"/>
    <w:rsid w:val="0B792C38"/>
    <w:rsid w:val="0C28640C"/>
    <w:rsid w:val="0E90599A"/>
    <w:rsid w:val="0EAE7F1E"/>
    <w:rsid w:val="0ED720CD"/>
    <w:rsid w:val="0FF6268B"/>
    <w:rsid w:val="10725EA8"/>
    <w:rsid w:val="12070CAE"/>
    <w:rsid w:val="145F688C"/>
    <w:rsid w:val="14F12304"/>
    <w:rsid w:val="15DD2205"/>
    <w:rsid w:val="16A3167D"/>
    <w:rsid w:val="17A67110"/>
    <w:rsid w:val="1864189B"/>
    <w:rsid w:val="186A3B94"/>
    <w:rsid w:val="18D73A7D"/>
    <w:rsid w:val="19557370"/>
    <w:rsid w:val="1B46240B"/>
    <w:rsid w:val="1BD06B6A"/>
    <w:rsid w:val="1E035F83"/>
    <w:rsid w:val="1F782BDE"/>
    <w:rsid w:val="1FFE2FDA"/>
    <w:rsid w:val="206375BB"/>
    <w:rsid w:val="21AB2FC8"/>
    <w:rsid w:val="23317869"/>
    <w:rsid w:val="241E6171"/>
    <w:rsid w:val="254C4AC2"/>
    <w:rsid w:val="25650CAE"/>
    <w:rsid w:val="26406598"/>
    <w:rsid w:val="265D08D6"/>
    <w:rsid w:val="2698203F"/>
    <w:rsid w:val="28080056"/>
    <w:rsid w:val="284348C7"/>
    <w:rsid w:val="28734C1A"/>
    <w:rsid w:val="28C72DDD"/>
    <w:rsid w:val="29EE0E64"/>
    <w:rsid w:val="2A065CCF"/>
    <w:rsid w:val="2A9B5B62"/>
    <w:rsid w:val="2D45416F"/>
    <w:rsid w:val="2EF90F16"/>
    <w:rsid w:val="2F125C63"/>
    <w:rsid w:val="302C3D0A"/>
    <w:rsid w:val="31482085"/>
    <w:rsid w:val="31CD2AE7"/>
    <w:rsid w:val="3219255B"/>
    <w:rsid w:val="33DE31BB"/>
    <w:rsid w:val="33FA583B"/>
    <w:rsid w:val="34160775"/>
    <w:rsid w:val="374A77CB"/>
    <w:rsid w:val="37903FFB"/>
    <w:rsid w:val="389C49C0"/>
    <w:rsid w:val="38DB333D"/>
    <w:rsid w:val="39BC78F4"/>
    <w:rsid w:val="3A193FF6"/>
    <w:rsid w:val="3EF1250A"/>
    <w:rsid w:val="3F485EA2"/>
    <w:rsid w:val="40567DB0"/>
    <w:rsid w:val="40FF5CD2"/>
    <w:rsid w:val="416C222A"/>
    <w:rsid w:val="423821FE"/>
    <w:rsid w:val="42DB40B0"/>
    <w:rsid w:val="43B71B0A"/>
    <w:rsid w:val="4439195B"/>
    <w:rsid w:val="44FA0589"/>
    <w:rsid w:val="45142131"/>
    <w:rsid w:val="45A663E3"/>
    <w:rsid w:val="469F09AF"/>
    <w:rsid w:val="47354F5E"/>
    <w:rsid w:val="4B756271"/>
    <w:rsid w:val="4C194E4E"/>
    <w:rsid w:val="4C7A49DA"/>
    <w:rsid w:val="4C8E1CA8"/>
    <w:rsid w:val="4D6D36A4"/>
    <w:rsid w:val="4E1900F5"/>
    <w:rsid w:val="4E375A60"/>
    <w:rsid w:val="4EE871CB"/>
    <w:rsid w:val="4F634EC7"/>
    <w:rsid w:val="4F675ED1"/>
    <w:rsid w:val="510903EF"/>
    <w:rsid w:val="52DB4C0C"/>
    <w:rsid w:val="53F137F4"/>
    <w:rsid w:val="543A6906"/>
    <w:rsid w:val="54EF0E42"/>
    <w:rsid w:val="56690780"/>
    <w:rsid w:val="56850CBB"/>
    <w:rsid w:val="56C67981"/>
    <w:rsid w:val="57125802"/>
    <w:rsid w:val="57342B3C"/>
    <w:rsid w:val="59444A7D"/>
    <w:rsid w:val="59CB77D5"/>
    <w:rsid w:val="5A666D76"/>
    <w:rsid w:val="5B2253C2"/>
    <w:rsid w:val="5F0B0627"/>
    <w:rsid w:val="5F0D0F44"/>
    <w:rsid w:val="603269D2"/>
    <w:rsid w:val="60E455D3"/>
    <w:rsid w:val="60E5134B"/>
    <w:rsid w:val="61231766"/>
    <w:rsid w:val="61730705"/>
    <w:rsid w:val="61A52BCA"/>
    <w:rsid w:val="62E321FA"/>
    <w:rsid w:val="639A3D54"/>
    <w:rsid w:val="64B10789"/>
    <w:rsid w:val="64FB2EEB"/>
    <w:rsid w:val="65921AA2"/>
    <w:rsid w:val="668B6207"/>
    <w:rsid w:val="669929BC"/>
    <w:rsid w:val="67095496"/>
    <w:rsid w:val="67ED7463"/>
    <w:rsid w:val="681A546A"/>
    <w:rsid w:val="69CB37D4"/>
    <w:rsid w:val="69FA5E67"/>
    <w:rsid w:val="6A0D5B9B"/>
    <w:rsid w:val="6A3B23B1"/>
    <w:rsid w:val="6AEA32DC"/>
    <w:rsid w:val="6C557385"/>
    <w:rsid w:val="6CC24AB5"/>
    <w:rsid w:val="6CCF5389"/>
    <w:rsid w:val="6D837F22"/>
    <w:rsid w:val="6D9271B2"/>
    <w:rsid w:val="6E0A0682"/>
    <w:rsid w:val="6EC95E08"/>
    <w:rsid w:val="6F134790"/>
    <w:rsid w:val="6F5876B6"/>
    <w:rsid w:val="71B2772B"/>
    <w:rsid w:val="71F238C8"/>
    <w:rsid w:val="72446028"/>
    <w:rsid w:val="72A67D13"/>
    <w:rsid w:val="73076EC0"/>
    <w:rsid w:val="73571C35"/>
    <w:rsid w:val="73FB6A64"/>
    <w:rsid w:val="74210CA6"/>
    <w:rsid w:val="76F748BE"/>
    <w:rsid w:val="788C25F5"/>
    <w:rsid w:val="796A632F"/>
    <w:rsid w:val="79F72AA9"/>
    <w:rsid w:val="7B2A7C2F"/>
    <w:rsid w:val="7B6C56C6"/>
    <w:rsid w:val="7D3134F6"/>
    <w:rsid w:val="7DD37FAE"/>
    <w:rsid w:val="7E0230E5"/>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B1142"/>
  <w15:docId w15:val="{F2F64452-A9C1-4FBA-8908-51D1272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4">
    <w:name w:val="heading 4"/>
    <w:basedOn w:val="a"/>
    <w:next w:val="a"/>
    <w:autoRedefine/>
    <w:semiHidden/>
    <w:unhideWhenUsed/>
    <w:qFormat/>
    <w:pPr>
      <w:spacing w:beforeAutospacing="1" w:afterAutospacing="1"/>
      <w:outlineLvl w:val="3"/>
    </w:pPr>
    <w:rPr>
      <w:rFonts w:ascii="宋体" w:eastAsia="宋体" w:hAnsi="宋体" w:cs="Times New Roman" w:hint="eastAsia"/>
      <w:b/>
      <w:bCs/>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autoRedefine/>
    <w:uiPriority w:val="1"/>
    <w:qFormat/>
    <w:pPr>
      <w:ind w:left="220"/>
    </w:pPr>
    <w:rPr>
      <w:sz w:val="32"/>
      <w:szCs w:val="32"/>
    </w:rPr>
  </w:style>
  <w:style w:type="paragraph" w:styleId="a6">
    <w:name w:val="Balloon Text"/>
    <w:basedOn w:val="a"/>
    <w:link w:val="a7"/>
    <w:autoRedefine/>
    <w:qFormat/>
    <w:rPr>
      <w:sz w:val="18"/>
      <w:szCs w:val="18"/>
    </w:rPr>
  </w:style>
  <w:style w:type="paragraph" w:styleId="a8">
    <w:name w:val="footer"/>
    <w:basedOn w:val="a"/>
    <w:link w:val="a9"/>
    <w:autoRedefine/>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autoRedefine/>
    <w:qFormat/>
    <w:rPr>
      <w:b/>
      <w:bCs/>
    </w:rPr>
  </w:style>
  <w:style w:type="character" w:styleId="ae">
    <w:name w:val="annotation reference"/>
    <w:basedOn w:val="a0"/>
    <w:autoRedefine/>
    <w:qFormat/>
    <w:rPr>
      <w:sz w:val="21"/>
      <w:szCs w:val="21"/>
    </w:rPr>
  </w:style>
  <w:style w:type="paragraph" w:customStyle="1" w:styleId="TableParagraph">
    <w:name w:val="Table Paragraph"/>
    <w:basedOn w:val="a"/>
    <w:autoRedefine/>
    <w:uiPriority w:val="1"/>
    <w:qFormat/>
  </w:style>
  <w:style w:type="character" w:customStyle="1" w:styleId="ab">
    <w:name w:val="页眉 字符"/>
    <w:basedOn w:val="a0"/>
    <w:link w:val="aa"/>
    <w:autoRedefine/>
    <w:qFormat/>
    <w:rPr>
      <w:rFonts w:ascii="仿宋" w:eastAsia="仿宋" w:hAnsi="仿宋" w:cs="仿宋"/>
      <w:sz w:val="18"/>
      <w:szCs w:val="18"/>
      <w:lang w:val="zh-CN" w:bidi="zh-CN"/>
    </w:rPr>
  </w:style>
  <w:style w:type="character" w:customStyle="1" w:styleId="a9">
    <w:name w:val="页脚 字符"/>
    <w:basedOn w:val="a0"/>
    <w:link w:val="a8"/>
    <w:autoRedefine/>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d">
    <w:name w:val="批注主题 字符"/>
    <w:basedOn w:val="a4"/>
    <w:link w:val="ac"/>
    <w:autoRedefine/>
    <w:qFormat/>
    <w:rPr>
      <w:rFonts w:ascii="仿宋" w:eastAsia="仿宋" w:hAnsi="仿宋" w:cs="仿宋"/>
      <w:b/>
      <w:bCs/>
      <w:sz w:val="22"/>
      <w:szCs w:val="22"/>
      <w:lang w:val="zh-CN" w:bidi="zh-CN"/>
    </w:rPr>
  </w:style>
  <w:style w:type="character" w:customStyle="1" w:styleId="a7">
    <w:name w:val="批注框文本 字符"/>
    <w:basedOn w:val="a0"/>
    <w:link w:val="a6"/>
    <w:autoRedefine/>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404</Words>
  <Characters>2309</Characters>
  <Application>Microsoft Office Word</Application>
  <DocSecurity>0</DocSecurity>
  <Lines>19</Lines>
  <Paragraphs>5</Paragraphs>
  <ScaleCrop>false</ScaleCrop>
  <Company>Organization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Administrator</cp:lastModifiedBy>
  <cp:revision>21</cp:revision>
  <cp:lastPrinted>2023-05-25T08:20:00Z</cp:lastPrinted>
  <dcterms:created xsi:type="dcterms:W3CDTF">2023-04-24T04:57:00Z</dcterms:created>
  <dcterms:modified xsi:type="dcterms:W3CDTF">2024-12-18T05:23:00Z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4002025A70CA40C884B2CC777F621AA1_13</vt:lpwstr>
  </property>
</Properties>
</file>