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20" w:lineRule="exact"/>
        <w:rPr>
          <w:rFonts w:ascii="方正小标宋简体" w:hAnsi="宋体" w:eastAsia="方正小标宋简体"/>
          <w:bCs/>
          <w:iCs/>
          <w:szCs w:val="21"/>
        </w:rPr>
      </w:pPr>
      <w:r>
        <w:rPr>
          <w:rFonts w:hint="eastAsia" w:ascii="方正小标宋简体" w:hAnsi="宋体" w:eastAsia="方正小标宋简体"/>
          <w:bCs/>
          <w:iCs/>
          <w:szCs w:val="21"/>
        </w:rPr>
        <w:t>证券代码：600880                                              证券简称：博瑞传播</w:t>
      </w:r>
    </w:p>
    <w:p>
      <w:pPr>
        <w:spacing w:beforeLines="50" w:afterLines="50" w:line="520" w:lineRule="exact"/>
        <w:jc w:val="center"/>
        <w:rPr>
          <w:rFonts w:ascii="方正小标宋简体" w:hAnsi="宋体" w:eastAsia="方正小标宋简体"/>
          <w:bCs/>
          <w:iCs/>
          <w:sz w:val="32"/>
        </w:rPr>
      </w:pPr>
      <w:r>
        <w:rPr>
          <w:rFonts w:hint="eastAsia" w:ascii="方正小标宋简体" w:hAnsi="宋体" w:eastAsia="方正小标宋简体"/>
          <w:bCs/>
          <w:iCs/>
          <w:sz w:val="32"/>
        </w:rPr>
        <w:t>成都博瑞传播股份有限公司投资者关系活动记录表</w:t>
      </w:r>
    </w:p>
    <w:p>
      <w:pPr>
        <w:spacing w:line="520" w:lineRule="exact"/>
        <w:rPr>
          <w:rFonts w:hint="default" w:ascii="宋体" w:hAnsi="宋体" w:eastAsia="宋体"/>
          <w:bCs/>
          <w:iCs/>
          <w:szCs w:val="21"/>
          <w:lang w:val="en-US" w:eastAsia="zh-CN"/>
        </w:rPr>
      </w:pPr>
      <w:r>
        <w:rPr>
          <w:rFonts w:ascii="宋体" w:hAnsi="宋体"/>
          <w:bCs/>
          <w:iCs/>
          <w:sz w:val="24"/>
        </w:rPr>
        <w:t xml:space="preserve">                                                        </w:t>
      </w:r>
      <w:r>
        <w:rPr>
          <w:rFonts w:hint="eastAsia" w:ascii="宋体" w:hAnsi="宋体"/>
          <w:bCs/>
          <w:iCs/>
          <w:szCs w:val="21"/>
        </w:rPr>
        <w:t>编号：</w:t>
      </w:r>
      <w:r>
        <w:rPr>
          <w:rFonts w:hint="eastAsia" w:ascii="宋体" w:hAnsi="宋体"/>
          <w:bCs/>
          <w:iCs/>
          <w:szCs w:val="21"/>
          <w:lang w:val="en-US" w:eastAsia="zh-CN"/>
        </w:rPr>
        <w:t>2024-004</w:t>
      </w:r>
    </w:p>
    <w:tbl>
      <w:tblPr>
        <w:tblStyle w:val="10"/>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7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7" w:type="dxa"/>
            <w:shd w:val="clear" w:color="auto" w:fill="auto"/>
            <w:vAlign w:val="center"/>
          </w:tcPr>
          <w:p>
            <w:pPr>
              <w:spacing w:line="520" w:lineRule="exact"/>
              <w:jc w:val="center"/>
              <w:rPr>
                <w:rFonts w:ascii="宋体" w:hAnsi="宋体"/>
                <w:b/>
                <w:bCs/>
                <w:iCs/>
                <w:szCs w:val="21"/>
              </w:rPr>
            </w:pPr>
            <w:r>
              <w:rPr>
                <w:rFonts w:hint="eastAsia" w:ascii="宋体" w:hAnsi="宋体"/>
                <w:b/>
                <w:bCs/>
                <w:iCs/>
                <w:szCs w:val="21"/>
              </w:rPr>
              <w:t>投资者关系活动类别</w:t>
            </w:r>
          </w:p>
        </w:tc>
        <w:tc>
          <w:tcPr>
            <w:tcW w:w="7748" w:type="dxa"/>
            <w:shd w:val="clear" w:color="auto" w:fill="auto"/>
          </w:tcPr>
          <w:p>
            <w:pPr>
              <w:spacing w:line="520" w:lineRule="exact"/>
              <w:rPr>
                <w:szCs w:val="21"/>
              </w:rPr>
            </w:pPr>
            <w:r>
              <w:rPr>
                <w:rFonts w:hint="eastAsia"/>
                <w:szCs w:val="21"/>
              </w:rPr>
              <w:sym w:font="Wingdings 2" w:char="0052"/>
            </w:r>
            <w:r>
              <w:rPr>
                <w:rFonts w:hint="eastAsia" w:ascii="宋体" w:hAnsi="宋体"/>
                <w:szCs w:val="21"/>
              </w:rPr>
              <w:t>特定对象调研        □分析师会议</w:t>
            </w:r>
            <w:r>
              <w:rPr>
                <w:rFonts w:hint="eastAsia"/>
                <w:szCs w:val="21"/>
              </w:rPr>
              <w:t xml:space="preserve"> </w:t>
            </w:r>
            <w:r>
              <w:rPr>
                <w:szCs w:val="21"/>
              </w:rPr>
              <w:t xml:space="preserve">    </w:t>
            </w:r>
            <w:r>
              <w:rPr>
                <w:rFonts w:hint="eastAsia"/>
                <w:szCs w:val="21"/>
              </w:rPr>
              <w:t xml:space="preserve">□媒体采访      </w:t>
            </w:r>
            <w:r>
              <w:rPr>
                <w:rFonts w:hint="eastAsia"/>
                <w:szCs w:val="21"/>
              </w:rPr>
              <w:sym w:font="Wingdings 2" w:char="00A3"/>
            </w:r>
            <w:r>
              <w:rPr>
                <w:rFonts w:hint="eastAsia"/>
                <w:szCs w:val="21"/>
                <w:lang w:val="en-US" w:eastAsia="zh-CN"/>
              </w:rPr>
              <w:t>投资者</w:t>
            </w:r>
            <w:r>
              <w:rPr>
                <w:rFonts w:hint="eastAsia"/>
                <w:szCs w:val="21"/>
              </w:rPr>
              <w:t>说明会</w:t>
            </w:r>
          </w:p>
          <w:p>
            <w:pPr>
              <w:spacing w:line="520" w:lineRule="exact"/>
              <w:rPr>
                <w:rFonts w:ascii="宋体" w:hAnsi="宋体"/>
                <w:bCs/>
                <w:iCs/>
                <w:szCs w:val="21"/>
              </w:rPr>
            </w:pPr>
            <w:r>
              <w:rPr>
                <w:rFonts w:hint="eastAsia"/>
                <w:szCs w:val="21"/>
              </w:rPr>
              <w:t xml:space="preserve">□新闻发布会          □路演活动 </w:t>
            </w:r>
            <w:r>
              <w:rPr>
                <w:szCs w:val="21"/>
              </w:rPr>
              <w:t xml:space="preserve">      </w:t>
            </w:r>
            <w:r>
              <w:rPr>
                <w:rFonts w:hint="eastAsia"/>
                <w:szCs w:val="21"/>
              </w:rPr>
              <w:t>□现场参观</w:t>
            </w:r>
            <w:r>
              <w:rPr>
                <w:szCs w:val="21"/>
              </w:rPr>
              <w:t xml:space="preserve">    </w:t>
            </w:r>
            <w:r>
              <w:rPr>
                <w:rFonts w:hint="eastAsia"/>
                <w:szCs w:val="21"/>
              </w:rPr>
              <w:t xml:space="preserve"> </w:t>
            </w:r>
            <w:r>
              <w:rPr>
                <w:rFonts w:hint="eastAsia"/>
                <w:szCs w:val="21"/>
              </w:rPr>
              <w:sym w:font="Wingdings 2" w:char="0052"/>
            </w:r>
            <w:r>
              <w:rPr>
                <w:rFonts w:hint="eastAsia"/>
                <w:szCs w:val="21"/>
              </w:rPr>
              <w:t>其他 （电话会议）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367" w:type="dxa"/>
            <w:shd w:val="clear" w:color="auto" w:fill="auto"/>
            <w:vAlign w:val="center"/>
          </w:tcPr>
          <w:p>
            <w:pPr>
              <w:spacing w:line="520" w:lineRule="exact"/>
              <w:jc w:val="center"/>
              <w:rPr>
                <w:rFonts w:ascii="宋体" w:hAnsi="宋体"/>
                <w:b/>
                <w:bCs/>
                <w:iCs/>
                <w:szCs w:val="21"/>
              </w:rPr>
            </w:pPr>
            <w:r>
              <w:rPr>
                <w:rFonts w:hint="eastAsia" w:ascii="宋体" w:hAnsi="宋体"/>
                <w:b/>
                <w:bCs/>
                <w:iCs/>
                <w:szCs w:val="21"/>
              </w:rPr>
              <w:t>参与单位名称及</w:t>
            </w:r>
          </w:p>
          <w:p>
            <w:pPr>
              <w:spacing w:line="520" w:lineRule="exact"/>
              <w:jc w:val="center"/>
              <w:rPr>
                <w:rFonts w:ascii="宋体" w:hAnsi="宋体"/>
                <w:b/>
                <w:bCs/>
                <w:iCs/>
                <w:szCs w:val="21"/>
              </w:rPr>
            </w:pPr>
            <w:r>
              <w:rPr>
                <w:rFonts w:hint="eastAsia" w:ascii="宋体" w:hAnsi="宋体"/>
                <w:b/>
                <w:bCs/>
                <w:iCs/>
                <w:szCs w:val="21"/>
              </w:rPr>
              <w:t>人员姓名</w:t>
            </w:r>
          </w:p>
        </w:tc>
        <w:tc>
          <w:tcPr>
            <w:tcW w:w="7748" w:type="dxa"/>
            <w:shd w:val="clear" w:color="auto" w:fill="auto"/>
          </w:tcPr>
          <w:p>
            <w:pPr>
              <w:spacing w:line="520" w:lineRule="exact"/>
              <w:rPr>
                <w:rFonts w:hint="eastAsia"/>
                <w:szCs w:val="21"/>
                <w:lang w:val="en-US" w:eastAsia="zh-CN"/>
              </w:rPr>
            </w:pPr>
            <w:r>
              <w:rPr>
                <w:rFonts w:hint="eastAsia"/>
                <w:szCs w:val="21"/>
              </w:rPr>
              <w:t>兴业证券</w:t>
            </w:r>
            <w:r>
              <w:rPr>
                <w:rFonts w:hint="eastAsia"/>
                <w:szCs w:val="21"/>
                <w:lang w:val="en-US" w:eastAsia="zh-CN"/>
              </w:rPr>
              <w:t xml:space="preserve"> </w:t>
            </w:r>
            <w:r>
              <w:rPr>
                <w:rFonts w:hint="eastAsia"/>
                <w:szCs w:val="21"/>
              </w:rPr>
              <w:t>张彬鸿</w:t>
            </w:r>
            <w:r>
              <w:rPr>
                <w:rFonts w:hint="eastAsia"/>
                <w:szCs w:val="21"/>
                <w:lang w:val="en-US" w:eastAsia="zh-CN"/>
              </w:rPr>
              <w:t xml:space="preserve"> </w:t>
            </w:r>
            <w:r>
              <w:rPr>
                <w:rFonts w:hint="eastAsia"/>
                <w:szCs w:val="21"/>
              </w:rPr>
              <w:t>浙商资管</w:t>
            </w:r>
            <w:r>
              <w:rPr>
                <w:rFonts w:hint="eastAsia"/>
                <w:szCs w:val="21"/>
                <w:lang w:val="en-US" w:eastAsia="zh-CN"/>
              </w:rPr>
              <w:t xml:space="preserve"> </w:t>
            </w:r>
            <w:r>
              <w:rPr>
                <w:rFonts w:hint="eastAsia"/>
                <w:szCs w:val="21"/>
              </w:rPr>
              <w:t>赵媛</w:t>
            </w:r>
            <w:r>
              <w:rPr>
                <w:rFonts w:hint="eastAsia"/>
                <w:szCs w:val="21"/>
                <w:lang w:val="en-US" w:eastAsia="zh-CN"/>
              </w:rPr>
              <w:t xml:space="preserve"> 南方基金 郭东谋 华能贵诚信托 辛亮 </w:t>
            </w:r>
          </w:p>
          <w:p>
            <w:pPr>
              <w:spacing w:line="520" w:lineRule="exact"/>
              <w:rPr>
                <w:rFonts w:hint="eastAsia"/>
                <w:szCs w:val="21"/>
                <w:lang w:val="en-US" w:eastAsia="zh-CN"/>
              </w:rPr>
            </w:pPr>
            <w:r>
              <w:rPr>
                <w:rFonts w:hint="eastAsia"/>
                <w:szCs w:val="21"/>
                <w:lang w:val="en-US" w:eastAsia="zh-CN"/>
              </w:rPr>
              <w:t xml:space="preserve">中银基金 王寒 峰岚资产 蔡荣转 中金公司 李梦遥 中银国际 张岩松 </w:t>
            </w:r>
          </w:p>
          <w:p>
            <w:pPr>
              <w:spacing w:line="520" w:lineRule="exact"/>
              <w:rPr>
                <w:rFonts w:hint="default" w:eastAsia="宋体"/>
                <w:szCs w:val="21"/>
                <w:lang w:val="en-US" w:eastAsia="zh-CN"/>
              </w:rPr>
            </w:pPr>
            <w:r>
              <w:rPr>
                <w:rFonts w:hint="eastAsia"/>
                <w:szCs w:val="21"/>
                <w:lang w:val="en-US" w:eastAsia="zh-CN"/>
              </w:rPr>
              <w:t>野村资管 唐建伟 浙商自营 陈姗姗 永诚财险 黄佳斌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7" w:type="dxa"/>
            <w:shd w:val="clear" w:color="auto" w:fill="auto"/>
            <w:vAlign w:val="center"/>
          </w:tcPr>
          <w:p>
            <w:pPr>
              <w:spacing w:line="520" w:lineRule="exact"/>
              <w:jc w:val="center"/>
              <w:rPr>
                <w:rFonts w:ascii="宋体" w:hAnsi="宋体"/>
                <w:b/>
                <w:bCs/>
                <w:iCs/>
                <w:szCs w:val="21"/>
              </w:rPr>
            </w:pPr>
            <w:r>
              <w:rPr>
                <w:rFonts w:hint="eastAsia" w:ascii="宋体" w:hAnsi="宋体"/>
                <w:b/>
                <w:bCs/>
                <w:iCs/>
                <w:szCs w:val="21"/>
              </w:rPr>
              <w:t>时间</w:t>
            </w:r>
          </w:p>
        </w:tc>
        <w:tc>
          <w:tcPr>
            <w:tcW w:w="7748" w:type="dxa"/>
            <w:shd w:val="clear" w:color="auto" w:fill="auto"/>
          </w:tcPr>
          <w:p>
            <w:pPr>
              <w:spacing w:line="520" w:lineRule="exact"/>
              <w:rPr>
                <w:rFonts w:hint="default" w:ascii="宋体" w:hAnsi="宋体" w:eastAsia="宋体"/>
                <w:bCs/>
                <w:iCs/>
                <w:szCs w:val="21"/>
                <w:lang w:val="en-US" w:eastAsia="zh-CN"/>
              </w:rPr>
            </w:pPr>
            <w:r>
              <w:rPr>
                <w:rFonts w:hint="eastAsia" w:ascii="宋体" w:hAnsi="宋体"/>
                <w:bCs/>
                <w:iCs/>
                <w:szCs w:val="21"/>
                <w:lang w:val="en-US" w:eastAsia="zh-CN"/>
              </w:rPr>
              <w:t>2024年12月20日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7" w:type="dxa"/>
            <w:shd w:val="clear" w:color="auto" w:fill="auto"/>
            <w:vAlign w:val="center"/>
          </w:tcPr>
          <w:p>
            <w:pPr>
              <w:spacing w:line="520" w:lineRule="exact"/>
              <w:jc w:val="center"/>
              <w:rPr>
                <w:rFonts w:ascii="宋体" w:hAnsi="宋体"/>
                <w:b/>
                <w:bCs/>
                <w:iCs/>
                <w:szCs w:val="21"/>
              </w:rPr>
            </w:pPr>
            <w:r>
              <w:rPr>
                <w:rFonts w:hint="eastAsia" w:ascii="宋体" w:hAnsi="宋体"/>
                <w:b/>
                <w:bCs/>
                <w:iCs/>
                <w:szCs w:val="21"/>
              </w:rPr>
              <w:t>地点</w:t>
            </w:r>
          </w:p>
        </w:tc>
        <w:tc>
          <w:tcPr>
            <w:tcW w:w="7748" w:type="dxa"/>
            <w:shd w:val="clear" w:color="auto" w:fill="auto"/>
          </w:tcPr>
          <w:p>
            <w:pPr>
              <w:spacing w:line="520" w:lineRule="exact"/>
              <w:rPr>
                <w:rFonts w:hint="default" w:ascii="宋体" w:hAnsi="宋体" w:eastAsia="宋体"/>
                <w:bCs/>
                <w:iCs/>
                <w:szCs w:val="21"/>
                <w:lang w:val="en-US" w:eastAsia="zh-CN"/>
              </w:rPr>
            </w:pPr>
            <w:r>
              <w:rPr>
                <w:rFonts w:hint="eastAsia" w:ascii="宋体" w:hAnsi="宋体"/>
                <w:bCs/>
                <w:iCs/>
                <w:szCs w:val="21"/>
                <w:lang w:val="en-US" w:eastAsia="zh-CN"/>
              </w:rPr>
              <w:t>博瑞传播公司会议室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7" w:type="dxa"/>
            <w:shd w:val="clear" w:color="auto" w:fill="auto"/>
            <w:vAlign w:val="center"/>
          </w:tcPr>
          <w:p>
            <w:pPr>
              <w:spacing w:line="520" w:lineRule="exact"/>
              <w:jc w:val="center"/>
              <w:rPr>
                <w:rFonts w:ascii="宋体" w:hAnsi="宋体"/>
                <w:b/>
                <w:bCs/>
                <w:iCs/>
                <w:szCs w:val="21"/>
              </w:rPr>
            </w:pPr>
            <w:r>
              <w:rPr>
                <w:rFonts w:hint="eastAsia" w:ascii="宋体" w:hAnsi="宋体"/>
                <w:b/>
                <w:bCs/>
                <w:iCs/>
                <w:szCs w:val="21"/>
              </w:rPr>
              <w:t>上市公司接待人员姓名</w:t>
            </w:r>
          </w:p>
        </w:tc>
        <w:tc>
          <w:tcPr>
            <w:tcW w:w="7748" w:type="dxa"/>
            <w:shd w:val="clear" w:color="auto" w:fill="auto"/>
          </w:tcPr>
          <w:p>
            <w:pPr>
              <w:spacing w:line="520" w:lineRule="exact"/>
              <w:rPr>
                <w:rFonts w:hint="default" w:ascii="宋体" w:hAnsi="宋体" w:eastAsia="宋体"/>
                <w:bCs/>
                <w:iCs/>
                <w:szCs w:val="21"/>
                <w:lang w:val="en-US" w:eastAsia="zh-CN"/>
              </w:rPr>
            </w:pPr>
            <w:r>
              <w:rPr>
                <w:rFonts w:hint="eastAsia" w:ascii="宋体" w:hAnsi="宋体" w:eastAsia="宋体"/>
                <w:bCs/>
                <w:iCs/>
                <w:szCs w:val="21"/>
                <w:lang w:val="en-US" w:eastAsia="zh-CN"/>
              </w:rPr>
              <w:t>证券事务代表王薇</w:t>
            </w:r>
            <w:r>
              <w:rPr>
                <w:rFonts w:hint="eastAsia" w:ascii="宋体" w:hAnsi="宋体"/>
                <w:bCs/>
                <w:iCs/>
                <w:szCs w:val="21"/>
                <w:lang w:val="en-US" w:eastAsia="zh-CN"/>
              </w:rPr>
              <w:t>，投关经理赵成伟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67" w:type="dxa"/>
            <w:shd w:val="clear" w:color="auto" w:fill="auto"/>
            <w:vAlign w:val="center"/>
          </w:tcPr>
          <w:p>
            <w:pPr>
              <w:spacing w:line="520" w:lineRule="exact"/>
              <w:jc w:val="center"/>
              <w:rPr>
                <w:rFonts w:ascii="宋体" w:hAnsi="宋体"/>
                <w:b/>
                <w:bCs/>
                <w:iCs/>
                <w:szCs w:val="21"/>
              </w:rPr>
            </w:pPr>
            <w:r>
              <w:rPr>
                <w:rFonts w:hint="eastAsia" w:ascii="宋体" w:hAnsi="宋体"/>
                <w:b/>
                <w:bCs/>
                <w:iCs/>
                <w:szCs w:val="21"/>
              </w:rPr>
              <w:t>交流主题</w:t>
            </w:r>
          </w:p>
        </w:tc>
        <w:tc>
          <w:tcPr>
            <w:tcW w:w="7748" w:type="dxa"/>
            <w:shd w:val="clear" w:color="auto" w:fill="auto"/>
          </w:tcPr>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left"/>
              <w:textAlignment w:val="auto"/>
              <w:rPr>
                <w:rFonts w:hint="eastAsia"/>
                <w:b/>
                <w:bCs/>
                <w:lang w:val="en-US" w:eastAsia="zh-CN"/>
              </w:rPr>
            </w:pPr>
            <w:r>
              <w:rPr>
                <w:rFonts w:hint="eastAsia"/>
                <w:b/>
                <w:bCs/>
                <w:lang w:val="en-US" w:eastAsia="zh-CN"/>
              </w:rPr>
              <w:t>一、公司及重点业务介绍</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博瑞传播公司系成都市属国有传媒类上市公司，经多年的转型发展，公司以“打造成都文创数字新经济重要资本平台”为战略定位，围绕“智慧管理、数字文创、现代传媒”三大业务方向，全力推动公司向数字化转型，主要控股子公司包含生学教育、漫游谷、麦迪亚置业、博瑞小贷、博瑞眼界、成都文交所等，主要参股公司包含成都每经传媒、成都小企业融资担保、上海哔哩哔哩电竞等。</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22" w:firstLineChars="200"/>
              <w:textAlignment w:val="auto"/>
              <w:rPr>
                <w:rFonts w:hint="eastAsia"/>
                <w:b/>
                <w:bCs/>
                <w:lang w:val="en-US" w:eastAsia="zh-CN"/>
              </w:rPr>
            </w:pPr>
            <w:r>
              <w:rPr>
                <w:rFonts w:hint="eastAsia"/>
                <w:b/>
                <w:bCs/>
                <w:lang w:val="en-US" w:eastAsia="zh-CN"/>
              </w:rPr>
              <w:t>智慧教育业务的业务开展情况如何，覆盖了哪些地区？</w:t>
            </w:r>
            <w:bookmarkStart w:id="0" w:name="OLE_LINK1"/>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公司旗下的生学教育深耕信息化行业 20 年，聚焦高度智慧化行业应用，形成以智慧城市建设和智慧教育为核心，覆盖智慧医疗、智慧政务、公共安全、智慧交通、智慧园区和智慧建筑等多领域共同发展的战略布局。业务重点布局在四川省内，国内市场也同步积极拓展。目前，公司的智慧业务及产品已覆盖包括四川、江西、贵州、北京、上海、重庆等13个省（自治区、直辖市），29个地级市，基本确立了自身在智慧教育行业的一线企业地位。</w:t>
            </w:r>
            <w:bookmarkEnd w:id="0"/>
            <w:r>
              <w:rPr>
                <w:rFonts w:hint="eastAsia"/>
                <w:lang w:val="en-US" w:eastAsia="zh-CN"/>
              </w:rPr>
              <w:t>此外，公司与华为、海康威视、百川智能等也有良好的合作关系，充分发挥自身优势、共同在在项目执行、资源整合，文化、教育与人工智能等领域开展全方位合作。</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b/>
                <w:bCs/>
                <w:lang w:val="en-US" w:eastAsia="zh-CN"/>
              </w:rPr>
            </w:pPr>
            <w:r>
              <w:rPr>
                <w:rFonts w:hint="eastAsia"/>
                <w:lang w:val="en-US" w:eastAsia="zh-CN"/>
              </w:rPr>
              <w:t>三、</w:t>
            </w:r>
            <w:r>
              <w:rPr>
                <w:rFonts w:hint="eastAsia"/>
                <w:b/>
                <w:bCs/>
                <w:lang w:val="en-US" w:eastAsia="zh-CN"/>
              </w:rPr>
              <w:t>近期国家的地方化债对生学教育的应收款是否有帮助？</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生学教育客户主要以政府机构、国有企业、事业单位及上市公司为主，其涉及的中小学教育信息化经费、智慧城市项目项目资金主要来源于财政资金、地方政府债券等。我们认为近期的国家化债政策有利于地方政府补充流动性，对生学教育的业务发展及回款是有积极影响的。</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b/>
                <w:bCs/>
                <w:lang w:val="en-US" w:eastAsia="zh-CN"/>
              </w:rPr>
            </w:pPr>
            <w:r>
              <w:rPr>
                <w:rFonts w:hint="eastAsia"/>
                <w:b/>
                <w:bCs/>
                <w:lang w:val="en-US" w:eastAsia="zh-CN"/>
              </w:rPr>
              <w:t>四、公司与青羊区合作的非遗博览园后续是怎么规划的，有哪些亮点？</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目前公司对未来的非遗博览园规划有四大板块，由国际非遗博览馆、非遗文化广场、国漫非遗文创集等构成的“非遗文化形象示范区”；由毛毛镇亲子乐园、次元国漫美食街、Alive@Livehouse等构成的“一站式非遗+主题乐游区”；由国潮电竞创意基地、蜀韵养生美学馆、东方外交馆等构成的“非遗商业品牌接洽区”；以及由成都数字媒体职业学院、锦城影视中心等构成的“非遗内容活化创作区”。</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园区项目自今年9月签约启动后，已吸引了超60家海内外企业前来签约，合作企业涉及演出、展陈、电竞、虚拟现实、餐饮、教育培训等多个领域。未来非遗博览园内将拥有容纳3万人的大型演唱会、亲子主题乐园、酒店、音乐节、国际展览及峰会、亚洲啤酒节、国际美食街、超级Livehouse等顶级项目。在规划中可</w:t>
            </w:r>
            <w:r>
              <w:rPr>
                <w:rFonts w:hint="eastAsia" w:ascii="Times New Roman" w:hAnsi="Times New Roman" w:eastAsia="宋体" w:cs="宋体"/>
                <w:sz w:val="21"/>
                <w:szCs w:val="21"/>
                <w:highlight w:val="none"/>
                <w:lang w:eastAsia="zh-CN"/>
              </w:rPr>
              <w:t>容纳6000人</w:t>
            </w:r>
            <w:r>
              <w:rPr>
                <w:rFonts w:hint="eastAsia" w:ascii="Times New Roman" w:hAnsi="Times New Roman" w:cs="宋体"/>
                <w:sz w:val="21"/>
                <w:szCs w:val="21"/>
                <w:highlight w:val="none"/>
                <w:lang w:val="en-US" w:eastAsia="zh-CN"/>
              </w:rPr>
              <w:t>的</w:t>
            </w:r>
            <w:r>
              <w:rPr>
                <w:rFonts w:hint="eastAsia" w:ascii="Times New Roman" w:hAnsi="Times New Roman" w:eastAsia="宋体" w:cs="宋体"/>
                <w:b w:val="0"/>
                <w:bCs w:val="0"/>
                <w:sz w:val="21"/>
                <w:szCs w:val="21"/>
                <w:highlight w:val="none"/>
                <w:lang w:val="en-US" w:eastAsia="zh-CN"/>
              </w:rPr>
              <w:t>Livehouse</w:t>
            </w:r>
            <w:r>
              <w:rPr>
                <w:rFonts w:hint="eastAsia" w:ascii="Times New Roman" w:hAnsi="Times New Roman" w:eastAsia="宋体" w:cs="宋体"/>
                <w:sz w:val="21"/>
                <w:szCs w:val="21"/>
                <w:highlight w:val="none"/>
                <w:lang w:eastAsia="zh-CN"/>
              </w:rPr>
              <w:t>，</w:t>
            </w:r>
            <w:r>
              <w:rPr>
                <w:rFonts w:hint="eastAsia" w:cs="宋体"/>
                <w:sz w:val="21"/>
                <w:szCs w:val="21"/>
                <w:highlight w:val="none"/>
                <w:lang w:val="en-US" w:eastAsia="zh-CN"/>
              </w:rPr>
              <w:t>可</w:t>
            </w:r>
            <w:r>
              <w:rPr>
                <w:rFonts w:hint="eastAsia" w:ascii="Times New Roman" w:hAnsi="Times New Roman" w:eastAsia="宋体" w:cs="宋体"/>
                <w:sz w:val="21"/>
                <w:szCs w:val="21"/>
                <w:highlight w:val="none"/>
                <w:lang w:eastAsia="zh-CN"/>
              </w:rPr>
              <w:t>提供国际标准的沉浸式体验</w:t>
            </w:r>
            <w:r>
              <w:rPr>
                <w:rFonts w:hint="eastAsia" w:cs="宋体"/>
                <w:sz w:val="21"/>
                <w:szCs w:val="21"/>
                <w:highlight w:val="none"/>
                <w:lang w:val="en-US" w:eastAsia="zh-CN"/>
              </w:rPr>
              <w:t>的</w:t>
            </w:r>
            <w:r>
              <w:rPr>
                <w:rFonts w:hint="eastAsia" w:ascii="Times New Roman" w:hAnsi="Times New Roman" w:eastAsia="宋体" w:cs="宋体"/>
                <w:sz w:val="21"/>
                <w:szCs w:val="21"/>
                <w:highlight w:val="none"/>
                <w:lang w:eastAsia="zh-CN"/>
              </w:rPr>
              <w:t>XR中心</w:t>
            </w:r>
            <w:r>
              <w:rPr>
                <w:rFonts w:hint="eastAsia" w:cs="宋体"/>
                <w:sz w:val="21"/>
                <w:szCs w:val="21"/>
                <w:highlight w:val="none"/>
                <w:lang w:eastAsia="zh-CN"/>
              </w:rPr>
              <w:t>，</w:t>
            </w:r>
            <w:r>
              <w:rPr>
                <w:rFonts w:hint="eastAsia" w:cs="宋体"/>
                <w:sz w:val="21"/>
                <w:szCs w:val="21"/>
                <w:highlight w:val="none"/>
                <w:lang w:val="en-US" w:eastAsia="zh-CN"/>
              </w:rPr>
              <w:t>以及可线下</w:t>
            </w:r>
            <w:r>
              <w:rPr>
                <w:rFonts w:hint="eastAsia" w:ascii="Times New Roman" w:hAnsi="Times New Roman" w:eastAsia="宋体" w:cs="宋体"/>
                <w:sz w:val="21"/>
                <w:szCs w:val="21"/>
                <w:highlight w:val="none"/>
                <w:lang w:val="en-US" w:eastAsia="zh-CN"/>
              </w:rPr>
              <w:t>购买</w:t>
            </w:r>
            <w:r>
              <w:rPr>
                <w:rFonts w:hint="eastAsia" w:ascii="Times New Roman" w:hAnsi="Times New Roman" w:cs="宋体"/>
                <w:sz w:val="21"/>
                <w:szCs w:val="21"/>
                <w:highlight w:val="none"/>
                <w:lang w:val="en-US" w:eastAsia="zh-CN"/>
              </w:rPr>
              <w:t>全球</w:t>
            </w:r>
            <w:r>
              <w:rPr>
                <w:rFonts w:hint="eastAsia" w:ascii="Times New Roman" w:hAnsi="Times New Roman" w:eastAsia="宋体" w:cs="宋体"/>
                <w:sz w:val="21"/>
                <w:szCs w:val="21"/>
                <w:highlight w:val="none"/>
                <w:lang w:val="en-US" w:eastAsia="zh-CN"/>
              </w:rPr>
              <w:t>演出门票的国际票务中心</w:t>
            </w:r>
            <w:r>
              <w:rPr>
                <w:rFonts w:hint="eastAsia" w:cs="宋体"/>
                <w:sz w:val="21"/>
                <w:szCs w:val="21"/>
                <w:highlight w:val="none"/>
                <w:lang w:val="en-US" w:eastAsia="zh-CN"/>
              </w:rPr>
              <w:t>等等都将是未来项目的亮点。</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b/>
                <w:bCs/>
                <w:lang w:val="en-US" w:eastAsia="zh-CN"/>
              </w:rPr>
            </w:pPr>
            <w:r>
              <w:rPr>
                <w:rFonts w:hint="eastAsia"/>
                <w:b/>
                <w:bCs/>
                <w:lang w:val="en-US" w:eastAsia="zh-CN"/>
              </w:rPr>
              <w:t>五、非遗项目的推进时间进度如何安排？园区是否会对所有的入园消费者收取门票？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lang w:val="en-US" w:eastAsia="zh-CN"/>
              </w:rPr>
              <w:t>日前，公司已确定出资5000万持股50%与相关合作方设立项目运营公司，打造及运营成都非遗博览园1780亩范围内的标的资产。近期，运营团队正在加紧推进园区资产盘点等工作。依照协议约定，非遗园区合作方将在2025年5月1日前向公司完整交付第一批标的资产，园区内的第一批项目有望最快在2025年中期落地。公司将尽可能的降低消费者门槛，主要通过丰富的园区业态及活动进行引流，以优质的体验感促进消费，</w:t>
            </w:r>
            <w:r>
              <w:rPr>
                <w:rFonts w:hint="eastAsia" w:ascii="Times New Roman" w:hAnsi="Times New Roman" w:eastAsia="宋体" w:cs="宋体"/>
                <w:sz w:val="21"/>
                <w:szCs w:val="21"/>
                <w:highlight w:val="none"/>
                <w:lang w:eastAsia="zh-CN"/>
              </w:rPr>
              <w:t>为</w:t>
            </w:r>
            <w:r>
              <w:rPr>
                <w:rFonts w:hint="eastAsia" w:ascii="Times New Roman" w:hAnsi="Times New Roman" w:eastAsia="宋体" w:cs="宋体"/>
                <w:sz w:val="21"/>
                <w:szCs w:val="21"/>
                <w:highlight w:val="none"/>
              </w:rPr>
              <w:t>成都</w:t>
            </w:r>
            <w:r>
              <w:rPr>
                <w:rFonts w:hint="eastAsia" w:ascii="Times New Roman" w:hAnsi="Times New Roman" w:eastAsia="宋体" w:cs="宋体"/>
                <w:sz w:val="21"/>
                <w:szCs w:val="21"/>
                <w:highlight w:val="none"/>
                <w:lang w:eastAsia="zh-CN"/>
              </w:rPr>
              <w:t>打造又一个</w:t>
            </w:r>
            <w:r>
              <w:rPr>
                <w:rFonts w:hint="eastAsia" w:ascii="Times New Roman" w:hAnsi="Times New Roman" w:eastAsia="宋体" w:cs="宋体"/>
                <w:sz w:val="21"/>
                <w:szCs w:val="21"/>
                <w:highlight w:val="none"/>
              </w:rPr>
              <w:t>顶级文创新地标</w:t>
            </w:r>
            <w:r>
              <w:rPr>
                <w:rFonts w:hint="eastAsia" w:cs="宋体"/>
                <w:sz w:val="21"/>
                <w:szCs w:val="21"/>
                <w:highlight w:val="none"/>
                <w:lang w:eastAsia="zh-CN"/>
              </w:rPr>
              <w:t>，</w:t>
            </w:r>
            <w:r>
              <w:rPr>
                <w:rFonts w:hint="eastAsia" w:cs="宋体"/>
                <w:sz w:val="21"/>
                <w:szCs w:val="21"/>
                <w:highlight w:val="none"/>
                <w:lang w:val="en-US" w:eastAsia="zh-CN"/>
              </w:rPr>
              <w:t>成为立足</w:t>
            </w:r>
            <w:r>
              <w:rPr>
                <w:rFonts w:hint="eastAsia"/>
                <w:lang w:val="en-US" w:eastAsia="zh-CN"/>
              </w:rPr>
              <w:t>成都、辐射西南的线下潮流消费地。</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b/>
                <w:bCs/>
                <w:lang w:val="en-US" w:eastAsia="zh-CN"/>
              </w:rPr>
            </w:pPr>
            <w:r>
              <w:rPr>
                <w:rFonts w:hint="eastAsia"/>
                <w:b/>
                <w:bCs/>
                <w:lang w:val="en-US" w:eastAsia="zh-CN"/>
              </w:rPr>
              <w:t>六、据悉博瑞传播公司的控股股东在东郊记忆有相关的成功经验，本次打造非遗项目是否会提供一些支持？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lang w:val="en-US" w:eastAsia="zh-CN"/>
              </w:rPr>
              <w:t>公司控股股东成都传媒集团对非遗园区项目的支持力度很大。成都传媒集有着“东郊记忆”较为成功的运营经验，旗下相关团队也在运营包括重庆磁器口等知名地域性文创地标。因此在公司启动非遗项目后，成都传媒集团在政策、团队、宣传方面提供了免费的辅导与支持。</w:t>
            </w:r>
            <w:r>
              <w:rPr>
                <w:rFonts w:hint="eastAsia" w:cs="宋体"/>
                <w:sz w:val="21"/>
                <w:szCs w:val="21"/>
                <w:highlight w:val="none"/>
                <w:lang w:val="en-US" w:eastAsia="zh-CN"/>
              </w:rPr>
              <w:t>后续公司将充分</w:t>
            </w:r>
            <w:r>
              <w:rPr>
                <w:rFonts w:hint="eastAsia" w:ascii="Times New Roman" w:hAnsi="Times New Roman" w:eastAsia="宋体" w:cs="宋体"/>
                <w:sz w:val="21"/>
                <w:szCs w:val="21"/>
                <w:highlight w:val="none"/>
                <w:lang w:val="en-US" w:eastAsia="zh-CN"/>
              </w:rPr>
              <w:t>利用在传媒、广告、营销策划、智慧应用、数字文化等领域的丰富经验和集团的强大宣传资源，提升项目影响力、知名度</w:t>
            </w:r>
            <w:r>
              <w:rPr>
                <w:rFonts w:hint="eastAsia" w:cs="宋体"/>
                <w:sz w:val="21"/>
                <w:szCs w:val="21"/>
                <w:highlight w:val="none"/>
                <w:lang w:val="en-US" w:eastAsia="zh-CN"/>
              </w:rPr>
              <w:t>，</w:t>
            </w:r>
            <w:r>
              <w:rPr>
                <w:rFonts w:hint="eastAsia" w:ascii="Times New Roman" w:hAnsi="Times New Roman" w:eastAsia="宋体" w:cs="宋体"/>
                <w:sz w:val="21"/>
                <w:szCs w:val="21"/>
                <w:highlight w:val="none"/>
                <w:lang w:val="en-US"/>
              </w:rPr>
              <w:t>在充分挖掘、运用好非遗博览园存量资源的基础上，以数字化赋能创新为驱动，</w:t>
            </w:r>
            <w:r>
              <w:rPr>
                <w:rFonts w:hint="eastAsia" w:ascii="Times New Roman" w:hAnsi="Times New Roman" w:eastAsia="宋体" w:cs="宋体"/>
                <w:sz w:val="21"/>
                <w:szCs w:val="21"/>
                <w:highlight w:val="none"/>
                <w:lang w:val="en-US" w:eastAsia="zh-CN"/>
              </w:rPr>
              <w:t>整合</w:t>
            </w:r>
            <w:r>
              <w:rPr>
                <w:rFonts w:hint="eastAsia" w:ascii="Times New Roman" w:hAnsi="Times New Roman" w:eastAsia="宋体" w:cs="宋体"/>
                <w:sz w:val="21"/>
                <w:szCs w:val="21"/>
                <w:highlight w:val="none"/>
                <w:lang w:val="en-US"/>
              </w:rPr>
              <w:t>资源</w:t>
            </w:r>
            <w:r>
              <w:rPr>
                <w:rFonts w:hint="eastAsia" w:ascii="Times New Roman" w:hAnsi="Times New Roman" w:eastAsia="宋体" w:cs="宋体"/>
                <w:sz w:val="21"/>
                <w:szCs w:val="21"/>
                <w:highlight w:val="none"/>
                <w:lang w:val="en-US" w:eastAsia="zh-CN"/>
              </w:rPr>
              <w:t>、重塑业态</w:t>
            </w:r>
            <w:r>
              <w:rPr>
                <w:rFonts w:hint="eastAsia" w:ascii="Times New Roman" w:hAnsi="Times New Roman" w:eastAsia="宋体" w:cs="宋体"/>
                <w:sz w:val="21"/>
                <w:szCs w:val="21"/>
                <w:highlight w:val="none"/>
                <w:lang w:val="en-US"/>
              </w:rPr>
              <w:t>，推动园区文化体验和消费场景实现焕新升级，逐步构建起形态、业态、文态、生态“四态合一”的园区生态体系</w:t>
            </w:r>
            <w:r>
              <w:rPr>
                <w:rFonts w:hint="eastAsia" w:ascii="Times New Roman" w:hAnsi="Times New Roman"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lang w:val="en-US" w:eastAsia="zh-CN"/>
              </w:rPr>
            </w:pPr>
            <w:r>
              <w:rPr>
                <w:rFonts w:hint="eastAsia"/>
                <w:b/>
                <w:bCs/>
                <w:lang w:val="en-US" w:eastAsia="zh-CN"/>
              </w:rPr>
              <w:t>六、我们注意到公司还存在着一定量的商誉，今年是否存在商誉减值的迹象？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lang w:val="en-US" w:eastAsia="zh-CN"/>
              </w:rPr>
              <w:t>公司每年会聘请专业机构对公司现有商誉进行减值测试，今年的相关工作正在推进中。</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b/>
                <w:bCs/>
                <w:lang w:val="en-US" w:eastAsia="zh-CN"/>
              </w:rPr>
            </w:pPr>
            <w:r>
              <w:rPr>
                <w:rFonts w:hint="eastAsia"/>
                <w:b/>
                <w:bCs/>
                <w:lang w:val="en-US" w:eastAsia="zh-CN"/>
              </w:rPr>
              <w:t>六、公司旗下的学校后续发展如何？</w:t>
            </w:r>
          </w:p>
          <w:p>
            <w:pPr>
              <w:pStyle w:val="2"/>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ascii="Times New Roman" w:hAnsi="Times New Roman" w:eastAsia="宋体" w:cs="Times New Roman"/>
                <w:kern w:val="2"/>
                <w:sz w:val="21"/>
                <w:szCs w:val="24"/>
                <w:lang w:val="en-US" w:eastAsia="zh-CN" w:bidi="ar-SA"/>
              </w:rPr>
              <w:t>虽然目前</w:t>
            </w:r>
            <w:bookmarkStart w:id="1" w:name="_GoBack"/>
            <w:bookmarkEnd w:id="1"/>
            <w:r>
              <w:rPr>
                <w:rFonts w:hint="default" w:ascii="Times New Roman" w:hAnsi="Times New Roman" w:eastAsia="宋体" w:cs="Times New Roman"/>
                <w:kern w:val="2"/>
                <w:sz w:val="21"/>
                <w:szCs w:val="24"/>
                <w:lang w:val="en-US" w:eastAsia="zh-CN" w:bidi="ar-SA"/>
              </w:rPr>
              <w:t>博瑞</w:t>
            </w:r>
            <w:r>
              <w:rPr>
                <w:rFonts w:hint="eastAsia" w:ascii="Times New Roman" w:hAnsi="Times New Roman" w:eastAsia="宋体" w:cs="Times New Roman"/>
                <w:kern w:val="2"/>
                <w:sz w:val="21"/>
                <w:szCs w:val="24"/>
                <w:lang w:val="en-US" w:eastAsia="zh-CN" w:bidi="ar-SA"/>
              </w:rPr>
              <w:t>实验</w:t>
            </w:r>
            <w:r>
              <w:rPr>
                <w:rFonts w:hint="default" w:ascii="Times New Roman" w:hAnsi="Times New Roman" w:eastAsia="宋体" w:cs="Times New Roman"/>
                <w:kern w:val="2"/>
                <w:sz w:val="21"/>
                <w:szCs w:val="24"/>
                <w:lang w:val="en-US" w:eastAsia="zh-CN" w:bidi="ar-SA"/>
              </w:rPr>
              <w:t>学校</w:t>
            </w:r>
            <w:r>
              <w:rPr>
                <w:rFonts w:hint="eastAsia" w:ascii="Times New Roman" w:hAnsi="Times New Roman" w:eastAsia="宋体" w:cs="Times New Roman"/>
                <w:kern w:val="2"/>
                <w:sz w:val="21"/>
                <w:szCs w:val="24"/>
                <w:lang w:val="en-US" w:eastAsia="zh-CN" w:bidi="ar-SA"/>
              </w:rPr>
              <w:t>不在</w:t>
            </w:r>
            <w:r>
              <w:rPr>
                <w:rFonts w:hint="default" w:ascii="Times New Roman" w:hAnsi="Times New Roman" w:eastAsia="宋体" w:cs="Times New Roman"/>
                <w:kern w:val="2"/>
                <w:sz w:val="21"/>
                <w:szCs w:val="24"/>
                <w:lang w:val="en-US" w:eastAsia="zh-CN" w:bidi="ar-SA"/>
              </w:rPr>
              <w:t>纳入合并报表范围，但</w:t>
            </w:r>
            <w:r>
              <w:rPr>
                <w:rFonts w:hint="eastAsia" w:ascii="Times New Roman" w:hAnsi="Times New Roman" w:eastAsia="宋体" w:cs="Times New Roman"/>
                <w:kern w:val="2"/>
                <w:sz w:val="21"/>
                <w:szCs w:val="24"/>
                <w:lang w:val="en-US" w:eastAsia="zh-CN" w:bidi="ar-SA"/>
              </w:rPr>
              <w:t>公司</w:t>
            </w:r>
            <w:r>
              <w:rPr>
                <w:rFonts w:hint="default" w:ascii="Times New Roman" w:hAnsi="Times New Roman" w:eastAsia="宋体" w:cs="Times New Roman"/>
                <w:kern w:val="2"/>
                <w:sz w:val="21"/>
                <w:szCs w:val="24"/>
                <w:lang w:val="en-US" w:eastAsia="zh-CN" w:bidi="ar-SA"/>
              </w:rPr>
              <w:t>仍在履行管理职责。根据《教育部等八部门关于规范公办学校举办或者参与举办民办义务教育学校的通知》（教发〔2021〕9号）的要求，博瑞传播自2022年初开始与市、区教育主管部门及属地政府就博瑞学校由民办转公立展开积极沟通、进行多次商讨，将全力保障公司和全体股东的利益。最终学校将何时、以何种形式转公均存在不确定性</w:t>
            </w:r>
            <w:r>
              <w:rPr>
                <w:rFonts w:hint="eastAsia" w:ascii="Times New Roman" w:hAnsi="Times New Roman" w:eastAsia="宋体" w:cs="Times New Roman"/>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2367" w:type="dxa"/>
            <w:shd w:val="clear" w:color="auto" w:fill="auto"/>
            <w:vAlign w:val="center"/>
          </w:tcPr>
          <w:p>
            <w:pPr>
              <w:spacing w:line="520" w:lineRule="exact"/>
              <w:jc w:val="center"/>
              <w:rPr>
                <w:rFonts w:ascii="宋体" w:hAnsi="宋体"/>
                <w:b/>
                <w:bCs/>
                <w:iCs/>
                <w:szCs w:val="21"/>
              </w:rPr>
            </w:pPr>
            <w:r>
              <w:rPr>
                <w:rFonts w:hint="eastAsia" w:ascii="宋体" w:hAnsi="宋体"/>
                <w:b/>
                <w:bCs/>
                <w:iCs/>
                <w:szCs w:val="21"/>
                <w:lang w:val="en-US" w:eastAsia="zh-CN"/>
              </w:rPr>
              <w:t>附件清单(如有）</w:t>
            </w:r>
          </w:p>
        </w:tc>
        <w:tc>
          <w:tcPr>
            <w:tcW w:w="7748" w:type="dxa"/>
            <w:shd w:val="clear" w:color="auto" w:fill="auto"/>
          </w:tcPr>
          <w:p>
            <w:pPr>
              <w:spacing w:line="520" w:lineRule="exact"/>
              <w:rPr>
                <w:rFonts w:hint="eastAsia" w:ascii="宋体" w:hAnsi="宋体" w:eastAsia="宋体"/>
                <w:bCs/>
                <w:iCs/>
                <w:szCs w:val="21"/>
                <w:lang w:val="en-US" w:eastAsia="zh-CN"/>
              </w:rPr>
            </w:pPr>
            <w:r>
              <w:rPr>
                <w:rFonts w:ascii="宋体" w:hAnsi="宋体"/>
                <w:bCs/>
                <w:iCs/>
                <w:szCs w:val="21"/>
              </w:rPr>
              <w:t xml:space="preserve">       </w:t>
            </w:r>
            <w:r>
              <w:rPr>
                <w:rFonts w:hint="eastAsia" w:ascii="宋体" w:hAnsi="宋体"/>
                <w:bCs/>
                <w:iCs/>
                <w:szCs w:val="21"/>
                <w:lang w:val="en-US" w:eastAsia="zh-CN"/>
              </w:rPr>
              <w:t xml:space="preserve">                       无</w:t>
            </w:r>
          </w:p>
        </w:tc>
      </w:tr>
    </w:tbl>
    <w:p>
      <w:pPr>
        <w:jc w:val="center"/>
        <w:rPr>
          <w:rFonts w:ascii="宋体" w:hAnsi="宋体" w:cs="宋体"/>
          <w:smallCaps/>
          <w:color w:val="000000"/>
          <w:sz w:val="24"/>
          <w:szCs w:val="20"/>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Pr>
    </w:pPr>
    <w:r>
      <w:rPr>
        <w:rStyle w:val="12"/>
      </w:rPr>
      <w:fldChar w:fldCharType="begin"/>
    </w:r>
    <w:r>
      <w:rPr>
        <w:rStyle w:val="12"/>
      </w:rPr>
      <w:instrText xml:space="preserve">PAGE  </w:instrText>
    </w:r>
    <w:r>
      <w:rPr>
        <w:rStyle w:val="12"/>
      </w:rPr>
      <w:fldChar w:fldCharType="separate"/>
    </w:r>
    <w:r>
      <w:rPr>
        <w:rStyle w:val="12"/>
      </w:rPr>
      <w:t>12</w:t>
    </w:r>
    <w:r>
      <w:rPr>
        <w:rStyle w:val="12"/>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D4161"/>
    <w:multiLevelType w:val="singleLevel"/>
    <w:tmpl w:val="FFCD416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CB6"/>
    <w:rsid w:val="00004D95"/>
    <w:rsid w:val="000105A9"/>
    <w:rsid w:val="000206C9"/>
    <w:rsid w:val="000312C2"/>
    <w:rsid w:val="00034599"/>
    <w:rsid w:val="000510E5"/>
    <w:rsid w:val="000606DF"/>
    <w:rsid w:val="00064868"/>
    <w:rsid w:val="00065D53"/>
    <w:rsid w:val="00072C2B"/>
    <w:rsid w:val="00082A8C"/>
    <w:rsid w:val="000857F1"/>
    <w:rsid w:val="00085B0E"/>
    <w:rsid w:val="000959E8"/>
    <w:rsid w:val="000968C7"/>
    <w:rsid w:val="00096F08"/>
    <w:rsid w:val="000A5B88"/>
    <w:rsid w:val="000C0713"/>
    <w:rsid w:val="000C28EC"/>
    <w:rsid w:val="000C3078"/>
    <w:rsid w:val="000D2024"/>
    <w:rsid w:val="000E601A"/>
    <w:rsid w:val="000E60B8"/>
    <w:rsid w:val="000F1A7C"/>
    <w:rsid w:val="0010117A"/>
    <w:rsid w:val="001020F6"/>
    <w:rsid w:val="00102B03"/>
    <w:rsid w:val="00103AC2"/>
    <w:rsid w:val="00116245"/>
    <w:rsid w:val="00124429"/>
    <w:rsid w:val="001247CE"/>
    <w:rsid w:val="001253FE"/>
    <w:rsid w:val="00130D29"/>
    <w:rsid w:val="00135350"/>
    <w:rsid w:val="00141755"/>
    <w:rsid w:val="00141F7D"/>
    <w:rsid w:val="001472C0"/>
    <w:rsid w:val="001500AE"/>
    <w:rsid w:val="00155B2E"/>
    <w:rsid w:val="00165CEF"/>
    <w:rsid w:val="00170EC2"/>
    <w:rsid w:val="0017480E"/>
    <w:rsid w:val="00180170"/>
    <w:rsid w:val="00185401"/>
    <w:rsid w:val="00197885"/>
    <w:rsid w:val="001A0BD2"/>
    <w:rsid w:val="001B50FB"/>
    <w:rsid w:val="001D24F6"/>
    <w:rsid w:val="001D5404"/>
    <w:rsid w:val="001E08F3"/>
    <w:rsid w:val="001F189F"/>
    <w:rsid w:val="001F1D62"/>
    <w:rsid w:val="001F2191"/>
    <w:rsid w:val="001F4960"/>
    <w:rsid w:val="001F66A3"/>
    <w:rsid w:val="00201CD9"/>
    <w:rsid w:val="00210A38"/>
    <w:rsid w:val="00212D29"/>
    <w:rsid w:val="002169C7"/>
    <w:rsid w:val="00217FC8"/>
    <w:rsid w:val="00222241"/>
    <w:rsid w:val="00223AD3"/>
    <w:rsid w:val="00223FA2"/>
    <w:rsid w:val="00243365"/>
    <w:rsid w:val="002542D6"/>
    <w:rsid w:val="002561D9"/>
    <w:rsid w:val="00261DC6"/>
    <w:rsid w:val="00272875"/>
    <w:rsid w:val="00285CFD"/>
    <w:rsid w:val="00287DE3"/>
    <w:rsid w:val="00295A58"/>
    <w:rsid w:val="002961DD"/>
    <w:rsid w:val="002A685B"/>
    <w:rsid w:val="002B156E"/>
    <w:rsid w:val="002B4F77"/>
    <w:rsid w:val="002C54C7"/>
    <w:rsid w:val="002C7253"/>
    <w:rsid w:val="002D48B4"/>
    <w:rsid w:val="002D64CF"/>
    <w:rsid w:val="002D7662"/>
    <w:rsid w:val="002E1CB6"/>
    <w:rsid w:val="002E6B15"/>
    <w:rsid w:val="002F227A"/>
    <w:rsid w:val="0031419B"/>
    <w:rsid w:val="00317F1F"/>
    <w:rsid w:val="0032245A"/>
    <w:rsid w:val="00332717"/>
    <w:rsid w:val="00353F79"/>
    <w:rsid w:val="00356312"/>
    <w:rsid w:val="003642F4"/>
    <w:rsid w:val="00372879"/>
    <w:rsid w:val="00373F8E"/>
    <w:rsid w:val="003A150C"/>
    <w:rsid w:val="003A1DB7"/>
    <w:rsid w:val="003A4266"/>
    <w:rsid w:val="003A5CF2"/>
    <w:rsid w:val="003B1B35"/>
    <w:rsid w:val="003B291B"/>
    <w:rsid w:val="003B57D7"/>
    <w:rsid w:val="003C01AC"/>
    <w:rsid w:val="003C208C"/>
    <w:rsid w:val="003C6891"/>
    <w:rsid w:val="003D2E5F"/>
    <w:rsid w:val="003D494F"/>
    <w:rsid w:val="003D4E89"/>
    <w:rsid w:val="003E3102"/>
    <w:rsid w:val="003F3718"/>
    <w:rsid w:val="00405565"/>
    <w:rsid w:val="0040659F"/>
    <w:rsid w:val="00425CD3"/>
    <w:rsid w:val="00427FB4"/>
    <w:rsid w:val="00431253"/>
    <w:rsid w:val="00433AB6"/>
    <w:rsid w:val="00434BB3"/>
    <w:rsid w:val="00441A73"/>
    <w:rsid w:val="00442CDE"/>
    <w:rsid w:val="0045414B"/>
    <w:rsid w:val="00463692"/>
    <w:rsid w:val="004706D6"/>
    <w:rsid w:val="00470D03"/>
    <w:rsid w:val="00485B21"/>
    <w:rsid w:val="004A54A5"/>
    <w:rsid w:val="004B6688"/>
    <w:rsid w:val="004C0D8D"/>
    <w:rsid w:val="004E09CD"/>
    <w:rsid w:val="004E0A14"/>
    <w:rsid w:val="004F1EBF"/>
    <w:rsid w:val="004F3AED"/>
    <w:rsid w:val="005018B6"/>
    <w:rsid w:val="00501CE4"/>
    <w:rsid w:val="00507042"/>
    <w:rsid w:val="00515043"/>
    <w:rsid w:val="005302F8"/>
    <w:rsid w:val="00537530"/>
    <w:rsid w:val="00542ABA"/>
    <w:rsid w:val="00542F5A"/>
    <w:rsid w:val="00546164"/>
    <w:rsid w:val="00547757"/>
    <w:rsid w:val="00551752"/>
    <w:rsid w:val="00552497"/>
    <w:rsid w:val="00560E95"/>
    <w:rsid w:val="005623C4"/>
    <w:rsid w:val="00563DE5"/>
    <w:rsid w:val="00593DC2"/>
    <w:rsid w:val="00594955"/>
    <w:rsid w:val="005B70C4"/>
    <w:rsid w:val="005D0A63"/>
    <w:rsid w:val="005D243B"/>
    <w:rsid w:val="005D336D"/>
    <w:rsid w:val="005E1BC6"/>
    <w:rsid w:val="005E742D"/>
    <w:rsid w:val="005F4E31"/>
    <w:rsid w:val="0060198F"/>
    <w:rsid w:val="00607C2C"/>
    <w:rsid w:val="006107C8"/>
    <w:rsid w:val="0062081B"/>
    <w:rsid w:val="00624325"/>
    <w:rsid w:val="00626CBA"/>
    <w:rsid w:val="006313AD"/>
    <w:rsid w:val="0063595C"/>
    <w:rsid w:val="0064109E"/>
    <w:rsid w:val="00643CB9"/>
    <w:rsid w:val="006606FA"/>
    <w:rsid w:val="00681CF2"/>
    <w:rsid w:val="00696CDE"/>
    <w:rsid w:val="006A18A0"/>
    <w:rsid w:val="006A3787"/>
    <w:rsid w:val="006A7B21"/>
    <w:rsid w:val="006B0923"/>
    <w:rsid w:val="006B2631"/>
    <w:rsid w:val="006B53BE"/>
    <w:rsid w:val="006C1D21"/>
    <w:rsid w:val="006C671F"/>
    <w:rsid w:val="006E42AB"/>
    <w:rsid w:val="006E6273"/>
    <w:rsid w:val="007013E7"/>
    <w:rsid w:val="00710B0D"/>
    <w:rsid w:val="007207C2"/>
    <w:rsid w:val="00721071"/>
    <w:rsid w:val="00721C4B"/>
    <w:rsid w:val="00724892"/>
    <w:rsid w:val="00726586"/>
    <w:rsid w:val="00727CAA"/>
    <w:rsid w:val="00741733"/>
    <w:rsid w:val="00741A20"/>
    <w:rsid w:val="00745051"/>
    <w:rsid w:val="007468D4"/>
    <w:rsid w:val="0074733D"/>
    <w:rsid w:val="00755ECB"/>
    <w:rsid w:val="00760954"/>
    <w:rsid w:val="00764D78"/>
    <w:rsid w:val="00767F96"/>
    <w:rsid w:val="007736B5"/>
    <w:rsid w:val="0078426F"/>
    <w:rsid w:val="00784C21"/>
    <w:rsid w:val="00792608"/>
    <w:rsid w:val="007958A9"/>
    <w:rsid w:val="00796FAF"/>
    <w:rsid w:val="007972D1"/>
    <w:rsid w:val="007A428A"/>
    <w:rsid w:val="007B3DDD"/>
    <w:rsid w:val="007B59EC"/>
    <w:rsid w:val="007B7269"/>
    <w:rsid w:val="007B7FF4"/>
    <w:rsid w:val="007C4DC9"/>
    <w:rsid w:val="007C6EF8"/>
    <w:rsid w:val="007D124D"/>
    <w:rsid w:val="007D2504"/>
    <w:rsid w:val="007D2A17"/>
    <w:rsid w:val="007D435E"/>
    <w:rsid w:val="007F2E30"/>
    <w:rsid w:val="007F76A2"/>
    <w:rsid w:val="00802E2A"/>
    <w:rsid w:val="00812EF7"/>
    <w:rsid w:val="0081398A"/>
    <w:rsid w:val="00826832"/>
    <w:rsid w:val="00836A4C"/>
    <w:rsid w:val="00837AC0"/>
    <w:rsid w:val="00862BD1"/>
    <w:rsid w:val="00863873"/>
    <w:rsid w:val="00873529"/>
    <w:rsid w:val="00880CA7"/>
    <w:rsid w:val="00883E75"/>
    <w:rsid w:val="00886169"/>
    <w:rsid w:val="008866FA"/>
    <w:rsid w:val="0089070B"/>
    <w:rsid w:val="00892460"/>
    <w:rsid w:val="008945B0"/>
    <w:rsid w:val="008A6B9F"/>
    <w:rsid w:val="008B1926"/>
    <w:rsid w:val="008B448C"/>
    <w:rsid w:val="008B797B"/>
    <w:rsid w:val="008D5E00"/>
    <w:rsid w:val="008E65C2"/>
    <w:rsid w:val="008F3F59"/>
    <w:rsid w:val="008F46FC"/>
    <w:rsid w:val="0090024F"/>
    <w:rsid w:val="00904A15"/>
    <w:rsid w:val="009239D6"/>
    <w:rsid w:val="00925195"/>
    <w:rsid w:val="00931B9A"/>
    <w:rsid w:val="00932791"/>
    <w:rsid w:val="009329FD"/>
    <w:rsid w:val="009332C9"/>
    <w:rsid w:val="00944EFC"/>
    <w:rsid w:val="00952ED3"/>
    <w:rsid w:val="00967139"/>
    <w:rsid w:val="009703CE"/>
    <w:rsid w:val="00975A7A"/>
    <w:rsid w:val="009913E6"/>
    <w:rsid w:val="009A5F92"/>
    <w:rsid w:val="009B0E69"/>
    <w:rsid w:val="009C1ECE"/>
    <w:rsid w:val="009D14E7"/>
    <w:rsid w:val="009D1A37"/>
    <w:rsid w:val="009D75C4"/>
    <w:rsid w:val="009E4851"/>
    <w:rsid w:val="009E5953"/>
    <w:rsid w:val="00A057B6"/>
    <w:rsid w:val="00A12430"/>
    <w:rsid w:val="00A224F6"/>
    <w:rsid w:val="00A2720A"/>
    <w:rsid w:val="00A425A0"/>
    <w:rsid w:val="00A4445A"/>
    <w:rsid w:val="00A45A0E"/>
    <w:rsid w:val="00A465E4"/>
    <w:rsid w:val="00A608F7"/>
    <w:rsid w:val="00A64CA7"/>
    <w:rsid w:val="00A65051"/>
    <w:rsid w:val="00A65C7C"/>
    <w:rsid w:val="00A71C64"/>
    <w:rsid w:val="00A809A4"/>
    <w:rsid w:val="00A83444"/>
    <w:rsid w:val="00A9137E"/>
    <w:rsid w:val="00A93724"/>
    <w:rsid w:val="00AC1F84"/>
    <w:rsid w:val="00AC46E1"/>
    <w:rsid w:val="00AD1625"/>
    <w:rsid w:val="00AD188C"/>
    <w:rsid w:val="00AE2BF8"/>
    <w:rsid w:val="00AE4DA8"/>
    <w:rsid w:val="00AF2062"/>
    <w:rsid w:val="00B07600"/>
    <w:rsid w:val="00B221C5"/>
    <w:rsid w:val="00B222C4"/>
    <w:rsid w:val="00B26B59"/>
    <w:rsid w:val="00B312A9"/>
    <w:rsid w:val="00B41AB7"/>
    <w:rsid w:val="00B55250"/>
    <w:rsid w:val="00B5559D"/>
    <w:rsid w:val="00B75088"/>
    <w:rsid w:val="00B80532"/>
    <w:rsid w:val="00B85F52"/>
    <w:rsid w:val="00BA2B8B"/>
    <w:rsid w:val="00BC71FA"/>
    <w:rsid w:val="00BD1324"/>
    <w:rsid w:val="00BD154A"/>
    <w:rsid w:val="00BD47ED"/>
    <w:rsid w:val="00BD5431"/>
    <w:rsid w:val="00BE0006"/>
    <w:rsid w:val="00BE5828"/>
    <w:rsid w:val="00BE74E1"/>
    <w:rsid w:val="00BF5773"/>
    <w:rsid w:val="00BF63C9"/>
    <w:rsid w:val="00C03089"/>
    <w:rsid w:val="00C30DA7"/>
    <w:rsid w:val="00C55372"/>
    <w:rsid w:val="00C60BD2"/>
    <w:rsid w:val="00C70A43"/>
    <w:rsid w:val="00C71B24"/>
    <w:rsid w:val="00C73835"/>
    <w:rsid w:val="00C80795"/>
    <w:rsid w:val="00C97ECA"/>
    <w:rsid w:val="00CC30AC"/>
    <w:rsid w:val="00CD2787"/>
    <w:rsid w:val="00CD2C83"/>
    <w:rsid w:val="00CE5503"/>
    <w:rsid w:val="00CF34D1"/>
    <w:rsid w:val="00CF46A8"/>
    <w:rsid w:val="00D05088"/>
    <w:rsid w:val="00D05329"/>
    <w:rsid w:val="00D074CD"/>
    <w:rsid w:val="00D14FB4"/>
    <w:rsid w:val="00D2277D"/>
    <w:rsid w:val="00D33C02"/>
    <w:rsid w:val="00D41F71"/>
    <w:rsid w:val="00D44435"/>
    <w:rsid w:val="00D45086"/>
    <w:rsid w:val="00D52ED9"/>
    <w:rsid w:val="00D55F16"/>
    <w:rsid w:val="00D6018C"/>
    <w:rsid w:val="00D72C39"/>
    <w:rsid w:val="00D7472E"/>
    <w:rsid w:val="00D819C5"/>
    <w:rsid w:val="00D95711"/>
    <w:rsid w:val="00D960F6"/>
    <w:rsid w:val="00D977E4"/>
    <w:rsid w:val="00DA4DC4"/>
    <w:rsid w:val="00DB279C"/>
    <w:rsid w:val="00DB2A2D"/>
    <w:rsid w:val="00DB49F8"/>
    <w:rsid w:val="00DB4E1C"/>
    <w:rsid w:val="00DD2846"/>
    <w:rsid w:val="00DD6707"/>
    <w:rsid w:val="00DE38FC"/>
    <w:rsid w:val="00E01C3A"/>
    <w:rsid w:val="00E05683"/>
    <w:rsid w:val="00E11B42"/>
    <w:rsid w:val="00E15C09"/>
    <w:rsid w:val="00E16AD9"/>
    <w:rsid w:val="00E312FA"/>
    <w:rsid w:val="00E31422"/>
    <w:rsid w:val="00E420CC"/>
    <w:rsid w:val="00E44A42"/>
    <w:rsid w:val="00E50223"/>
    <w:rsid w:val="00E562B4"/>
    <w:rsid w:val="00E57868"/>
    <w:rsid w:val="00E6037D"/>
    <w:rsid w:val="00E6224F"/>
    <w:rsid w:val="00E624B6"/>
    <w:rsid w:val="00E63C55"/>
    <w:rsid w:val="00E73AAB"/>
    <w:rsid w:val="00E7444F"/>
    <w:rsid w:val="00E84D64"/>
    <w:rsid w:val="00E90454"/>
    <w:rsid w:val="00E922ED"/>
    <w:rsid w:val="00E95511"/>
    <w:rsid w:val="00EA6DAE"/>
    <w:rsid w:val="00EB39EC"/>
    <w:rsid w:val="00EB4DEC"/>
    <w:rsid w:val="00EC4B54"/>
    <w:rsid w:val="00EC5A1A"/>
    <w:rsid w:val="00EE2508"/>
    <w:rsid w:val="00EE4E52"/>
    <w:rsid w:val="00EF172D"/>
    <w:rsid w:val="00EF174A"/>
    <w:rsid w:val="00EF44B6"/>
    <w:rsid w:val="00F072B3"/>
    <w:rsid w:val="00F110A9"/>
    <w:rsid w:val="00F1238C"/>
    <w:rsid w:val="00F23672"/>
    <w:rsid w:val="00F30B9E"/>
    <w:rsid w:val="00F30CB6"/>
    <w:rsid w:val="00F30D69"/>
    <w:rsid w:val="00F42008"/>
    <w:rsid w:val="00F444E6"/>
    <w:rsid w:val="00F46623"/>
    <w:rsid w:val="00F62F5A"/>
    <w:rsid w:val="00F81A6A"/>
    <w:rsid w:val="00F853EA"/>
    <w:rsid w:val="00F930DA"/>
    <w:rsid w:val="00F93A7D"/>
    <w:rsid w:val="00F94B83"/>
    <w:rsid w:val="00FB4549"/>
    <w:rsid w:val="00FB52A1"/>
    <w:rsid w:val="00FB666D"/>
    <w:rsid w:val="00FC01BB"/>
    <w:rsid w:val="00FC1ED6"/>
    <w:rsid w:val="00FC2F04"/>
    <w:rsid w:val="00FC463C"/>
    <w:rsid w:val="00FC46C0"/>
    <w:rsid w:val="00FC5C0F"/>
    <w:rsid w:val="00FD6A22"/>
    <w:rsid w:val="00FE5B7F"/>
    <w:rsid w:val="00FF317F"/>
    <w:rsid w:val="00FF5871"/>
    <w:rsid w:val="00FF7413"/>
    <w:rsid w:val="015C6712"/>
    <w:rsid w:val="02542AA9"/>
    <w:rsid w:val="0C610287"/>
    <w:rsid w:val="119F37DB"/>
    <w:rsid w:val="11B52C8F"/>
    <w:rsid w:val="1A1F5BA0"/>
    <w:rsid w:val="1B907612"/>
    <w:rsid w:val="21360956"/>
    <w:rsid w:val="24196F10"/>
    <w:rsid w:val="277302DD"/>
    <w:rsid w:val="2B6C5264"/>
    <w:rsid w:val="2CA33778"/>
    <w:rsid w:val="2EBD6DFC"/>
    <w:rsid w:val="34494CB4"/>
    <w:rsid w:val="346F2B26"/>
    <w:rsid w:val="36682B76"/>
    <w:rsid w:val="391E64AA"/>
    <w:rsid w:val="3D41502A"/>
    <w:rsid w:val="41C81D0C"/>
    <w:rsid w:val="436D4C09"/>
    <w:rsid w:val="4AEF6459"/>
    <w:rsid w:val="59565339"/>
    <w:rsid w:val="59C210D8"/>
    <w:rsid w:val="5ACF1794"/>
    <w:rsid w:val="5B2378FB"/>
    <w:rsid w:val="657F1F98"/>
    <w:rsid w:val="6AED7EA6"/>
    <w:rsid w:val="6B502AC6"/>
    <w:rsid w:val="6E073755"/>
    <w:rsid w:val="710B452D"/>
    <w:rsid w:val="75003AE5"/>
    <w:rsid w:val="78F34DBF"/>
    <w:rsid w:val="7D960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0"/>
    <w:qFormat/>
    <w:uiPriority w:val="0"/>
    <w:pPr>
      <w:keepNext/>
      <w:keepLines/>
      <w:spacing w:before="260" w:after="260" w:line="416" w:lineRule="auto"/>
      <w:jc w:val="center"/>
      <w:outlineLvl w:val="2"/>
    </w:pPr>
    <w:rPr>
      <w:rFonts w:cs="宋体"/>
      <w:b/>
      <w:bCs/>
      <w:smallCaps/>
      <w:sz w:val="24"/>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sz w:val="28"/>
      <w:szCs w:val="28"/>
      <w:lang w:val="zh-CN" w:eastAsia="zh-CN" w:bidi="zh-CN"/>
    </w:rPr>
  </w:style>
  <w:style w:type="paragraph" w:styleId="4">
    <w:name w:val="annotation text"/>
    <w:basedOn w:val="1"/>
    <w:link w:val="16"/>
    <w:semiHidden/>
    <w:unhideWhenUsed/>
    <w:qFormat/>
    <w:uiPriority w:val="99"/>
    <w:pPr>
      <w:jc w:val="left"/>
    </w:p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4"/>
    <w:next w:val="4"/>
    <w:link w:val="17"/>
    <w:semiHidden/>
    <w:unhideWhenUsed/>
    <w:qFormat/>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8"/>
    <w:qFormat/>
    <w:uiPriority w:val="0"/>
    <w:rPr>
      <w:sz w:val="18"/>
      <w:szCs w:val="18"/>
    </w:rPr>
  </w:style>
  <w:style w:type="character" w:customStyle="1" w:styleId="15">
    <w:name w:val="页脚 Char"/>
    <w:basedOn w:val="11"/>
    <w:link w:val="7"/>
    <w:qFormat/>
    <w:uiPriority w:val="99"/>
    <w:rPr>
      <w:sz w:val="18"/>
      <w:szCs w:val="18"/>
    </w:rPr>
  </w:style>
  <w:style w:type="character" w:customStyle="1" w:styleId="16">
    <w:name w:val="批注文字 Char"/>
    <w:basedOn w:val="11"/>
    <w:link w:val="4"/>
    <w:semiHidden/>
    <w:qFormat/>
    <w:uiPriority w:val="99"/>
    <w:rPr>
      <w:rFonts w:ascii="Times New Roman" w:hAnsi="Times New Roman" w:eastAsia="宋体" w:cs="Times New Roman"/>
      <w:szCs w:val="24"/>
    </w:rPr>
  </w:style>
  <w:style w:type="character" w:customStyle="1" w:styleId="17">
    <w:name w:val="批注主题 Char"/>
    <w:basedOn w:val="16"/>
    <w:link w:val="9"/>
    <w:semiHidden/>
    <w:qFormat/>
    <w:uiPriority w:val="99"/>
    <w:rPr>
      <w:rFonts w:ascii="Times New Roman" w:hAnsi="Times New Roman" w:eastAsia="宋体" w:cs="Times New Roman"/>
      <w:b/>
      <w:bCs/>
      <w:szCs w:val="24"/>
    </w:rPr>
  </w:style>
  <w:style w:type="character" w:customStyle="1" w:styleId="18">
    <w:name w:val="批注框文本 Char"/>
    <w:basedOn w:val="11"/>
    <w:link w:val="6"/>
    <w:semiHidden/>
    <w:qFormat/>
    <w:uiPriority w:val="99"/>
    <w:rPr>
      <w:rFonts w:ascii="Times New Roman" w:hAnsi="Times New Roman" w:eastAsia="宋体" w:cs="Times New Roman"/>
      <w:sz w:val="18"/>
      <w:szCs w:val="18"/>
    </w:rPr>
  </w:style>
  <w:style w:type="character" w:customStyle="1" w:styleId="19">
    <w:name w:val="日期 Char"/>
    <w:basedOn w:val="11"/>
    <w:link w:val="5"/>
    <w:semiHidden/>
    <w:qFormat/>
    <w:uiPriority w:val="99"/>
    <w:rPr>
      <w:rFonts w:ascii="Times New Roman" w:hAnsi="Times New Roman" w:eastAsia="宋体" w:cs="Times New Roman"/>
      <w:szCs w:val="24"/>
    </w:rPr>
  </w:style>
  <w:style w:type="character" w:customStyle="1" w:styleId="20">
    <w:name w:val="标题 3 Char"/>
    <w:basedOn w:val="11"/>
    <w:link w:val="3"/>
    <w:qFormat/>
    <w:uiPriority w:val="0"/>
    <w:rPr>
      <w:rFonts w:ascii="Times New Roman" w:hAnsi="Times New Roman" w:eastAsia="宋体" w:cs="宋体"/>
      <w:b/>
      <w:bCs/>
      <w:smallCaps/>
      <w:sz w:val="24"/>
      <w:szCs w:val="32"/>
    </w:rPr>
  </w:style>
  <w:style w:type="paragraph" w:customStyle="1" w:styleId="21">
    <w:name w:val="_Style 16"/>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1035</Words>
  <Characters>5901</Characters>
  <Lines>49</Lines>
  <Paragraphs>13</Paragraphs>
  <TotalTime>40</TotalTime>
  <ScaleCrop>false</ScaleCrop>
  <LinksUpToDate>false</LinksUpToDate>
  <CharactersWithSpaces>6923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2019-07-24T02:43:00Z</dcterms:created>
  <dc:creator>Lu</dc:creator>
  <cp:lastModifiedBy>赵成伟</cp:lastModifiedBy>
  <cp:lastPrinted>2024-04-10T01:40:00Z</cp:lastPrinted>
  <dcterms:modified xsi:type="dcterms:W3CDTF">2024-12-20T08:45:25Z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ED122374869C4F93AC7820C2204EBFFA</vt:lpwstr>
  </property>
</Properties>
</file>