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0F53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4050A025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701C7FBC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105D3667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62FCBE7F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3</w:t>
      </w:r>
    </w:p>
    <w:tbl>
      <w:tblPr>
        <w:tblStyle w:val="11"/>
        <w:tblW w:w="8845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927"/>
      </w:tblGrid>
      <w:tr w14:paraId="0D2D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E701">
            <w:pPr>
              <w:ind w:firstLine="0" w:firstLineChars="0"/>
              <w:jc w:val="center"/>
            </w:pPr>
            <w:r>
              <w:t>投资者关系</w:t>
            </w:r>
          </w:p>
          <w:p w14:paraId="43BED52C">
            <w:pPr>
              <w:ind w:firstLine="0" w:firstLineChars="0"/>
              <w:jc w:val="center"/>
            </w:pPr>
            <w:r>
              <w:t>活动类别</w:t>
            </w:r>
          </w:p>
          <w:p w14:paraId="0B04E196">
            <w:pPr>
              <w:ind w:firstLine="480"/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00D9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2E0580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039CE9AC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35BD0DA7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30C192EA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2D1B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A791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千禧年基金、泰旸资产、海创基金、华夏基金、景顺长城基金、西部证券、常春藤资产、高毅资产、浩期资产、汇丰晋信基金、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星石投资、丹羿投资、国金证券、筌笠投资、见合私募、民生资管</w:t>
            </w:r>
          </w:p>
        </w:tc>
      </w:tr>
      <w:tr w14:paraId="5DCD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A97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9859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t>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14:paraId="3A4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00FA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2F51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6DD6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9538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CAD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康俊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王书简、黄敏珺、李烨陶</w:t>
            </w:r>
          </w:p>
        </w:tc>
      </w:tr>
      <w:tr w14:paraId="34F9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4FF7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7C80B4FB">
            <w:pPr>
              <w:ind w:firstLine="480"/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03D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21CE05F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请简单介绍一下公司2024年前三季度的业绩情况：</w:t>
            </w:r>
          </w:p>
          <w:p w14:paraId="78D86111">
            <w:pPr>
              <w:ind w:firstLine="480"/>
            </w:pPr>
            <w:r>
              <w:rPr>
                <w:rFonts w:hint="eastAsia"/>
              </w:rPr>
              <w:t>答：</w:t>
            </w:r>
            <w:r>
              <w:rPr>
                <w:rFonts w:hint="eastAsia" w:ascii="Times New Roman" w:hAnsi="Times New Roman"/>
              </w:rPr>
              <w:t>公司始终坚持“智慧安防+智能手机+汽车电子”三足鼎立的发展方向，充分发挥高效研发竞争优势，进一步优化完善产品矩阵，打造更具韧性的供应链体系，成功开辟出智能手机领域第二增长曲线。</w:t>
            </w:r>
            <w:r>
              <w:rPr>
                <w:rFonts w:hint="eastAsia"/>
              </w:rPr>
              <w:t>2024年前三季度，公司实现营业收入420,755.06万元，较上年同期上升137.33%，归属于上市公司股东的扣非净利润为30,494.83万元，同比增长36,487.25万元。</w:t>
            </w:r>
          </w:p>
          <w:p w14:paraId="34FE054D">
            <w:pPr>
              <w:pStyle w:val="2"/>
              <w:tabs>
                <w:tab w:val="left" w:pos="467"/>
              </w:tabs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请简单介绍下公司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净利润显著增长的原因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</w:p>
          <w:p w14:paraId="54B00A25">
            <w:pPr>
              <w:ind w:firstLine="480" w:firstLineChars="200"/>
            </w:pPr>
            <w:r>
              <w:rPr>
                <w:rFonts w:hint="eastAsia" w:eastAsia="宋体"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2024年前三季度，归属于上市公司股东的净利润为27,323.78万元，同比增长33,871.24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主要系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公司销售收入大幅上升，同时公司控制销售费用、管理费用的支出、努力做到节费增效，从而改善了盈利能力，使净利润显著增长。</w:t>
            </w:r>
          </w:p>
          <w:p w14:paraId="72A05870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公司的研发投入情况：</w:t>
            </w:r>
          </w:p>
          <w:p w14:paraId="67BC1186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答：2024年前三季度，公司研发投入为32,117.38万元。公司秉承“让人们更好地看到和认知世界”的愿景，坚持“以客户为核心，致力于提供高质量、智能的视频解决方案”的理念，紧贴客户需求开发了一系列有特色的核心技术。公司深入挖掘智慧安防、智能手机、汽车电子等新兴图像传感器应用领域客户需求，研发出了多样化、差异化的产品系列，覆盖高中低阶的全系列产品，满足不同定位的客户需求。</w:t>
            </w:r>
          </w:p>
          <w:p w14:paraId="4742BD9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4、请简单介绍下公司的经营模式</w:t>
            </w:r>
          </w:p>
          <w:p w14:paraId="53B175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t>公司的经营模式属于Fabless模式，公司专注于CMOS图像传感器研发、设计和销售工作，而将晶圆生产、封装等主要生产环节委托给外部企业完成，但考虑到最终产品调试的便捷性和品质管控，公司自建测试厂完成了大部分的终测（FT测试）环节的工作。公司拥有独立完整的研发、采购、生产和销售体系，并根据自身情况、市场规则和运作机制，独立进行经营活动</w:t>
            </w:r>
            <w:r>
              <w:rPr>
                <w:rFonts w:hint="eastAsia"/>
              </w:rPr>
              <w:t>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7938C125">
            <w:pPr>
              <w:ind w:firstLine="48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</w:tc>
      </w:tr>
      <w:tr w14:paraId="2D81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C918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8B44">
            <w:pPr>
              <w:ind w:firstLine="480"/>
              <w:jc w:val="left"/>
            </w:pPr>
            <w:r>
              <w:t>无</w:t>
            </w:r>
          </w:p>
        </w:tc>
      </w:tr>
    </w:tbl>
    <w:p w14:paraId="5AFCC865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5CA0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142B0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04C90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9099F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F30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285E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612351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1A03EDC"/>
    <w:rsid w:val="12034863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C26F45"/>
    <w:rsid w:val="260B27E7"/>
    <w:rsid w:val="261F3B09"/>
    <w:rsid w:val="26733D00"/>
    <w:rsid w:val="26C83CEF"/>
    <w:rsid w:val="26FC458B"/>
    <w:rsid w:val="26FC7CDF"/>
    <w:rsid w:val="27201DB5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7C5209"/>
    <w:rsid w:val="2C9B5E00"/>
    <w:rsid w:val="2CE12625"/>
    <w:rsid w:val="2D362A2D"/>
    <w:rsid w:val="2D6745FE"/>
    <w:rsid w:val="2D941716"/>
    <w:rsid w:val="2DA71574"/>
    <w:rsid w:val="2DBD14A3"/>
    <w:rsid w:val="2DCC7F41"/>
    <w:rsid w:val="2DE84511"/>
    <w:rsid w:val="2E077CEB"/>
    <w:rsid w:val="2E354F40"/>
    <w:rsid w:val="2E8D2504"/>
    <w:rsid w:val="2EB72749"/>
    <w:rsid w:val="2EC2095F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8B3100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1A56F4"/>
    <w:rsid w:val="3E465893"/>
    <w:rsid w:val="3EB65F9B"/>
    <w:rsid w:val="3EBD5B05"/>
    <w:rsid w:val="3EC22781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230F76"/>
    <w:rsid w:val="41531602"/>
    <w:rsid w:val="417A3802"/>
    <w:rsid w:val="4251418C"/>
    <w:rsid w:val="42587410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3BA09A4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8F6CE6"/>
    <w:rsid w:val="56B319F7"/>
    <w:rsid w:val="56D36A1E"/>
    <w:rsid w:val="56DC513F"/>
    <w:rsid w:val="56E117CD"/>
    <w:rsid w:val="56F93DF6"/>
    <w:rsid w:val="572D0377"/>
    <w:rsid w:val="573F1679"/>
    <w:rsid w:val="5781168A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6283729"/>
    <w:rsid w:val="66636AB9"/>
    <w:rsid w:val="667800BA"/>
    <w:rsid w:val="66D529D1"/>
    <w:rsid w:val="66E33816"/>
    <w:rsid w:val="66E53109"/>
    <w:rsid w:val="6731162E"/>
    <w:rsid w:val="67536467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CED30B6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1213</Words>
  <Characters>1345</Characters>
  <Lines>9</Lines>
  <Paragraphs>2</Paragraphs>
  <TotalTime>6</TotalTime>
  <ScaleCrop>false</ScaleCrop>
  <LinksUpToDate>false</LinksUpToDate>
  <CharactersWithSpaces>1406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2024-12-20T01:45:16Z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459FED37AB4444A8A5A808365CAC355D_13</vt:lpwstr>
  </property>
</Properties>
</file>