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ABBA6">
      <w:pPr>
        <w:spacing w:before="156" w:beforeLines="50" w:after="156" w:afterLines="50" w:line="360" w:lineRule="auto"/>
        <w:jc w:val="center"/>
        <w:rPr>
          <w:rFonts w:hint="eastAsia" w:ascii="黑体" w:hAnsi="黑体" w:eastAsia="黑体" w:cs="Times New Roman"/>
          <w:b/>
          <w:sz w:val="32"/>
          <w:szCs w:val="32"/>
        </w:rPr>
      </w:pPr>
      <w:r>
        <w:rPr>
          <w:rFonts w:hint="eastAsia" w:ascii="黑体" w:hAnsi="黑体" w:eastAsia="黑体" w:cs="Times New Roman"/>
          <w:b/>
          <w:sz w:val="32"/>
          <w:szCs w:val="32"/>
        </w:rPr>
        <w:t>上海韦尔半导体股份有限公司</w:t>
      </w:r>
    </w:p>
    <w:p w14:paraId="4D05EF0E">
      <w:pPr>
        <w:spacing w:before="156" w:beforeLines="50" w:after="156" w:afterLines="50" w:line="360" w:lineRule="auto"/>
        <w:jc w:val="center"/>
        <w:rPr>
          <w:rFonts w:hint="eastAsia" w:ascii="黑体" w:hAnsi="黑体" w:eastAsia="黑体" w:cs="Times New Roman"/>
          <w:b/>
          <w:sz w:val="32"/>
          <w:szCs w:val="32"/>
        </w:rPr>
      </w:pPr>
      <w:r>
        <w:rPr>
          <w:rFonts w:ascii="黑体" w:hAnsi="黑体" w:eastAsia="黑体" w:cs="Times New Roman"/>
          <w:b/>
          <w:sz w:val="32"/>
          <w:szCs w:val="32"/>
        </w:rPr>
        <w:t>投资者交流活动记录表</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234"/>
      </w:tblGrid>
      <w:tr w14:paraId="1AA6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2A923ADF">
            <w:pPr>
              <w:adjustRightInd w:val="0"/>
              <w:snapToGrid w:val="0"/>
              <w:jc w:val="center"/>
              <w:rPr>
                <w:rFonts w:ascii="Times New Roman" w:hAnsi="Times New Roman" w:cs="Times New Roman"/>
                <w:b/>
                <w:szCs w:val="21"/>
              </w:rPr>
            </w:pPr>
            <w:r>
              <w:rPr>
                <w:rFonts w:hint="eastAsia" w:ascii="Times New Roman" w:hAnsi="Times New Roman" w:cs="Times New Roman"/>
                <w:b/>
                <w:szCs w:val="21"/>
              </w:rPr>
              <w:t>投资者交流</w:t>
            </w:r>
          </w:p>
          <w:p w14:paraId="77B0C566">
            <w:pPr>
              <w:adjustRightInd w:val="0"/>
              <w:snapToGrid w:val="0"/>
              <w:jc w:val="center"/>
              <w:rPr>
                <w:rFonts w:ascii="Times New Roman" w:hAnsi="Times New Roman" w:cs="Times New Roman"/>
                <w:b/>
                <w:szCs w:val="21"/>
              </w:rPr>
            </w:pPr>
            <w:r>
              <w:rPr>
                <w:rFonts w:hint="eastAsia" w:ascii="Times New Roman" w:hAnsi="Times New Roman" w:cs="Times New Roman"/>
                <w:b/>
                <w:szCs w:val="21"/>
              </w:rPr>
              <w:t>活动类别</w:t>
            </w:r>
          </w:p>
        </w:tc>
        <w:tc>
          <w:tcPr>
            <w:tcW w:w="7234" w:type="dxa"/>
            <w:vAlign w:val="center"/>
          </w:tcPr>
          <w:p w14:paraId="5391C7AD">
            <w:pPr>
              <w:spacing w:line="360" w:lineRule="auto"/>
              <w:rPr>
                <w:rFonts w:ascii="Times New Roman" w:hAnsi="Times New Roman" w:cs="Times New Roman"/>
                <w:szCs w:val="21"/>
              </w:rPr>
            </w:pPr>
            <w:r>
              <w:rPr>
                <w:rFonts w:ascii="Times New Roman" w:hAnsi="Times New Roman" w:cs="Times New Roman"/>
                <w:szCs w:val="21"/>
              </w:rPr>
              <w:t>√特定对象调研  □分析师会议  □媒体采访  □业绩说明会  □新闻发布会       □路演活动  □现场参观  □其他（请文字说明其他活动内容）</w:t>
            </w:r>
          </w:p>
        </w:tc>
      </w:tr>
      <w:tr w14:paraId="39F3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E85EFAE">
            <w:pPr>
              <w:adjustRightInd w:val="0"/>
              <w:snapToGrid w:val="0"/>
              <w:jc w:val="center"/>
              <w:rPr>
                <w:rFonts w:ascii="Times New Roman" w:hAnsi="Times New Roman" w:cs="Times New Roman"/>
                <w:b/>
                <w:szCs w:val="21"/>
              </w:rPr>
            </w:pPr>
            <w:r>
              <w:rPr>
                <w:rFonts w:hint="eastAsia" w:ascii="Times New Roman" w:hAnsi="Times New Roman" w:cs="Times New Roman"/>
                <w:b/>
                <w:szCs w:val="21"/>
              </w:rPr>
              <w:t>参与单位名称</w:t>
            </w:r>
          </w:p>
        </w:tc>
        <w:tc>
          <w:tcPr>
            <w:tcW w:w="7234" w:type="dxa"/>
            <w:vAlign w:val="center"/>
          </w:tcPr>
          <w:p w14:paraId="2348C67F">
            <w:pPr>
              <w:spacing w:line="360" w:lineRule="auto"/>
              <w:rPr>
                <w:rFonts w:hint="eastAsia" w:ascii="Times New Roman" w:hAnsi="Times New Roman" w:cs="Times New Roman" w:eastAsiaTheme="minorEastAsia"/>
                <w:szCs w:val="21"/>
                <w:lang w:eastAsia="zh-CN"/>
              </w:rPr>
            </w:pPr>
            <w:r>
              <w:rPr>
                <w:rFonts w:ascii="Times New Roman" w:hAnsi="Times New Roman" w:cs="Times New Roman"/>
                <w:szCs w:val="21"/>
              </w:rPr>
              <w:t>博时基金，东吴基金，工银瑞信基金，国泰基金，华宝基金，华夏基金，嘉实基金，建信基金，诺安基金，农银汇理基金，太平基金，万家基金，兴证全球基金，易方达基金，永赢基金，中庚基金，中信保诚基金，睿远基金</w:t>
            </w:r>
            <w:r>
              <w:rPr>
                <w:rFonts w:hint="eastAsia" w:ascii="Times New Roman" w:hAnsi="Times New Roman" w:cs="Times New Roman"/>
                <w:szCs w:val="21"/>
              </w:rPr>
              <w:t>，交银施罗德资管(香港)，</w:t>
            </w:r>
            <w:r>
              <w:rPr>
                <w:rFonts w:ascii="Times New Roman" w:hAnsi="Times New Roman" w:cs="Times New Roman"/>
                <w:szCs w:val="21"/>
              </w:rPr>
              <w:t>百年保险资管，华泰资管，平安养老保险，平安资管，太保资管，中国人保资管</w:t>
            </w:r>
            <w:r>
              <w:rPr>
                <w:rFonts w:hint="eastAsia" w:ascii="Times New Roman" w:hAnsi="Times New Roman" w:cs="Times New Roman"/>
                <w:szCs w:val="21"/>
              </w:rPr>
              <w:t>，</w:t>
            </w:r>
            <w:r>
              <w:rPr>
                <w:rFonts w:ascii="Times New Roman" w:hAnsi="Times New Roman" w:cs="Times New Roman"/>
                <w:szCs w:val="21"/>
              </w:rPr>
              <w:t>国盛证券，光大证券</w:t>
            </w:r>
            <w:r>
              <w:rPr>
                <w:rFonts w:hint="eastAsia" w:ascii="Times New Roman" w:hAnsi="Times New Roman" w:cs="Times New Roman"/>
                <w:szCs w:val="21"/>
              </w:rPr>
              <w:t>，</w:t>
            </w:r>
            <w:r>
              <w:rPr>
                <w:rFonts w:ascii="Times New Roman" w:hAnsi="Times New Roman" w:cs="Times New Roman"/>
                <w:szCs w:val="21"/>
              </w:rPr>
              <w:t>海通证券，华泰证券，民生证券，信达证券，中信建投证券</w:t>
            </w:r>
            <w:r>
              <w:rPr>
                <w:rFonts w:hint="eastAsia" w:ascii="Times New Roman" w:hAnsi="Times New Roman" w:cs="Times New Roman"/>
                <w:szCs w:val="21"/>
              </w:rPr>
              <w:t>，重阳投资，和谐汇一资管，亘曦私募基金，健顺投资，碧云银霞投资等五十余家机构</w:t>
            </w:r>
            <w:r>
              <w:rPr>
                <w:rFonts w:hint="eastAsia" w:ascii="Times New Roman" w:hAnsi="Times New Roman" w:cs="Times New Roman"/>
                <w:szCs w:val="21"/>
                <w:lang w:eastAsia="zh-CN"/>
              </w:rPr>
              <w:t>。</w:t>
            </w:r>
            <w:bookmarkStart w:id="0" w:name="_GoBack"/>
            <w:bookmarkEnd w:id="0"/>
          </w:p>
        </w:tc>
      </w:tr>
      <w:tr w14:paraId="3172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1A628C">
            <w:pPr>
              <w:adjustRightInd w:val="0"/>
              <w:snapToGrid w:val="0"/>
              <w:jc w:val="center"/>
              <w:rPr>
                <w:rFonts w:ascii="Times New Roman" w:hAnsi="Times New Roman" w:cs="Times New Roman"/>
                <w:b/>
                <w:szCs w:val="21"/>
              </w:rPr>
            </w:pPr>
            <w:r>
              <w:rPr>
                <w:rFonts w:hint="eastAsia" w:ascii="Times New Roman" w:hAnsi="Times New Roman" w:cs="Times New Roman"/>
                <w:b/>
                <w:szCs w:val="21"/>
              </w:rPr>
              <w:t>公司接待人员</w:t>
            </w:r>
          </w:p>
        </w:tc>
        <w:tc>
          <w:tcPr>
            <w:tcW w:w="7234" w:type="dxa"/>
            <w:vAlign w:val="center"/>
          </w:tcPr>
          <w:p w14:paraId="4D437F2F">
            <w:pPr>
              <w:spacing w:line="360" w:lineRule="auto"/>
              <w:rPr>
                <w:rFonts w:ascii="Times New Roman" w:hAnsi="Times New Roman" w:cs="Times New Roman"/>
                <w:szCs w:val="21"/>
              </w:rPr>
            </w:pPr>
            <w:r>
              <w:rPr>
                <w:rFonts w:hint="eastAsia" w:ascii="Times New Roman" w:hAnsi="Times New Roman" w:cs="Times New Roman"/>
                <w:szCs w:val="21"/>
              </w:rPr>
              <w:t>董事长虞仁荣、董事会秘书任冰</w:t>
            </w:r>
          </w:p>
        </w:tc>
      </w:tr>
      <w:tr w14:paraId="0004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909E5D">
            <w:pPr>
              <w:adjustRightInd w:val="0"/>
              <w:snapToGrid w:val="0"/>
              <w:jc w:val="center"/>
              <w:rPr>
                <w:rFonts w:ascii="Times New Roman" w:hAnsi="Times New Roman" w:cs="Times New Roman"/>
                <w:b/>
                <w:szCs w:val="21"/>
              </w:rPr>
            </w:pPr>
            <w:r>
              <w:rPr>
                <w:rFonts w:hint="eastAsia" w:ascii="Times New Roman" w:hAnsi="Times New Roman" w:cs="Times New Roman"/>
                <w:b/>
                <w:szCs w:val="21"/>
              </w:rPr>
              <w:t>时间</w:t>
            </w:r>
          </w:p>
        </w:tc>
        <w:tc>
          <w:tcPr>
            <w:tcW w:w="7234" w:type="dxa"/>
            <w:vAlign w:val="center"/>
          </w:tcPr>
          <w:p w14:paraId="7E1829B4">
            <w:pPr>
              <w:spacing w:line="360" w:lineRule="auto"/>
              <w:rPr>
                <w:rFonts w:ascii="Times New Roman" w:hAnsi="Times New Roman" w:cs="Times New Roman"/>
                <w:szCs w:val="21"/>
              </w:rPr>
            </w:pPr>
            <w:r>
              <w:rPr>
                <w:rFonts w:ascii="Times New Roman" w:hAnsi="Times New Roman" w:cs="Times New Roman"/>
                <w:szCs w:val="21"/>
              </w:rPr>
              <w:t>202</w:t>
            </w:r>
            <w:r>
              <w:rPr>
                <w:rFonts w:hint="eastAsia" w:ascii="Times New Roman" w:hAnsi="Times New Roman" w:cs="Times New Roman"/>
                <w:szCs w:val="21"/>
              </w:rPr>
              <w:t>4年12月27日 15:30-17:00</w:t>
            </w:r>
          </w:p>
        </w:tc>
      </w:tr>
      <w:tr w14:paraId="73E0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2A06436">
            <w:pPr>
              <w:adjustRightInd w:val="0"/>
              <w:snapToGrid w:val="0"/>
              <w:jc w:val="center"/>
              <w:rPr>
                <w:rFonts w:ascii="Times New Roman" w:hAnsi="Times New Roman" w:cs="Times New Roman"/>
                <w:b/>
                <w:szCs w:val="21"/>
              </w:rPr>
            </w:pPr>
            <w:r>
              <w:rPr>
                <w:rFonts w:hint="eastAsia" w:ascii="Times New Roman" w:hAnsi="Times New Roman" w:cs="Times New Roman"/>
                <w:b/>
                <w:szCs w:val="21"/>
              </w:rPr>
              <w:t>地点</w:t>
            </w:r>
          </w:p>
        </w:tc>
        <w:tc>
          <w:tcPr>
            <w:tcW w:w="7234" w:type="dxa"/>
            <w:vAlign w:val="center"/>
          </w:tcPr>
          <w:p w14:paraId="6E314994">
            <w:pPr>
              <w:spacing w:line="360" w:lineRule="auto"/>
              <w:rPr>
                <w:rFonts w:ascii="Times New Roman" w:hAnsi="Times New Roman" w:cs="Times New Roman"/>
                <w:szCs w:val="21"/>
              </w:rPr>
            </w:pPr>
            <w:r>
              <w:rPr>
                <w:rFonts w:hint="eastAsia" w:ascii="Times New Roman" w:hAnsi="Times New Roman" w:cs="Times New Roman"/>
                <w:szCs w:val="21"/>
              </w:rPr>
              <w:t>上海市浦东新区上科路88号豪威科技园</w:t>
            </w:r>
          </w:p>
        </w:tc>
      </w:tr>
      <w:tr w14:paraId="755C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1555" w:type="dxa"/>
            <w:vAlign w:val="center"/>
          </w:tcPr>
          <w:p w14:paraId="094AFEF4">
            <w:pPr>
              <w:spacing w:line="360" w:lineRule="auto"/>
              <w:rPr>
                <w:rFonts w:hint="eastAsia" w:cs="楷体" w:asciiTheme="minorEastAsia" w:hAnsiTheme="minorEastAsia"/>
                <w:szCs w:val="21"/>
              </w:rPr>
            </w:pPr>
            <w:r>
              <w:rPr>
                <w:rFonts w:hint="eastAsia" w:cs="楷体" w:asciiTheme="minorEastAsia" w:hAnsiTheme="minorEastAsia"/>
                <w:szCs w:val="21"/>
              </w:rPr>
              <w:t>交流内容</w:t>
            </w:r>
          </w:p>
        </w:tc>
        <w:tc>
          <w:tcPr>
            <w:tcW w:w="7234" w:type="dxa"/>
          </w:tcPr>
          <w:p w14:paraId="67644893">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问题一：请问公司手机业务的增长原因和未来产品规划？</w:t>
            </w:r>
          </w:p>
          <w:p w14:paraId="2A94932A">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答：公司推出了不同像素尺寸的高阶像素产品，如OV50H和OV50E等，这些产品具有低噪声，高动态范围支持等功能，能够满足智能手机制造商对专业级影像效果的需求。同时，受益于下游库存去化的顺利推进以及公司产品结构的主动调整，公司来源于手机市场的产品收入呈现出明显改善的趋势。</w:t>
            </w:r>
          </w:p>
          <w:p w14:paraId="20DE7519">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目前，在智能手机市场，公司5000万像素的系列产品已经被广泛应用于国内主流高端智能手机后置主摄传感器方案中，正逐步替代海外竞争对手的同类产品，实现了公司在高端智能手机领域市场份额的重大突破，将持续为公司产品价值量及盈利能力稳步提升提供动能。</w:t>
            </w:r>
          </w:p>
          <w:p w14:paraId="5D5068ED">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公司也计划推出多款高端产品，包括更高像素、带LOFIC不同规格、具有 HDR及低功耗特性的长焦产品等一系列新产品，以此丰富产品线并提升市场占有率。同时，公司对于后续计划推出的系列新产品在手机安卓客户端的导入充满信心。</w:t>
            </w:r>
          </w:p>
          <w:p w14:paraId="74EA8A6F">
            <w:pPr>
              <w:spacing w:line="360" w:lineRule="auto"/>
              <w:ind w:firstLine="420" w:firstLineChars="200"/>
              <w:rPr>
                <w:rFonts w:hint="eastAsia" w:ascii="Times New Roman" w:hAnsi="Times New Roman" w:cs="Times New Roman"/>
                <w:szCs w:val="21"/>
              </w:rPr>
            </w:pPr>
          </w:p>
          <w:p w14:paraId="3E7CDD4E">
            <w:pPr>
              <w:adjustRightInd w:val="0"/>
              <w:snapToGrid w:val="0"/>
              <w:spacing w:before="156" w:beforeLines="50"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问题二：汽车智能驾驶需求对公司有什么影响？</w:t>
            </w:r>
          </w:p>
          <w:p w14:paraId="23A14872">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答：由于客户在高端智能驾驶摄像头的配置上向中低价车型下探，释放了大量需求，市场对于摄像头的装配数量以及高阶像素摄像头的需求增长迅速，公司联合供应商积极备货，以保障产能供给。</w:t>
            </w:r>
          </w:p>
          <w:p w14:paraId="070B227B">
            <w:pPr>
              <w:spacing w:line="360" w:lineRule="auto"/>
              <w:ind w:firstLine="420" w:firstLineChars="200"/>
              <w:rPr>
                <w:rFonts w:hint="eastAsia" w:ascii="Times New Roman" w:hAnsi="Times New Roman" w:cs="Times New Roman"/>
                <w:szCs w:val="21"/>
              </w:rPr>
            </w:pPr>
          </w:p>
          <w:p w14:paraId="380D5340">
            <w:pPr>
              <w:spacing w:line="360" w:lineRule="auto"/>
              <w:ind w:left="420" w:leftChars="200"/>
              <w:rPr>
                <w:rFonts w:hint="eastAsia" w:ascii="Times New Roman" w:hAnsi="Times New Roman" w:cs="Times New Roman"/>
                <w:szCs w:val="21"/>
              </w:rPr>
            </w:pPr>
            <w:r>
              <w:rPr>
                <w:rFonts w:hint="eastAsia" w:ascii="Times New Roman" w:hAnsi="Times New Roman" w:cs="Times New Roman"/>
                <w:szCs w:val="21"/>
              </w:rPr>
              <w:t>问题三：公司在汽车电子业务的增长动力是什么？增速如何？</w:t>
            </w:r>
          </w:p>
          <w:p w14:paraId="7068CC14">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答：汽车业务是公司在图像传感器应用中增长最快的市场之一，增长趋势预计将在可预见的未来持续。不断扩大的技术应用和全球各地的法律规定也将推动更高的汽车图像传感器的装配率。全球范围内，随着ADAS系统的普及和舱内摄像头的快速增长，车载摄像头的出货量将持续上升。公司将不断丰富车规级产品矩阵，在国内继续保持份额优势的同时，也加快国外市场的拓展速度，进而为公司年度业绩的持续成长、市场份额的持续提升提供新的动力。</w:t>
            </w:r>
          </w:p>
          <w:p w14:paraId="316E6C44">
            <w:pPr>
              <w:spacing w:line="360" w:lineRule="auto"/>
              <w:ind w:firstLine="420" w:firstLineChars="200"/>
              <w:rPr>
                <w:rFonts w:hint="eastAsia" w:ascii="Times New Roman" w:hAnsi="Times New Roman" w:cs="Times New Roman"/>
                <w:szCs w:val="21"/>
              </w:rPr>
            </w:pPr>
          </w:p>
          <w:p w14:paraId="5FF94073">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问题四：AR眼镜方面，如何看待这块需求对公司的影响？</w:t>
            </w:r>
          </w:p>
          <w:p w14:paraId="7A811CD1">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答：公司已在AR眼镜上布局很多相关产品，在图像传感器产品上，公司在功耗、HDR、低噪声等性能方面都处于领先地位，能为客户提供先进的图像传感器解决方案，此外，公司开发的LCOS产品凭借其高解析度、外形紧凑、低功耗和低成本的特点，将为AR/VR等新兴市场在经济适配性及方案可行性方面提供更多助力，从单机价值量来看，带显示的眼镜方案价值量更高。</w:t>
            </w:r>
          </w:p>
          <w:p w14:paraId="47AD3131">
            <w:pPr>
              <w:spacing w:line="360" w:lineRule="auto"/>
              <w:ind w:firstLine="420" w:firstLineChars="200"/>
              <w:rPr>
                <w:rFonts w:hint="eastAsia" w:ascii="Times New Roman" w:hAnsi="Times New Roman" w:cs="Times New Roman"/>
                <w:szCs w:val="21"/>
              </w:rPr>
            </w:pPr>
          </w:p>
          <w:p w14:paraId="5E3DB311">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问题五：公司如何看待友商的竞争？</w:t>
            </w:r>
          </w:p>
          <w:p w14:paraId="45A2E724">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答：公司是全球前三大CMOS图像传感器供应商之一，同下游客户缔结了长期稳定的合作关系，在诸多细分应用市场有着全球领先的市场份额。</w:t>
            </w:r>
          </w:p>
          <w:p w14:paraId="158A2F3D">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首先，公司始终将研发能力视为核心竞争力，经过多年的自主研发和技术演进，公司在CMOS图像传感器的电路设计、封装、数字图像处理等方面积累了较为显著的技术优势。截至目前公司已拥有全球专利4800余项，形成公司在相关产品线的知识产权保护壁垒，这些都为公司核心竞争力的提升打下了坚实的基础。</w:t>
            </w:r>
          </w:p>
          <w:p w14:paraId="714304DC">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在供应链方面，公司采用Fabless业务模式的半导体设计业务。公司将根据下游客户需求，根据充分技术能力、产能规模、成本竞争力、地理位置等多方面的因素，从全球范围选取最适配的供应链体系，为客户提供更高性价比的高质量图像解决方案。公司采用的Fabless模式使企业更加高效、灵活，也使得公司在面对市场热点转换迅速、产品生命周期较短、技术更新迭代速率较快的行业特点上，</w:t>
            </w:r>
            <w:r>
              <w:rPr>
                <w:rFonts w:hint="eastAsia" w:ascii="Times New Roman" w:hAnsi="Times New Roman" w:cs="Times New Roman"/>
                <w:szCs w:val="21"/>
                <w:lang w:val="en-US" w:eastAsia="zh-CN"/>
              </w:rPr>
              <w:t>具有</w:t>
            </w:r>
            <w:r>
              <w:rPr>
                <w:rFonts w:hint="eastAsia" w:ascii="Times New Roman" w:hAnsi="Times New Roman" w:cs="Times New Roman"/>
                <w:szCs w:val="21"/>
              </w:rPr>
              <w:t>一定的竞争优势。</w:t>
            </w:r>
          </w:p>
          <w:p w14:paraId="331E53A0">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在产品线层面，公司CMOS图像传感器种类和应用范围具有较为显著的优势，除智能手机、平板电脑、车载等主要市场外，公司CMOS图像传感器在医疗、安防监控、AR/VR等领域均具有齐全的产品线，市场占有率较高。公司各产品线在消费类电子领域、安防、车载市场领域均可实现应用，依托公司在相关应用市场的客户粘性及各产品间的同步推广，公司未来给终端客户产品贡献的价值量将得到进一步提升。</w:t>
            </w:r>
          </w:p>
          <w:p w14:paraId="2C105894">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伴随公司在图像传感器业务上的长期经营，和在产品高端化、智能化领域的持续突破，公司份额得到稳步提升，公司在国内和海外市场的营收都在稳步增长中，面对市场竞争，公司有信心和定力取得更长远的高质量发展。</w:t>
            </w:r>
          </w:p>
          <w:p w14:paraId="26E648DA">
            <w:pPr>
              <w:spacing w:line="360" w:lineRule="auto"/>
              <w:ind w:firstLine="420" w:firstLineChars="200"/>
              <w:rPr>
                <w:rFonts w:hint="eastAsia" w:ascii="Times New Roman" w:hAnsi="Times New Roman" w:cs="Times New Roman"/>
                <w:szCs w:val="21"/>
              </w:rPr>
            </w:pPr>
          </w:p>
          <w:p w14:paraId="02273C39">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问题六：请问公司毛利率回升的原因，以及未来会达到什么水平？</w:t>
            </w:r>
          </w:p>
          <w:p w14:paraId="7EEDAABC">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答：一方面，自去年二季度以来，伴随着库存去化的成功推进，毛利水平的增长逐渐体现在财务报表上，另一方面，公司积极推进产品结构优化及供应链结构优化，促进产品毛利率逐步恢复，平均毛利率水平环比得到明显改善，目前已实现多个季度持续增长。公司将持续深挖市场空间，在更多细分市场持续做重点突破，提升公司在半导体领域的业务规模和竞争力水平，进一步提升整体盈利能力，同时坚持降本增效，持续推进产品结构及供应链结构优化，保持相对稳定的毛利率水平。</w:t>
            </w:r>
          </w:p>
          <w:p w14:paraId="69D2938B">
            <w:pPr>
              <w:spacing w:line="360" w:lineRule="auto"/>
              <w:ind w:firstLine="420" w:firstLineChars="200"/>
              <w:rPr>
                <w:rFonts w:hint="eastAsia" w:ascii="Times New Roman" w:hAnsi="Times New Roman" w:cs="Times New Roman"/>
                <w:szCs w:val="21"/>
              </w:rPr>
            </w:pPr>
          </w:p>
          <w:p w14:paraId="595AEC04">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问题七：关于研发投入，请问公司如何看待以及未来展望？</w:t>
            </w:r>
          </w:p>
          <w:p w14:paraId="150ED70D">
            <w:pPr>
              <w:spacing w:line="360" w:lineRule="auto"/>
              <w:ind w:firstLine="420" w:firstLineChars="200"/>
              <w:rPr>
                <w:rFonts w:hint="eastAsia" w:cs="楷体" w:asciiTheme="minorEastAsia" w:hAnsiTheme="minorEastAsia"/>
                <w:szCs w:val="21"/>
              </w:rPr>
            </w:pPr>
            <w:r>
              <w:rPr>
                <w:rFonts w:hint="eastAsia" w:ascii="Times New Roman" w:hAnsi="Times New Roman" w:cs="Times New Roman"/>
                <w:szCs w:val="21"/>
              </w:rPr>
              <w:t>答：作为高新技术企业，公司持续稳定的加大在各产品领域的研发投入，为产品升级及新产品的研发提供充分的保障。公司未来也会继续加大研发投入，持续增强研发团队，重视技术保护和人才培养，不断创新研发机制，增强公司在产业中的核心竞争力。</w:t>
            </w:r>
          </w:p>
        </w:tc>
      </w:tr>
    </w:tbl>
    <w:p w14:paraId="0BFB67C4">
      <w:pPr>
        <w:spacing w:line="360" w:lineRule="auto"/>
        <w:rPr>
          <w:rFonts w:hint="eastAsia" w:cs="楷体" w:asciiTheme="minorEastAsia" w:hAnsiTheme="minorEastAsia"/>
          <w:sz w:val="16"/>
          <w:szCs w:val="16"/>
        </w:rPr>
      </w:pPr>
    </w:p>
    <w:sectPr>
      <w:headerReference r:id="rId3"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3336">
    <w:pPr>
      <w:pStyle w:val="7"/>
      <w:rPr>
        <w:rFonts w:ascii="Times New Roman" w:hAnsi="Times New Roman" w:cs="Times New Roman"/>
      </w:rPr>
    </w:pPr>
    <w:r>
      <w:rPr>
        <w:rFonts w:hint="eastAsia" w:ascii="Times New Roman" w:hAnsi="Times New Roman" w:cs="Times New Roman"/>
      </w:rPr>
      <w:t>证券代码：</w:t>
    </w:r>
    <w:r>
      <w:rPr>
        <w:rFonts w:ascii="Times New Roman" w:hAnsi="Times New Roman" w:cs="Times New Roman"/>
      </w:rPr>
      <w:t xml:space="preserve">603501                                                         </w:t>
    </w:r>
    <w:r>
      <w:rPr>
        <w:rFonts w:hint="eastAsia" w:ascii="Times New Roman" w:hAnsi="Times New Roman" w:cs="Times New Roman"/>
      </w:rPr>
      <w:t>证券简称：韦尔股份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E7"/>
    <w:rsid w:val="000046A7"/>
    <w:rsid w:val="000058E7"/>
    <w:rsid w:val="000075EB"/>
    <w:rsid w:val="000105A0"/>
    <w:rsid w:val="00011174"/>
    <w:rsid w:val="00021D6B"/>
    <w:rsid w:val="0002480B"/>
    <w:rsid w:val="00035562"/>
    <w:rsid w:val="00035BB5"/>
    <w:rsid w:val="00045143"/>
    <w:rsid w:val="0004542B"/>
    <w:rsid w:val="00060126"/>
    <w:rsid w:val="000613FB"/>
    <w:rsid w:val="000642C8"/>
    <w:rsid w:val="00071E86"/>
    <w:rsid w:val="00073241"/>
    <w:rsid w:val="00076E57"/>
    <w:rsid w:val="000921CC"/>
    <w:rsid w:val="00096653"/>
    <w:rsid w:val="000A0418"/>
    <w:rsid w:val="000A432F"/>
    <w:rsid w:val="000B239C"/>
    <w:rsid w:val="000B2A58"/>
    <w:rsid w:val="000B3384"/>
    <w:rsid w:val="000B5709"/>
    <w:rsid w:val="000C1B9F"/>
    <w:rsid w:val="000D2C22"/>
    <w:rsid w:val="000D3CE5"/>
    <w:rsid w:val="000E0B9E"/>
    <w:rsid w:val="000E12A7"/>
    <w:rsid w:val="000E4FCA"/>
    <w:rsid w:val="00101497"/>
    <w:rsid w:val="0010590F"/>
    <w:rsid w:val="00107B16"/>
    <w:rsid w:val="00117D22"/>
    <w:rsid w:val="001254AE"/>
    <w:rsid w:val="00131409"/>
    <w:rsid w:val="001379FE"/>
    <w:rsid w:val="001501CE"/>
    <w:rsid w:val="00153473"/>
    <w:rsid w:val="00153502"/>
    <w:rsid w:val="00155E22"/>
    <w:rsid w:val="00156F3E"/>
    <w:rsid w:val="001623E4"/>
    <w:rsid w:val="00163FC9"/>
    <w:rsid w:val="0017647A"/>
    <w:rsid w:val="00184D8F"/>
    <w:rsid w:val="00187131"/>
    <w:rsid w:val="00190D3F"/>
    <w:rsid w:val="00195055"/>
    <w:rsid w:val="001A1C2E"/>
    <w:rsid w:val="001A3BB3"/>
    <w:rsid w:val="001A5054"/>
    <w:rsid w:val="001B22DB"/>
    <w:rsid w:val="001B2B9D"/>
    <w:rsid w:val="001B7932"/>
    <w:rsid w:val="001D0FC1"/>
    <w:rsid w:val="001D10CD"/>
    <w:rsid w:val="001D33E1"/>
    <w:rsid w:val="001D3F56"/>
    <w:rsid w:val="001F0DA3"/>
    <w:rsid w:val="001F1CB4"/>
    <w:rsid w:val="001F2671"/>
    <w:rsid w:val="001F26F1"/>
    <w:rsid w:val="001F325B"/>
    <w:rsid w:val="001F58AB"/>
    <w:rsid w:val="001F79D7"/>
    <w:rsid w:val="0021236C"/>
    <w:rsid w:val="00216C22"/>
    <w:rsid w:val="00216E74"/>
    <w:rsid w:val="002173E8"/>
    <w:rsid w:val="00223434"/>
    <w:rsid w:val="002266F7"/>
    <w:rsid w:val="002274C8"/>
    <w:rsid w:val="00244246"/>
    <w:rsid w:val="00254E0F"/>
    <w:rsid w:val="002570AA"/>
    <w:rsid w:val="0027492E"/>
    <w:rsid w:val="00286720"/>
    <w:rsid w:val="00297D27"/>
    <w:rsid w:val="002A1560"/>
    <w:rsid w:val="002A7F71"/>
    <w:rsid w:val="002B24F1"/>
    <w:rsid w:val="002C0BF1"/>
    <w:rsid w:val="002D3D04"/>
    <w:rsid w:val="002E5479"/>
    <w:rsid w:val="002E613F"/>
    <w:rsid w:val="002F2538"/>
    <w:rsid w:val="002F79BE"/>
    <w:rsid w:val="00300357"/>
    <w:rsid w:val="0031031F"/>
    <w:rsid w:val="003133E4"/>
    <w:rsid w:val="0032205B"/>
    <w:rsid w:val="00323323"/>
    <w:rsid w:val="0032409E"/>
    <w:rsid w:val="00326117"/>
    <w:rsid w:val="0033250B"/>
    <w:rsid w:val="00332AFC"/>
    <w:rsid w:val="00333C5E"/>
    <w:rsid w:val="00335580"/>
    <w:rsid w:val="00337E1A"/>
    <w:rsid w:val="003446E7"/>
    <w:rsid w:val="0035284D"/>
    <w:rsid w:val="00361E35"/>
    <w:rsid w:val="00362065"/>
    <w:rsid w:val="003642FE"/>
    <w:rsid w:val="003701CB"/>
    <w:rsid w:val="003702E6"/>
    <w:rsid w:val="00384C4C"/>
    <w:rsid w:val="0038792A"/>
    <w:rsid w:val="00392BFD"/>
    <w:rsid w:val="003A20B0"/>
    <w:rsid w:val="003A23B1"/>
    <w:rsid w:val="003A3959"/>
    <w:rsid w:val="003B123C"/>
    <w:rsid w:val="003C072A"/>
    <w:rsid w:val="003C42E9"/>
    <w:rsid w:val="003E0E01"/>
    <w:rsid w:val="003E11D2"/>
    <w:rsid w:val="003E5387"/>
    <w:rsid w:val="00401FBD"/>
    <w:rsid w:val="00406636"/>
    <w:rsid w:val="004079C6"/>
    <w:rsid w:val="00407ED6"/>
    <w:rsid w:val="00414949"/>
    <w:rsid w:val="00415E02"/>
    <w:rsid w:val="00420E28"/>
    <w:rsid w:val="0042191E"/>
    <w:rsid w:val="004241F3"/>
    <w:rsid w:val="004435C4"/>
    <w:rsid w:val="00445596"/>
    <w:rsid w:val="0046210C"/>
    <w:rsid w:val="00465ED1"/>
    <w:rsid w:val="00471D90"/>
    <w:rsid w:val="00474279"/>
    <w:rsid w:val="00481A4D"/>
    <w:rsid w:val="00487D25"/>
    <w:rsid w:val="00493E1F"/>
    <w:rsid w:val="0049519B"/>
    <w:rsid w:val="004966CE"/>
    <w:rsid w:val="004A1D5D"/>
    <w:rsid w:val="004A39D9"/>
    <w:rsid w:val="004A5D68"/>
    <w:rsid w:val="004B22AF"/>
    <w:rsid w:val="004B64CD"/>
    <w:rsid w:val="004B6FBB"/>
    <w:rsid w:val="004C34FF"/>
    <w:rsid w:val="004D0852"/>
    <w:rsid w:val="004D3C17"/>
    <w:rsid w:val="004D574C"/>
    <w:rsid w:val="004E0A9F"/>
    <w:rsid w:val="004E2779"/>
    <w:rsid w:val="004E4151"/>
    <w:rsid w:val="004E79AF"/>
    <w:rsid w:val="004F2774"/>
    <w:rsid w:val="00504A01"/>
    <w:rsid w:val="00505E07"/>
    <w:rsid w:val="00506EBD"/>
    <w:rsid w:val="0050761C"/>
    <w:rsid w:val="00523D0D"/>
    <w:rsid w:val="0052769E"/>
    <w:rsid w:val="005335B1"/>
    <w:rsid w:val="00534CC0"/>
    <w:rsid w:val="0053714D"/>
    <w:rsid w:val="00564753"/>
    <w:rsid w:val="005717AB"/>
    <w:rsid w:val="005753B1"/>
    <w:rsid w:val="005801F8"/>
    <w:rsid w:val="00582DEA"/>
    <w:rsid w:val="005877B3"/>
    <w:rsid w:val="00592F32"/>
    <w:rsid w:val="00594F75"/>
    <w:rsid w:val="00597FB6"/>
    <w:rsid w:val="005A0E51"/>
    <w:rsid w:val="005A6E20"/>
    <w:rsid w:val="005B147D"/>
    <w:rsid w:val="005C10E9"/>
    <w:rsid w:val="005C233C"/>
    <w:rsid w:val="005C3C64"/>
    <w:rsid w:val="005F2E36"/>
    <w:rsid w:val="005F36EA"/>
    <w:rsid w:val="005F44A7"/>
    <w:rsid w:val="005F5EB1"/>
    <w:rsid w:val="005F72B1"/>
    <w:rsid w:val="00602184"/>
    <w:rsid w:val="00602C90"/>
    <w:rsid w:val="00611924"/>
    <w:rsid w:val="00614D2B"/>
    <w:rsid w:val="006233FA"/>
    <w:rsid w:val="006241D6"/>
    <w:rsid w:val="006248AF"/>
    <w:rsid w:val="00630133"/>
    <w:rsid w:val="006316E5"/>
    <w:rsid w:val="00633ED6"/>
    <w:rsid w:val="0064059C"/>
    <w:rsid w:val="00640D80"/>
    <w:rsid w:val="00642E3A"/>
    <w:rsid w:val="00653254"/>
    <w:rsid w:val="0065434F"/>
    <w:rsid w:val="0065581B"/>
    <w:rsid w:val="00657BDE"/>
    <w:rsid w:val="0066031B"/>
    <w:rsid w:val="0066522E"/>
    <w:rsid w:val="00666DD9"/>
    <w:rsid w:val="00672673"/>
    <w:rsid w:val="0067327F"/>
    <w:rsid w:val="00681CB4"/>
    <w:rsid w:val="00692072"/>
    <w:rsid w:val="00693942"/>
    <w:rsid w:val="006947D3"/>
    <w:rsid w:val="00695DB5"/>
    <w:rsid w:val="006970D8"/>
    <w:rsid w:val="006A0444"/>
    <w:rsid w:val="006B26C6"/>
    <w:rsid w:val="006C1895"/>
    <w:rsid w:val="006C4581"/>
    <w:rsid w:val="006C4E62"/>
    <w:rsid w:val="006C555F"/>
    <w:rsid w:val="006D13E4"/>
    <w:rsid w:val="006E18B0"/>
    <w:rsid w:val="00703A03"/>
    <w:rsid w:val="007175ED"/>
    <w:rsid w:val="0071780A"/>
    <w:rsid w:val="007235DF"/>
    <w:rsid w:val="00723FE0"/>
    <w:rsid w:val="00727D77"/>
    <w:rsid w:val="007305AC"/>
    <w:rsid w:val="00735372"/>
    <w:rsid w:val="00746E08"/>
    <w:rsid w:val="00752C95"/>
    <w:rsid w:val="00776A81"/>
    <w:rsid w:val="007831AF"/>
    <w:rsid w:val="00786D31"/>
    <w:rsid w:val="0078785A"/>
    <w:rsid w:val="00791C8D"/>
    <w:rsid w:val="007A6755"/>
    <w:rsid w:val="007B30CB"/>
    <w:rsid w:val="007B6389"/>
    <w:rsid w:val="007C1064"/>
    <w:rsid w:val="007C1561"/>
    <w:rsid w:val="007C6DD4"/>
    <w:rsid w:val="007C7E0E"/>
    <w:rsid w:val="007D2053"/>
    <w:rsid w:val="007D409B"/>
    <w:rsid w:val="007D7F33"/>
    <w:rsid w:val="007E3C2A"/>
    <w:rsid w:val="007E7184"/>
    <w:rsid w:val="007E73BE"/>
    <w:rsid w:val="007F2653"/>
    <w:rsid w:val="0080343B"/>
    <w:rsid w:val="00803803"/>
    <w:rsid w:val="00813637"/>
    <w:rsid w:val="0081510E"/>
    <w:rsid w:val="008223D6"/>
    <w:rsid w:val="00823DDE"/>
    <w:rsid w:val="0082650E"/>
    <w:rsid w:val="008272A4"/>
    <w:rsid w:val="00831AF2"/>
    <w:rsid w:val="00840597"/>
    <w:rsid w:val="00846D9F"/>
    <w:rsid w:val="008617B4"/>
    <w:rsid w:val="00867B2D"/>
    <w:rsid w:val="00871A65"/>
    <w:rsid w:val="00871F03"/>
    <w:rsid w:val="0087492E"/>
    <w:rsid w:val="00875294"/>
    <w:rsid w:val="008766C2"/>
    <w:rsid w:val="008817D6"/>
    <w:rsid w:val="00883532"/>
    <w:rsid w:val="008942F2"/>
    <w:rsid w:val="00896FEF"/>
    <w:rsid w:val="0089746C"/>
    <w:rsid w:val="008977AC"/>
    <w:rsid w:val="008B6681"/>
    <w:rsid w:val="008D0313"/>
    <w:rsid w:val="008D1B7D"/>
    <w:rsid w:val="008D7281"/>
    <w:rsid w:val="008E29F6"/>
    <w:rsid w:val="008E3E94"/>
    <w:rsid w:val="008E76B0"/>
    <w:rsid w:val="008E7B7C"/>
    <w:rsid w:val="008F44C2"/>
    <w:rsid w:val="00900074"/>
    <w:rsid w:val="009013C6"/>
    <w:rsid w:val="00904D7E"/>
    <w:rsid w:val="009116B1"/>
    <w:rsid w:val="00923FE1"/>
    <w:rsid w:val="009266FC"/>
    <w:rsid w:val="00945192"/>
    <w:rsid w:val="0094557A"/>
    <w:rsid w:val="00950263"/>
    <w:rsid w:val="00962378"/>
    <w:rsid w:val="00964FCC"/>
    <w:rsid w:val="00976313"/>
    <w:rsid w:val="0097725B"/>
    <w:rsid w:val="00980B07"/>
    <w:rsid w:val="009829A0"/>
    <w:rsid w:val="00982E64"/>
    <w:rsid w:val="009866B5"/>
    <w:rsid w:val="009A13CE"/>
    <w:rsid w:val="009A7CCB"/>
    <w:rsid w:val="009B0675"/>
    <w:rsid w:val="009B0AE2"/>
    <w:rsid w:val="009B0CF1"/>
    <w:rsid w:val="009B1BB5"/>
    <w:rsid w:val="009B618B"/>
    <w:rsid w:val="009D1239"/>
    <w:rsid w:val="009D4FF0"/>
    <w:rsid w:val="009D574A"/>
    <w:rsid w:val="009D7CCD"/>
    <w:rsid w:val="009E269B"/>
    <w:rsid w:val="009E2D1F"/>
    <w:rsid w:val="009F3A87"/>
    <w:rsid w:val="00A00256"/>
    <w:rsid w:val="00A02B90"/>
    <w:rsid w:val="00A065C5"/>
    <w:rsid w:val="00A07E1B"/>
    <w:rsid w:val="00A1055F"/>
    <w:rsid w:val="00A16C23"/>
    <w:rsid w:val="00A20869"/>
    <w:rsid w:val="00A23D0E"/>
    <w:rsid w:val="00A258E0"/>
    <w:rsid w:val="00A263B4"/>
    <w:rsid w:val="00A35509"/>
    <w:rsid w:val="00A41C8A"/>
    <w:rsid w:val="00A535EE"/>
    <w:rsid w:val="00A73097"/>
    <w:rsid w:val="00A809F3"/>
    <w:rsid w:val="00A82189"/>
    <w:rsid w:val="00A82E22"/>
    <w:rsid w:val="00A832A0"/>
    <w:rsid w:val="00A95B7E"/>
    <w:rsid w:val="00AA0D2A"/>
    <w:rsid w:val="00AA43FA"/>
    <w:rsid w:val="00AA4B5D"/>
    <w:rsid w:val="00AA5EAE"/>
    <w:rsid w:val="00AB1B11"/>
    <w:rsid w:val="00AB2263"/>
    <w:rsid w:val="00AC0CEF"/>
    <w:rsid w:val="00AD0A7E"/>
    <w:rsid w:val="00AD0CEE"/>
    <w:rsid w:val="00AD10C9"/>
    <w:rsid w:val="00AD70A9"/>
    <w:rsid w:val="00AE522F"/>
    <w:rsid w:val="00AE6BC7"/>
    <w:rsid w:val="00AE75B6"/>
    <w:rsid w:val="00AE77B5"/>
    <w:rsid w:val="00AE7E57"/>
    <w:rsid w:val="00AF296E"/>
    <w:rsid w:val="00B019EB"/>
    <w:rsid w:val="00B02CC1"/>
    <w:rsid w:val="00B0377D"/>
    <w:rsid w:val="00B06340"/>
    <w:rsid w:val="00B11DE4"/>
    <w:rsid w:val="00B15D89"/>
    <w:rsid w:val="00B20A3E"/>
    <w:rsid w:val="00B26A70"/>
    <w:rsid w:val="00B27D7A"/>
    <w:rsid w:val="00B40D20"/>
    <w:rsid w:val="00B4441A"/>
    <w:rsid w:val="00B446FF"/>
    <w:rsid w:val="00B52FEF"/>
    <w:rsid w:val="00B54121"/>
    <w:rsid w:val="00B62F6B"/>
    <w:rsid w:val="00B653AA"/>
    <w:rsid w:val="00B74A0E"/>
    <w:rsid w:val="00BA0249"/>
    <w:rsid w:val="00BA50BD"/>
    <w:rsid w:val="00BA5655"/>
    <w:rsid w:val="00BB2444"/>
    <w:rsid w:val="00BB2ADD"/>
    <w:rsid w:val="00BB4AF0"/>
    <w:rsid w:val="00BC1320"/>
    <w:rsid w:val="00BD092B"/>
    <w:rsid w:val="00BD16E7"/>
    <w:rsid w:val="00BE0647"/>
    <w:rsid w:val="00BE69C3"/>
    <w:rsid w:val="00BF3E17"/>
    <w:rsid w:val="00BF500C"/>
    <w:rsid w:val="00BF58C7"/>
    <w:rsid w:val="00BF7640"/>
    <w:rsid w:val="00C07A62"/>
    <w:rsid w:val="00C113A8"/>
    <w:rsid w:val="00C14769"/>
    <w:rsid w:val="00C20472"/>
    <w:rsid w:val="00C20A30"/>
    <w:rsid w:val="00C26227"/>
    <w:rsid w:val="00C30E00"/>
    <w:rsid w:val="00C32D3C"/>
    <w:rsid w:val="00C33C91"/>
    <w:rsid w:val="00C402AF"/>
    <w:rsid w:val="00C40E79"/>
    <w:rsid w:val="00C645D9"/>
    <w:rsid w:val="00C74D5D"/>
    <w:rsid w:val="00C753B7"/>
    <w:rsid w:val="00C80DC8"/>
    <w:rsid w:val="00C96FDF"/>
    <w:rsid w:val="00CA3F94"/>
    <w:rsid w:val="00CA66F7"/>
    <w:rsid w:val="00CB2636"/>
    <w:rsid w:val="00CB52F3"/>
    <w:rsid w:val="00CB6025"/>
    <w:rsid w:val="00CC1092"/>
    <w:rsid w:val="00CD49AF"/>
    <w:rsid w:val="00CE2DC6"/>
    <w:rsid w:val="00D004D0"/>
    <w:rsid w:val="00D04422"/>
    <w:rsid w:val="00D07D67"/>
    <w:rsid w:val="00D118A4"/>
    <w:rsid w:val="00D121BC"/>
    <w:rsid w:val="00D24E69"/>
    <w:rsid w:val="00D253DE"/>
    <w:rsid w:val="00D30297"/>
    <w:rsid w:val="00D35CFC"/>
    <w:rsid w:val="00D414AD"/>
    <w:rsid w:val="00D43F25"/>
    <w:rsid w:val="00D46A23"/>
    <w:rsid w:val="00D47118"/>
    <w:rsid w:val="00D51CBF"/>
    <w:rsid w:val="00D560DD"/>
    <w:rsid w:val="00D5685F"/>
    <w:rsid w:val="00D5724B"/>
    <w:rsid w:val="00D57D6D"/>
    <w:rsid w:val="00D75BB5"/>
    <w:rsid w:val="00D80097"/>
    <w:rsid w:val="00D83D61"/>
    <w:rsid w:val="00D84946"/>
    <w:rsid w:val="00D84F02"/>
    <w:rsid w:val="00D87A98"/>
    <w:rsid w:val="00D90141"/>
    <w:rsid w:val="00D96D08"/>
    <w:rsid w:val="00DA0DB3"/>
    <w:rsid w:val="00DA781F"/>
    <w:rsid w:val="00DC0288"/>
    <w:rsid w:val="00DC313F"/>
    <w:rsid w:val="00DC5852"/>
    <w:rsid w:val="00DC5A2E"/>
    <w:rsid w:val="00DD3F39"/>
    <w:rsid w:val="00DE462E"/>
    <w:rsid w:val="00E203AF"/>
    <w:rsid w:val="00E23B3C"/>
    <w:rsid w:val="00E23B46"/>
    <w:rsid w:val="00E40D87"/>
    <w:rsid w:val="00E45935"/>
    <w:rsid w:val="00E460FA"/>
    <w:rsid w:val="00E51A7F"/>
    <w:rsid w:val="00E53A38"/>
    <w:rsid w:val="00E61FBD"/>
    <w:rsid w:val="00E65B1D"/>
    <w:rsid w:val="00E75C12"/>
    <w:rsid w:val="00E76A8A"/>
    <w:rsid w:val="00E77A81"/>
    <w:rsid w:val="00E8778C"/>
    <w:rsid w:val="00E90769"/>
    <w:rsid w:val="00E9239C"/>
    <w:rsid w:val="00E961F6"/>
    <w:rsid w:val="00E978F9"/>
    <w:rsid w:val="00EA465C"/>
    <w:rsid w:val="00EA752F"/>
    <w:rsid w:val="00EB122C"/>
    <w:rsid w:val="00EB1F8F"/>
    <w:rsid w:val="00ED259D"/>
    <w:rsid w:val="00F031D4"/>
    <w:rsid w:val="00F05ABE"/>
    <w:rsid w:val="00F10C86"/>
    <w:rsid w:val="00F152B2"/>
    <w:rsid w:val="00F16D3A"/>
    <w:rsid w:val="00F25B06"/>
    <w:rsid w:val="00F337FD"/>
    <w:rsid w:val="00F36FAE"/>
    <w:rsid w:val="00F40B51"/>
    <w:rsid w:val="00F44360"/>
    <w:rsid w:val="00F63187"/>
    <w:rsid w:val="00F64279"/>
    <w:rsid w:val="00F76795"/>
    <w:rsid w:val="00F87EA7"/>
    <w:rsid w:val="00FB0C79"/>
    <w:rsid w:val="00FB2AAE"/>
    <w:rsid w:val="00FC1AB8"/>
    <w:rsid w:val="00FC6FF2"/>
    <w:rsid w:val="00FE35D1"/>
    <w:rsid w:val="00FE3D4F"/>
    <w:rsid w:val="01AC4E2E"/>
    <w:rsid w:val="0ED00640"/>
    <w:rsid w:val="135739F4"/>
    <w:rsid w:val="157335A3"/>
    <w:rsid w:val="73E36FAF"/>
    <w:rsid w:val="7473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widowControl/>
      <w:spacing w:before="150" w:beforeLines="150" w:after="50" w:afterLines="50"/>
      <w:outlineLvl w:val="0"/>
    </w:pPr>
    <w:rPr>
      <w:rFonts w:ascii="Arial" w:hAnsi="Arial" w:eastAsia="楷体_GB2312" w:cs="Times New Roman"/>
      <w:b/>
      <w:bCs/>
      <w:color w:val="FF0000"/>
      <w:kern w:val="36"/>
      <w:szCs w:val="48"/>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0"/>
    <w:rPr>
      <w:rFonts w:ascii="Arial" w:hAnsi="Arial" w:eastAsia="楷体_GB2312" w:cs="Times New Roman"/>
      <w:b/>
      <w:bCs/>
      <w:color w:val="FF0000"/>
      <w:kern w:val="36"/>
      <w:szCs w:val="48"/>
    </w:rPr>
  </w:style>
  <w:style w:type="character" w:customStyle="1" w:styleId="15">
    <w:name w:val="标题 3 字符"/>
    <w:basedOn w:val="12"/>
    <w:link w:val="3"/>
    <w:semiHidden/>
    <w:uiPriority w:val="9"/>
    <w:rPr>
      <w:b/>
      <w:bCs/>
      <w:sz w:val="32"/>
      <w:szCs w:val="32"/>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2"/>
    <w:link w:val="5"/>
    <w:semiHidden/>
    <w:qFormat/>
    <w:uiPriority w:val="99"/>
    <w:rPr>
      <w:sz w:val="18"/>
      <w:szCs w:val="18"/>
    </w:rPr>
  </w:style>
  <w:style w:type="paragraph" w:customStyle="1" w:styleId="20">
    <w:name w:val="问题"/>
    <w:basedOn w:val="1"/>
    <w:next w:val="1"/>
    <w:link w:val="21"/>
    <w:qFormat/>
    <w:uiPriority w:val="0"/>
    <w:pPr>
      <w:widowControl/>
      <w:spacing w:before="200" w:beforeLines="200" w:after="100" w:afterLines="100"/>
      <w:ind w:firstLine="200" w:firstLineChars="200"/>
    </w:pPr>
    <w:rPr>
      <w:rFonts w:ascii="Arial" w:hAnsi="Arial" w:eastAsia="楷体_GB2312" w:cs="Times New Roman"/>
      <w:b/>
      <w:kern w:val="0"/>
      <w:szCs w:val="24"/>
    </w:rPr>
  </w:style>
  <w:style w:type="character" w:customStyle="1" w:styleId="21">
    <w:name w:val="问题 字符"/>
    <w:link w:val="20"/>
    <w:qFormat/>
    <w:uiPriority w:val="0"/>
    <w:rPr>
      <w:rFonts w:ascii="Arial" w:hAnsi="Arial" w:eastAsia="楷体_GB2312" w:cs="Times New Roman"/>
      <w:b/>
      <w:kern w:val="0"/>
      <w:szCs w:val="24"/>
      <w:lang w:val="en-US"/>
    </w:rPr>
  </w:style>
  <w:style w:type="character" w:customStyle="1" w:styleId="22">
    <w:name w:val="批注文字 字符"/>
    <w:basedOn w:val="12"/>
    <w:link w:val="4"/>
    <w:semiHidden/>
    <w:qFormat/>
    <w:uiPriority w:val="99"/>
  </w:style>
  <w:style w:type="character" w:customStyle="1" w:styleId="23">
    <w:name w:val="批注主题 字符"/>
    <w:basedOn w:val="22"/>
    <w:link w:val="9"/>
    <w:semiHidden/>
    <w:qFormat/>
    <w:uiPriority w:val="99"/>
    <w:rPr>
      <w:b/>
      <w:bCs/>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2298</Words>
  <Characters>2376</Characters>
  <Lines>18</Lines>
  <Paragraphs>5</Paragraphs>
  <TotalTime>13</TotalTime>
  <ScaleCrop>false</ScaleCrop>
  <LinksUpToDate>false</LinksUpToDate>
  <CharactersWithSpaces>2397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2024-12-30T08:34:00Z</dcterms:created>
  <dc:creator>Jassie Li 李境晗</dc:creator>
  <cp:lastModifiedBy>William.W</cp:lastModifiedBy>
  <cp:lastPrinted>2021-07-12T09:56:00Z</cp:lastPrinted>
  <dcterms:modified xsi:type="dcterms:W3CDTF">2024-12-30T09:17:09Z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eyJoZGlkIjoiNGMyYjA5MzVhZWM4NTgxZDk2OTdiMTA0NjZiYjU2YjYiLCJ1c2VySWQiOiIyMTEyMjg0NjYifQ==</vt:lpwstr>
  </property>
  <property fmtid="{D5CDD505-2E9C-101B-9397-08002B2CF9AE}" pid="3" name="KSOProductBuildVer">
    <vt:lpwstr>2052-12.1.0.19302</vt:lpwstr>
  </property>
  <property fmtid="{D5CDD505-2E9C-101B-9397-08002B2CF9AE}" pid="4" name="ICV">
    <vt:lpwstr>3D80E964FF854C1D9C14E2800E86C78B_12</vt:lpwstr>
  </property>
</Properties>
</file>