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1" w:line="219" w:lineRule="auto"/>
        <w:ind w:left="23"/>
        <w:rPr>
          <w:rFonts w:hint="default" w:ascii="Arial Narrow" w:hAnsi="Arial Narrow" w:eastAsia="宋体" w:cs="宋体"/>
          <w:sz w:val="24"/>
          <w:szCs w:val="24"/>
          <w:lang w:val="en-US" w:eastAsia="zh-CN"/>
        </w:rPr>
      </w:pPr>
      <w:r>
        <w:rPr>
          <w:rFonts w:ascii="Arial Narrow" w:hAnsi="Arial Narrow" w:eastAsia="宋体" w:cs="宋体"/>
          <w:sz w:val="24"/>
          <w:szCs w:val="24"/>
          <w:lang w:eastAsia="zh-CN"/>
        </w:rPr>
        <w:t>证券代码：60</w:t>
      </w:r>
      <w:r>
        <w:rPr>
          <w:rFonts w:hint="eastAsia" w:ascii="Arial Narrow" w:hAnsi="Arial Narrow" w:eastAsia="宋体" w:cs="宋体"/>
          <w:sz w:val="24"/>
          <w:szCs w:val="24"/>
          <w:lang w:eastAsia="zh-CN"/>
        </w:rPr>
        <w:t>0438</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eastAsia="zh-CN"/>
        </w:rPr>
        <w:t xml:space="preserve">       </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eastAsia="zh-CN"/>
        </w:rPr>
        <w:t xml:space="preserve"> </w:t>
      </w:r>
      <w:r>
        <w:rPr>
          <w:rFonts w:ascii="Arial Narrow" w:hAnsi="Arial Narrow" w:eastAsia="宋体" w:cs="宋体"/>
          <w:sz w:val="24"/>
          <w:szCs w:val="24"/>
          <w:lang w:eastAsia="zh-CN"/>
        </w:rPr>
        <w:t xml:space="preserve">     </w:t>
      </w:r>
      <w:r>
        <w:rPr>
          <w:rFonts w:ascii="Arial Narrow" w:hAnsi="Arial Narrow" w:eastAsia="宋体" w:cs="宋体"/>
          <w:spacing w:val="-1"/>
          <w:sz w:val="24"/>
          <w:szCs w:val="24"/>
          <w:lang w:eastAsia="zh-CN"/>
        </w:rPr>
        <w:t>证券简称：</w:t>
      </w:r>
      <w:r>
        <w:rPr>
          <w:rFonts w:hint="eastAsia" w:ascii="Arial Narrow" w:hAnsi="Arial Narrow" w:eastAsia="宋体" w:cs="宋体"/>
          <w:spacing w:val="-1"/>
          <w:sz w:val="24"/>
          <w:szCs w:val="24"/>
          <w:lang w:eastAsia="zh-CN"/>
        </w:rPr>
        <w:t>通威股份                          编号：202</w:t>
      </w:r>
      <w:r>
        <w:rPr>
          <w:rFonts w:hint="eastAsia" w:ascii="Arial Narrow" w:hAnsi="Arial Narrow" w:eastAsia="宋体" w:cs="宋体"/>
          <w:spacing w:val="-1"/>
          <w:sz w:val="24"/>
          <w:szCs w:val="24"/>
          <w:lang w:val="en-US" w:eastAsia="zh-CN"/>
        </w:rPr>
        <w:t>5</w:t>
      </w:r>
      <w:r>
        <w:rPr>
          <w:rFonts w:hint="eastAsia" w:ascii="Arial Narrow" w:hAnsi="Arial Narrow" w:eastAsia="宋体" w:cs="宋体"/>
          <w:spacing w:val="-1"/>
          <w:sz w:val="24"/>
          <w:szCs w:val="24"/>
          <w:lang w:eastAsia="zh-CN"/>
        </w:rPr>
        <w:t>-0</w:t>
      </w:r>
      <w:r>
        <w:rPr>
          <w:rFonts w:hint="eastAsia" w:ascii="Arial Narrow" w:hAnsi="Arial Narrow" w:eastAsia="宋体" w:cs="宋体"/>
          <w:spacing w:val="-1"/>
          <w:sz w:val="24"/>
          <w:szCs w:val="24"/>
          <w:lang w:val="en-US" w:eastAsia="zh-CN"/>
        </w:rPr>
        <w:t>1</w:t>
      </w:r>
    </w:p>
    <w:p>
      <w:pPr>
        <w:spacing w:before="480" w:beforeLines="200" w:line="360" w:lineRule="auto"/>
        <w:jc w:val="center"/>
        <w:outlineLvl w:val="0"/>
        <w:rPr>
          <w:rFonts w:ascii="Arial Narrow" w:hAnsi="Arial Narrow" w:eastAsia="宋体" w:cs="宋体"/>
          <w:spacing w:val="3"/>
          <w:sz w:val="32"/>
          <w:szCs w:val="32"/>
          <w:lang w:eastAsia="zh-CN"/>
        </w:rPr>
      </w:pPr>
      <w:r>
        <w:rPr>
          <w:rFonts w:hint="eastAsia" w:ascii="Arial Narrow" w:hAnsi="Arial Narrow" w:eastAsia="宋体" w:cs="宋体"/>
          <w:b/>
          <w:bCs/>
          <w:spacing w:val="-4"/>
          <w:sz w:val="32"/>
          <w:szCs w:val="32"/>
          <w:lang w:eastAsia="zh-CN"/>
        </w:rPr>
        <w:t>通威股份</w:t>
      </w:r>
      <w:r>
        <w:rPr>
          <w:rFonts w:ascii="Arial Narrow" w:hAnsi="Arial Narrow" w:eastAsia="宋体" w:cs="宋体"/>
          <w:b/>
          <w:bCs/>
          <w:spacing w:val="-4"/>
          <w:sz w:val="32"/>
          <w:szCs w:val="32"/>
          <w:lang w:eastAsia="zh-CN"/>
        </w:rPr>
        <w:t>股份有限公司</w:t>
      </w:r>
    </w:p>
    <w:p>
      <w:pPr>
        <w:spacing w:line="360" w:lineRule="auto"/>
        <w:jc w:val="center"/>
        <w:outlineLvl w:val="0"/>
        <w:rPr>
          <w:rFonts w:ascii="Arial Narrow" w:hAnsi="Arial Narrow" w:eastAsia="宋体" w:cs="宋体"/>
          <w:sz w:val="32"/>
          <w:szCs w:val="32"/>
          <w:lang w:eastAsia="zh-CN"/>
        </w:rPr>
      </w:pPr>
      <w:r>
        <w:rPr>
          <w:rFonts w:ascii="Arial Narrow" w:hAnsi="Arial Narrow" w:eastAsia="宋体" w:cs="宋体"/>
          <w:b/>
          <w:bCs/>
          <w:spacing w:val="-3"/>
          <w:sz w:val="32"/>
          <w:szCs w:val="32"/>
          <w:lang w:eastAsia="zh-CN"/>
        </w:rPr>
        <w:t>投资者关系活动记录表</w:t>
      </w:r>
    </w:p>
    <w:p>
      <w:pPr>
        <w:spacing w:line="69" w:lineRule="exact"/>
        <w:rPr>
          <w:lang w:eastAsia="zh-CN"/>
        </w:rPr>
      </w:pPr>
    </w:p>
    <w:tbl>
      <w:tblPr>
        <w:tblStyle w:val="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55"/>
        <w:gridCol w:w="2361"/>
        <w:gridCol w:w="4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112" w:type="pct"/>
            <w:vAlign w:val="center"/>
          </w:tcPr>
          <w:p>
            <w:pPr>
              <w:pStyle w:val="7"/>
              <w:spacing w:before="120" w:line="347" w:lineRule="auto"/>
              <w:ind w:left="118" w:right="109" w:firstLine="1"/>
              <w:rPr>
                <w:rFonts w:hint="eastAsia"/>
              </w:rPr>
            </w:pPr>
            <w:r>
              <w:rPr>
                <w:spacing w:val="27"/>
              </w:rPr>
              <w:t>投资者关系活</w:t>
            </w:r>
            <w:r>
              <w:rPr>
                <w:spacing w:val="4"/>
              </w:rPr>
              <w:t xml:space="preserve"> </w:t>
            </w:r>
            <w:r>
              <w:rPr>
                <w:spacing w:val="-3"/>
              </w:rPr>
              <w:t>动类别</w:t>
            </w:r>
          </w:p>
        </w:tc>
        <w:tc>
          <w:tcPr>
            <w:tcW w:w="1415" w:type="pct"/>
            <w:tcBorders>
              <w:right w:val="nil"/>
            </w:tcBorders>
          </w:tcPr>
          <w:p>
            <w:pPr>
              <w:pStyle w:val="7"/>
              <w:spacing w:before="120" w:line="220" w:lineRule="auto"/>
              <w:ind w:left="137"/>
              <w:rPr>
                <w:rFonts w:hint="eastAsia"/>
                <w:lang w:eastAsia="zh-CN"/>
              </w:rPr>
            </w:pPr>
            <w:r>
              <w:rPr>
                <w:rFonts w:ascii="Segoe UI Symbol" w:hAnsi="Segoe UI Symbol" w:cs="Segoe UI Symbol"/>
                <w:spacing w:val="-5"/>
                <w:lang w:eastAsia="zh-CN"/>
              </w:rPr>
              <w:t>☑</w:t>
            </w:r>
            <w:r>
              <w:rPr>
                <w:spacing w:val="-5"/>
                <w:lang w:eastAsia="zh-CN"/>
              </w:rPr>
              <w:t>特定对象调研</w:t>
            </w:r>
          </w:p>
          <w:p>
            <w:pPr>
              <w:pStyle w:val="7"/>
              <w:spacing w:before="120" w:line="219" w:lineRule="auto"/>
              <w:ind w:left="137"/>
              <w:rPr>
                <w:rFonts w:hint="eastAsia"/>
                <w:lang w:eastAsia="zh-CN"/>
              </w:rPr>
            </w:pPr>
            <w:r>
              <w:rPr>
                <w:spacing w:val="-6"/>
                <w:lang w:eastAsia="zh-CN"/>
              </w:rPr>
              <w:t>□媒体采访</w:t>
            </w:r>
          </w:p>
          <w:p>
            <w:pPr>
              <w:pStyle w:val="7"/>
              <w:spacing w:before="120" w:line="219" w:lineRule="auto"/>
              <w:ind w:left="137"/>
              <w:rPr>
                <w:rFonts w:hint="eastAsia"/>
                <w:lang w:eastAsia="zh-CN"/>
              </w:rPr>
            </w:pPr>
            <w:r>
              <w:rPr>
                <w:spacing w:val="-5"/>
                <w:lang w:eastAsia="zh-CN"/>
              </w:rPr>
              <w:t>□新闻发布会</w:t>
            </w:r>
          </w:p>
          <w:p>
            <w:pPr>
              <w:pStyle w:val="7"/>
              <w:spacing w:before="120" w:line="220" w:lineRule="auto"/>
              <w:ind w:left="137"/>
              <w:rPr>
                <w:rFonts w:hint="eastAsia"/>
                <w:lang w:eastAsia="zh-CN"/>
              </w:rPr>
            </w:pPr>
            <w:r>
              <w:rPr>
                <w:rFonts w:ascii="Segoe UI Symbol" w:hAnsi="Segoe UI Symbol" w:cs="Segoe UI Symbol"/>
                <w:spacing w:val="-5"/>
                <w:lang w:eastAsia="zh-CN"/>
              </w:rPr>
              <w:t>☑</w:t>
            </w:r>
            <w:r>
              <w:rPr>
                <w:spacing w:val="-6"/>
                <w:lang w:eastAsia="zh-CN"/>
              </w:rPr>
              <w:t>现场参观</w:t>
            </w:r>
          </w:p>
          <w:p>
            <w:pPr>
              <w:pStyle w:val="7"/>
              <w:spacing w:before="120" w:line="220" w:lineRule="auto"/>
              <w:ind w:left="137"/>
              <w:rPr>
                <w:rFonts w:hint="eastAsia"/>
                <w:lang w:eastAsia="zh-CN"/>
              </w:rPr>
            </w:pPr>
            <w:r>
              <w:rPr>
                <w:rFonts w:ascii="Segoe UI Symbol" w:hAnsi="Segoe UI Symbol" w:cs="Segoe UI Symbol"/>
                <w:spacing w:val="-5"/>
                <w:lang w:eastAsia="zh-CN"/>
              </w:rPr>
              <w:t>☑</w:t>
            </w:r>
            <w:r>
              <w:rPr>
                <w:spacing w:val="-12"/>
                <w:lang w:eastAsia="zh-CN"/>
              </w:rPr>
              <w:t>其他</w:t>
            </w:r>
            <w:r>
              <w:rPr>
                <w:u w:val="single"/>
                <w:lang w:eastAsia="zh-CN"/>
              </w:rPr>
              <w:t xml:space="preserve">  </w:t>
            </w:r>
            <w:r>
              <w:rPr>
                <w:rFonts w:hint="eastAsia"/>
                <w:u w:val="single"/>
                <w:lang w:eastAsia="zh-CN"/>
              </w:rPr>
              <w:t>线上会议</w:t>
            </w:r>
            <w:r>
              <w:rPr>
                <w:u w:val="single"/>
                <w:lang w:eastAsia="zh-CN"/>
              </w:rPr>
              <w:t xml:space="preserve">          </w:t>
            </w:r>
          </w:p>
        </w:tc>
        <w:tc>
          <w:tcPr>
            <w:tcW w:w="2472" w:type="pct"/>
            <w:tcBorders>
              <w:left w:val="nil"/>
            </w:tcBorders>
          </w:tcPr>
          <w:p>
            <w:pPr>
              <w:pStyle w:val="7"/>
              <w:spacing w:before="120" w:line="219" w:lineRule="auto"/>
              <w:ind w:left="197"/>
              <w:rPr>
                <w:rFonts w:hint="eastAsia"/>
                <w:lang w:eastAsia="zh-CN"/>
              </w:rPr>
            </w:pPr>
            <w:r>
              <w:rPr>
                <w:rFonts w:ascii="Segoe UI Symbol" w:hAnsi="Segoe UI Symbol" w:cs="Segoe UI Symbol"/>
                <w:spacing w:val="-5"/>
                <w:lang w:eastAsia="zh-CN"/>
              </w:rPr>
              <w:t>☑</w:t>
            </w:r>
            <w:r>
              <w:rPr>
                <w:spacing w:val="-5"/>
                <w:lang w:eastAsia="zh-CN"/>
              </w:rPr>
              <w:t>分析师会议</w:t>
            </w:r>
          </w:p>
          <w:p>
            <w:pPr>
              <w:pStyle w:val="7"/>
              <w:spacing w:before="120" w:line="219" w:lineRule="auto"/>
              <w:ind w:left="197"/>
              <w:rPr>
                <w:rFonts w:hint="eastAsia"/>
                <w:lang w:eastAsia="zh-CN"/>
              </w:rPr>
            </w:pPr>
            <w:r>
              <w:rPr>
                <w:rFonts w:hint="eastAsia"/>
                <w:spacing w:val="-5"/>
                <w:lang w:eastAsia="zh-CN"/>
              </w:rPr>
              <w:t>□</w:t>
            </w:r>
            <w:r>
              <w:rPr>
                <w:spacing w:val="-6"/>
                <w:lang w:eastAsia="zh-CN"/>
              </w:rPr>
              <w:t>业绩说明会</w:t>
            </w:r>
          </w:p>
          <w:p>
            <w:pPr>
              <w:pStyle w:val="7"/>
              <w:spacing w:before="120" w:line="220" w:lineRule="auto"/>
              <w:ind w:left="197"/>
              <w:rPr>
                <w:rFonts w:hint="eastAsia"/>
              </w:rPr>
            </w:pPr>
            <w:r>
              <w:rPr>
                <w:rFonts w:hint="eastAsia" w:ascii="Segoe UI Symbol" w:hAnsi="Segoe UI Symbol" w:cs="Segoe UI Symbol"/>
                <w:spacing w:val="-6"/>
                <w:lang w:eastAsia="zh-CN"/>
              </w:rPr>
              <w:t>□</w:t>
            </w:r>
            <w:r>
              <w:rPr>
                <w:spacing w:val="-6"/>
              </w:rPr>
              <w:t>路演活动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112" w:type="pct"/>
            <w:vAlign w:val="center"/>
          </w:tcPr>
          <w:p>
            <w:pPr>
              <w:pStyle w:val="7"/>
              <w:spacing w:before="120" w:line="347" w:lineRule="auto"/>
              <w:ind w:left="116" w:right="109" w:firstLine="2"/>
              <w:rPr>
                <w:rFonts w:hint="eastAsia"/>
                <w:lang w:eastAsia="zh-CN"/>
              </w:rPr>
            </w:pPr>
            <w:r>
              <w:rPr>
                <w:spacing w:val="28"/>
                <w:lang w:eastAsia="zh-CN"/>
              </w:rPr>
              <w:t>参与单位名称</w:t>
            </w:r>
            <w:r>
              <w:rPr>
                <w:lang w:eastAsia="zh-CN"/>
              </w:rPr>
              <w:t xml:space="preserve"> </w:t>
            </w:r>
            <w:r>
              <w:rPr>
                <w:spacing w:val="-2"/>
                <w:lang w:eastAsia="zh-CN"/>
              </w:rPr>
              <w:t>及人员姓名</w:t>
            </w:r>
          </w:p>
        </w:tc>
        <w:tc>
          <w:tcPr>
            <w:tcW w:w="3887" w:type="pct"/>
            <w:gridSpan w:val="2"/>
          </w:tcPr>
          <w:p>
            <w:pPr>
              <w:pStyle w:val="7"/>
              <w:numPr>
                <w:ilvl w:val="0"/>
                <w:numId w:val="1"/>
              </w:numPr>
              <w:spacing w:before="120" w:line="345" w:lineRule="auto"/>
              <w:ind w:right="23"/>
              <w:jc w:val="both"/>
              <w:rPr>
                <w:rFonts w:hint="eastAsia"/>
                <w:b/>
                <w:bCs/>
                <w:lang w:eastAsia="zh-CN"/>
              </w:rPr>
            </w:pPr>
            <w:r>
              <w:rPr>
                <w:rFonts w:hint="eastAsia"/>
                <w:b/>
                <w:bCs/>
                <w:spacing w:val="-2"/>
                <w:lang w:eastAsia="zh-CN"/>
              </w:rPr>
              <w:t>现场调研</w:t>
            </w:r>
          </w:p>
          <w:p>
            <w:pPr>
              <w:pStyle w:val="7"/>
              <w:spacing w:before="120" w:line="276" w:lineRule="auto"/>
              <w:ind w:left="136" w:right="23" w:firstLine="240" w:firstLineChars="100"/>
              <w:jc w:val="both"/>
              <w:rPr>
                <w:rFonts w:hint="eastAsia"/>
                <w:lang w:eastAsia="zh-CN"/>
              </w:rPr>
            </w:pPr>
            <w:r>
              <w:rPr>
                <w:rFonts w:hint="eastAsia"/>
                <w:lang w:eastAsia="zh-CN"/>
              </w:rPr>
              <w:t>本期公司在成都总部接待的机构有</w:t>
            </w:r>
            <w:r>
              <w:rPr>
                <w:rFonts w:hint="eastAsia"/>
                <w:lang w:val="en-US" w:eastAsia="zh-CN"/>
              </w:rPr>
              <w:t>平安</w:t>
            </w:r>
            <w:r>
              <w:rPr>
                <w:rFonts w:hint="eastAsia"/>
                <w:lang w:eastAsia="zh-CN"/>
              </w:rPr>
              <w:t>基金、</w:t>
            </w:r>
            <w:r>
              <w:rPr>
                <w:rFonts w:hint="eastAsia"/>
                <w:lang w:val="en-US" w:eastAsia="zh-CN"/>
              </w:rPr>
              <w:t>申万菱信</w:t>
            </w:r>
            <w:r>
              <w:rPr>
                <w:rFonts w:hint="eastAsia"/>
                <w:lang w:eastAsia="zh-CN"/>
              </w:rPr>
              <w:t>基金、</w:t>
            </w:r>
            <w:r>
              <w:rPr>
                <w:rFonts w:hint="eastAsia"/>
                <w:lang w:val="en-US" w:eastAsia="zh-CN"/>
              </w:rPr>
              <w:t>兴全基金</w:t>
            </w:r>
            <w:r>
              <w:rPr>
                <w:rFonts w:hint="eastAsia"/>
                <w:lang w:eastAsia="zh-CN"/>
              </w:rPr>
              <w:t>等。</w:t>
            </w:r>
          </w:p>
          <w:p>
            <w:pPr>
              <w:pStyle w:val="7"/>
              <w:numPr>
                <w:ilvl w:val="0"/>
                <w:numId w:val="1"/>
              </w:numPr>
              <w:spacing w:before="120" w:line="345" w:lineRule="auto"/>
              <w:ind w:right="23"/>
              <w:jc w:val="both"/>
              <w:rPr>
                <w:rFonts w:hint="eastAsia"/>
                <w:b/>
                <w:bCs/>
                <w:lang w:eastAsia="zh-CN"/>
              </w:rPr>
            </w:pPr>
            <w:r>
              <w:rPr>
                <w:rFonts w:hint="eastAsia"/>
                <w:b/>
                <w:bCs/>
                <w:spacing w:val="-2"/>
                <w:lang w:eastAsia="zh-CN"/>
              </w:rPr>
              <w:t>线上会议</w:t>
            </w:r>
          </w:p>
          <w:p>
            <w:pPr>
              <w:pStyle w:val="7"/>
              <w:spacing w:before="120" w:line="276" w:lineRule="auto"/>
              <w:ind w:left="136" w:right="23" w:firstLine="240" w:firstLineChars="100"/>
              <w:jc w:val="both"/>
              <w:rPr>
                <w:rFonts w:hint="eastAsia"/>
                <w:lang w:eastAsia="zh-CN"/>
              </w:rPr>
            </w:pPr>
            <w:r>
              <w:rPr>
                <w:rFonts w:hint="eastAsia"/>
                <w:lang w:eastAsia="zh-CN"/>
              </w:rPr>
              <w:t>本期公司与</w:t>
            </w:r>
            <w:r>
              <w:rPr>
                <w:rFonts w:hint="eastAsia"/>
                <w:lang w:val="en-US" w:eastAsia="zh-CN"/>
              </w:rPr>
              <w:t>太平养老</w:t>
            </w:r>
            <w:r>
              <w:rPr>
                <w:rFonts w:hint="eastAsia"/>
                <w:lang w:eastAsia="zh-CN"/>
              </w:rPr>
              <w:t>、</w:t>
            </w:r>
            <w:r>
              <w:rPr>
                <w:rFonts w:hint="eastAsia"/>
                <w:lang w:val="en-US" w:eastAsia="zh-CN"/>
              </w:rPr>
              <w:t>太保资产</w:t>
            </w:r>
            <w:r>
              <w:rPr>
                <w:rFonts w:hint="eastAsia"/>
                <w:lang w:eastAsia="zh-CN"/>
              </w:rPr>
              <w:t>、</w:t>
            </w:r>
            <w:r>
              <w:rPr>
                <w:rFonts w:hint="eastAsia"/>
                <w:lang w:val="en-US" w:eastAsia="zh-CN"/>
              </w:rPr>
              <w:t>嘉实</w:t>
            </w:r>
            <w:r>
              <w:rPr>
                <w:rFonts w:hint="eastAsia"/>
                <w:lang w:eastAsia="zh-CN"/>
              </w:rPr>
              <w:t>基金、</w:t>
            </w:r>
            <w:r>
              <w:rPr>
                <w:rFonts w:hint="eastAsia"/>
                <w:lang w:val="en-US" w:eastAsia="zh-CN"/>
              </w:rPr>
              <w:t>人保养老</w:t>
            </w:r>
            <w:r>
              <w:rPr>
                <w:rFonts w:hint="eastAsia"/>
                <w:lang w:eastAsia="zh-CN"/>
              </w:rPr>
              <w:t>、</w:t>
            </w:r>
            <w:r>
              <w:rPr>
                <w:rFonts w:hint="eastAsia"/>
                <w:lang w:val="en-US" w:eastAsia="zh-CN"/>
              </w:rPr>
              <w:t>万家</w:t>
            </w:r>
            <w:r>
              <w:rPr>
                <w:rFonts w:hint="eastAsia"/>
                <w:lang w:eastAsia="zh-CN"/>
              </w:rPr>
              <w:t>基金、</w:t>
            </w:r>
            <w:r>
              <w:rPr>
                <w:rFonts w:hint="eastAsia"/>
                <w:lang w:val="en-US" w:eastAsia="zh-CN"/>
              </w:rPr>
              <w:t>华宝</w:t>
            </w:r>
            <w:r>
              <w:rPr>
                <w:rFonts w:hint="eastAsia"/>
                <w:lang w:eastAsia="zh-CN"/>
              </w:rPr>
              <w:t>基金等机构进行了线上交流。</w:t>
            </w:r>
          </w:p>
          <w:p>
            <w:pPr>
              <w:pStyle w:val="7"/>
              <w:numPr>
                <w:ilvl w:val="0"/>
                <w:numId w:val="1"/>
              </w:numPr>
              <w:spacing w:before="120" w:line="345" w:lineRule="auto"/>
              <w:ind w:right="23"/>
              <w:jc w:val="both"/>
              <w:rPr>
                <w:rFonts w:hint="eastAsia"/>
                <w:b/>
                <w:bCs/>
                <w:spacing w:val="-2"/>
                <w:lang w:eastAsia="zh-CN"/>
              </w:rPr>
            </w:pPr>
            <w:r>
              <w:rPr>
                <w:rFonts w:hint="eastAsia"/>
                <w:b/>
                <w:bCs/>
                <w:spacing w:val="-2"/>
                <w:lang w:eastAsia="zh-CN"/>
              </w:rPr>
              <w:t>策略会</w:t>
            </w:r>
          </w:p>
          <w:p>
            <w:pPr>
              <w:pStyle w:val="7"/>
              <w:spacing w:before="120" w:line="276" w:lineRule="auto"/>
              <w:ind w:left="136" w:right="23" w:firstLine="240" w:firstLineChars="100"/>
              <w:jc w:val="both"/>
              <w:rPr>
                <w:rFonts w:hint="eastAsia"/>
                <w:lang w:eastAsia="zh-CN"/>
              </w:rPr>
            </w:pPr>
            <w:r>
              <w:rPr>
                <w:rFonts w:hint="eastAsia"/>
                <w:lang w:eastAsia="zh-CN"/>
              </w:rPr>
              <w:t>本期公司参加了</w:t>
            </w:r>
            <w:r>
              <w:rPr>
                <w:rFonts w:hint="eastAsia"/>
                <w:lang w:val="en-US" w:eastAsia="zh-CN"/>
              </w:rPr>
              <w:t>长江正和</w:t>
            </w:r>
            <w:r>
              <w:rPr>
                <w:rFonts w:hint="eastAsia"/>
                <w:lang w:eastAsia="zh-CN"/>
              </w:rPr>
              <w:t>东吴证券等券商研究所组织的策略会，参加策略会并与公司交流的投资机构有</w:t>
            </w:r>
            <w:r>
              <w:rPr>
                <w:rFonts w:hint="eastAsia"/>
                <w:lang w:val="en-US" w:eastAsia="zh-CN"/>
              </w:rPr>
              <w:t>南方</w:t>
            </w:r>
            <w:r>
              <w:rPr>
                <w:rFonts w:hint="eastAsia"/>
                <w:lang w:eastAsia="zh-CN"/>
              </w:rPr>
              <w:t>基金、</w:t>
            </w:r>
            <w:r>
              <w:rPr>
                <w:rFonts w:hint="eastAsia"/>
                <w:lang w:val="en-US" w:eastAsia="zh-CN"/>
              </w:rPr>
              <w:t>汇添富</w:t>
            </w:r>
            <w:r>
              <w:rPr>
                <w:rFonts w:hint="eastAsia"/>
                <w:lang w:eastAsia="zh-CN"/>
              </w:rPr>
              <w:t>基金、</w:t>
            </w:r>
            <w:r>
              <w:rPr>
                <w:rFonts w:hint="eastAsia"/>
                <w:lang w:val="en-US" w:eastAsia="zh-CN"/>
              </w:rPr>
              <w:t>富国</w:t>
            </w:r>
            <w:r>
              <w:rPr>
                <w:rFonts w:hint="eastAsia"/>
                <w:lang w:eastAsia="zh-CN"/>
              </w:rPr>
              <w:t>基金、</w:t>
            </w:r>
            <w:r>
              <w:rPr>
                <w:rFonts w:hint="eastAsia"/>
                <w:lang w:val="en-US" w:eastAsia="zh-CN"/>
              </w:rPr>
              <w:t>银华</w:t>
            </w:r>
            <w:r>
              <w:rPr>
                <w:rFonts w:hint="eastAsia"/>
                <w:lang w:eastAsia="zh-CN"/>
              </w:rPr>
              <w:t>基金、</w:t>
            </w:r>
            <w:r>
              <w:rPr>
                <w:rFonts w:hint="eastAsia"/>
                <w:lang w:val="en-US" w:eastAsia="zh-CN"/>
              </w:rPr>
              <w:t>招商</w:t>
            </w:r>
            <w:r>
              <w:rPr>
                <w:rFonts w:hint="eastAsia"/>
                <w:lang w:eastAsia="zh-CN"/>
              </w:rPr>
              <w:t>基金、</w:t>
            </w:r>
            <w:r>
              <w:rPr>
                <w:rFonts w:hint="eastAsia"/>
                <w:lang w:val="en-US" w:eastAsia="zh-CN"/>
              </w:rPr>
              <w:t>泰康资产</w:t>
            </w:r>
            <w:r>
              <w:rPr>
                <w:rFonts w:hint="eastAsia"/>
                <w:lang w:eastAsia="zh-CN"/>
              </w:rPr>
              <w:t>、</w:t>
            </w:r>
            <w:r>
              <w:rPr>
                <w:rFonts w:hint="eastAsia"/>
                <w:lang w:val="en-US" w:eastAsia="zh-CN"/>
              </w:rPr>
              <w:t>鹏华</w:t>
            </w:r>
            <w:r>
              <w:rPr>
                <w:rFonts w:hint="eastAsia"/>
                <w:lang w:eastAsia="zh-CN"/>
              </w:rPr>
              <w:t>基金、</w:t>
            </w:r>
            <w:r>
              <w:rPr>
                <w:rFonts w:hint="eastAsia"/>
                <w:lang w:val="en-US" w:eastAsia="zh-CN"/>
              </w:rPr>
              <w:t>东方红</w:t>
            </w:r>
            <w:r>
              <w:rPr>
                <w:rFonts w:hint="eastAsia"/>
                <w:lang w:eastAsia="zh-CN"/>
              </w:rPr>
              <w:t>基金等投资机构</w:t>
            </w:r>
          </w:p>
          <w:p>
            <w:pPr>
              <w:pStyle w:val="7"/>
              <w:spacing w:before="120" w:line="276" w:lineRule="auto"/>
              <w:ind w:left="136" w:right="23" w:firstLine="240" w:firstLineChars="100"/>
              <w:jc w:val="both"/>
              <w:rPr>
                <w:rFonts w:hint="eastAsia"/>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12" w:type="pct"/>
          </w:tcPr>
          <w:p>
            <w:pPr>
              <w:pStyle w:val="7"/>
              <w:spacing w:before="120" w:line="222" w:lineRule="auto"/>
              <w:ind w:left="128"/>
              <w:rPr>
                <w:rFonts w:hint="eastAsia"/>
              </w:rPr>
            </w:pPr>
            <w:r>
              <w:rPr>
                <w:spacing w:val="-6"/>
              </w:rPr>
              <w:t>时间</w:t>
            </w:r>
          </w:p>
        </w:tc>
        <w:tc>
          <w:tcPr>
            <w:tcW w:w="3887" w:type="pct"/>
            <w:gridSpan w:val="2"/>
          </w:tcPr>
          <w:p>
            <w:pPr>
              <w:pStyle w:val="7"/>
              <w:spacing w:before="120" w:line="220" w:lineRule="auto"/>
              <w:ind w:left="116"/>
              <w:rPr>
                <w:rFonts w:hint="eastAsia"/>
                <w:lang w:eastAsia="zh-CN"/>
              </w:rPr>
            </w:pPr>
            <w:r>
              <w:rPr>
                <w:rFonts w:hint="eastAsia"/>
                <w:spacing w:val="-7"/>
              </w:rPr>
              <w:t>2024</w:t>
            </w:r>
            <w:r>
              <w:rPr>
                <w:rFonts w:hint="eastAsia"/>
                <w:spacing w:val="-7"/>
                <w:lang w:eastAsia="zh-CN"/>
              </w:rPr>
              <w:t>年1</w:t>
            </w:r>
            <w:r>
              <w:rPr>
                <w:rFonts w:hint="eastAsia"/>
                <w:spacing w:val="-7"/>
                <w:lang w:val="en-US" w:eastAsia="zh-CN"/>
              </w:rPr>
              <w:t>2</w:t>
            </w:r>
            <w:r>
              <w:rPr>
                <w:rFonts w:hint="eastAsia"/>
                <w:spacing w:val="-7"/>
              </w:rPr>
              <w:t>月</w:t>
            </w:r>
            <w:r>
              <w:rPr>
                <w:rFonts w:hint="eastAsia"/>
                <w:spacing w:val="-7"/>
                <w:lang w:eastAsia="zh-CN"/>
              </w:rPr>
              <w:t>1</w:t>
            </w:r>
            <w:r>
              <w:rPr>
                <w:rFonts w:hint="eastAsia"/>
                <w:spacing w:val="-7"/>
              </w:rPr>
              <w:t>日</w:t>
            </w:r>
            <w:r>
              <w:rPr>
                <w:rFonts w:hint="eastAsia"/>
                <w:spacing w:val="-7"/>
                <w:lang w:eastAsia="zh-CN"/>
              </w:rPr>
              <w:t>-1</w:t>
            </w:r>
            <w:r>
              <w:rPr>
                <w:rFonts w:hint="eastAsia"/>
                <w:spacing w:val="-7"/>
                <w:lang w:val="en-US" w:eastAsia="zh-CN"/>
              </w:rPr>
              <w:t>2</w:t>
            </w:r>
            <w:r>
              <w:rPr>
                <w:rFonts w:hint="eastAsia"/>
                <w:spacing w:val="-7"/>
                <w:lang w:eastAsia="zh-CN"/>
              </w:rPr>
              <w:t>月3</w:t>
            </w:r>
            <w:r>
              <w:rPr>
                <w:rFonts w:hint="eastAsia"/>
                <w:spacing w:val="-7"/>
                <w:lang w:val="en-US" w:eastAsia="zh-CN"/>
              </w:rPr>
              <w:t>1</w:t>
            </w:r>
            <w:r>
              <w:rPr>
                <w:rFonts w:hint="eastAsia"/>
                <w:spacing w:val="-7"/>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12" w:type="pct"/>
          </w:tcPr>
          <w:p>
            <w:pPr>
              <w:pStyle w:val="7"/>
              <w:spacing w:before="120" w:line="224" w:lineRule="auto"/>
              <w:ind w:left="117"/>
              <w:rPr>
                <w:rFonts w:hint="eastAsia"/>
              </w:rPr>
            </w:pPr>
            <w:r>
              <w:rPr>
                <w:spacing w:val="-3"/>
              </w:rPr>
              <w:t>地点</w:t>
            </w:r>
          </w:p>
        </w:tc>
        <w:tc>
          <w:tcPr>
            <w:tcW w:w="3887" w:type="pct"/>
            <w:gridSpan w:val="2"/>
          </w:tcPr>
          <w:p>
            <w:pPr>
              <w:pStyle w:val="7"/>
              <w:spacing w:before="120" w:line="220" w:lineRule="auto"/>
              <w:ind w:left="128"/>
              <w:rPr>
                <w:rFonts w:hint="eastAsia"/>
                <w:lang w:eastAsia="zh-CN"/>
              </w:rPr>
            </w:pPr>
            <w:r>
              <w:rPr>
                <w:rFonts w:hint="eastAsia"/>
                <w:spacing w:val="-4"/>
                <w:lang w:eastAsia="zh-CN"/>
              </w:rPr>
              <w:t>通威股份成都</w:t>
            </w:r>
            <w:r>
              <w:rPr>
                <w:spacing w:val="-4"/>
                <w:lang w:eastAsia="zh-CN"/>
              </w:rPr>
              <w:t>总部</w:t>
            </w:r>
            <w:r>
              <w:rPr>
                <w:rFonts w:hint="eastAsia"/>
                <w:spacing w:val="-4"/>
                <w:lang w:eastAsia="zh-CN"/>
              </w:rPr>
              <w:t>、上海、</w:t>
            </w:r>
            <w:r>
              <w:rPr>
                <w:rFonts w:hint="eastAsia"/>
                <w:spacing w:val="-4"/>
                <w:lang w:val="en-US" w:eastAsia="zh-CN"/>
              </w:rPr>
              <w:t>宜宾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trPr>
        <w:tc>
          <w:tcPr>
            <w:tcW w:w="1112" w:type="pct"/>
            <w:vAlign w:val="center"/>
          </w:tcPr>
          <w:p>
            <w:pPr>
              <w:pStyle w:val="7"/>
              <w:spacing w:before="120" w:line="347" w:lineRule="auto"/>
              <w:ind w:left="119" w:right="109"/>
              <w:rPr>
                <w:rFonts w:hint="eastAsia"/>
                <w:lang w:eastAsia="zh-CN"/>
              </w:rPr>
            </w:pPr>
            <w:r>
              <w:rPr>
                <w:spacing w:val="28"/>
                <w:lang w:eastAsia="zh-CN"/>
              </w:rPr>
              <w:t>上市公司接待</w:t>
            </w:r>
            <w:r>
              <w:rPr>
                <w:lang w:eastAsia="zh-CN"/>
              </w:rPr>
              <w:t xml:space="preserve"> </w:t>
            </w:r>
            <w:r>
              <w:rPr>
                <w:spacing w:val="-3"/>
                <w:lang w:eastAsia="zh-CN"/>
              </w:rPr>
              <w:t>人员姓名</w:t>
            </w:r>
          </w:p>
        </w:tc>
        <w:tc>
          <w:tcPr>
            <w:tcW w:w="3887" w:type="pct"/>
            <w:gridSpan w:val="2"/>
          </w:tcPr>
          <w:p>
            <w:pPr>
              <w:pStyle w:val="7"/>
              <w:spacing w:before="120" w:line="220" w:lineRule="auto"/>
              <w:ind w:left="128"/>
              <w:rPr>
                <w:rFonts w:hint="default"/>
                <w:lang w:val="en-US" w:eastAsia="zh-CN"/>
              </w:rPr>
            </w:pPr>
            <w:r>
              <w:rPr>
                <w:rFonts w:hint="eastAsia"/>
                <w:lang w:val="en-US" w:eastAsia="zh-CN"/>
              </w:rPr>
              <w:t>副董事长 严虎</w:t>
            </w:r>
          </w:p>
          <w:p>
            <w:pPr>
              <w:pStyle w:val="7"/>
              <w:spacing w:before="120" w:line="220" w:lineRule="auto"/>
              <w:ind w:left="128"/>
              <w:rPr>
                <w:rFonts w:hint="eastAsia"/>
                <w:spacing w:val="-4"/>
                <w:lang w:eastAsia="zh-CN"/>
              </w:rPr>
            </w:pPr>
            <w:r>
              <w:rPr>
                <w:rFonts w:hint="eastAsia"/>
                <w:lang w:eastAsia="zh-CN"/>
              </w:rPr>
              <w:t>董事会秘书 严轲</w:t>
            </w:r>
          </w:p>
          <w:p>
            <w:pPr>
              <w:pStyle w:val="7"/>
              <w:spacing w:before="120" w:line="220" w:lineRule="auto"/>
              <w:ind w:left="128"/>
              <w:rPr>
                <w:rFonts w:hint="eastAsia"/>
                <w:spacing w:val="-4"/>
                <w:lang w:eastAsia="zh-CN"/>
              </w:rPr>
            </w:pPr>
            <w:r>
              <w:rPr>
                <w:rFonts w:hint="eastAsia"/>
                <w:spacing w:val="-4"/>
                <w:lang w:eastAsia="zh-CN"/>
              </w:rPr>
              <w:t>投资者关系经理 钟秋实</w:t>
            </w:r>
          </w:p>
          <w:p>
            <w:pPr>
              <w:pStyle w:val="7"/>
              <w:spacing w:before="120" w:line="220" w:lineRule="auto"/>
              <w:ind w:left="128"/>
              <w:rPr>
                <w:rFonts w:hint="eastAsia"/>
                <w:lang w:eastAsia="zh-CN"/>
              </w:rPr>
            </w:pPr>
            <w:r>
              <w:rPr>
                <w:rFonts w:hint="eastAsia"/>
                <w:spacing w:val="-4"/>
                <w:lang w:eastAsia="zh-CN"/>
              </w:rPr>
              <w:t>投资者关系经理 孙书恒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1112" w:type="pct"/>
            <w:vAlign w:val="center"/>
          </w:tcPr>
          <w:p>
            <w:pPr>
              <w:pStyle w:val="7"/>
              <w:spacing w:before="120" w:line="353" w:lineRule="auto"/>
              <w:ind w:left="118" w:right="109" w:firstLine="1"/>
              <w:jc w:val="both"/>
              <w:rPr>
                <w:rFonts w:hint="eastAsia"/>
                <w:lang w:eastAsia="zh-CN"/>
              </w:rPr>
            </w:pPr>
            <w:r>
              <w:rPr>
                <w:spacing w:val="27"/>
                <w:lang w:eastAsia="zh-CN"/>
              </w:rPr>
              <w:t>投资者关系活</w:t>
            </w:r>
            <w:r>
              <w:rPr>
                <w:spacing w:val="4"/>
                <w:lang w:eastAsia="zh-CN"/>
              </w:rPr>
              <w:t xml:space="preserve"> </w:t>
            </w:r>
            <w:r>
              <w:rPr>
                <w:spacing w:val="28"/>
                <w:lang w:eastAsia="zh-CN"/>
              </w:rPr>
              <w:t>动主要内容介</w:t>
            </w:r>
            <w:r>
              <w:rPr>
                <w:lang w:eastAsia="zh-CN"/>
              </w:rPr>
              <w:t xml:space="preserve"> 绍</w:t>
            </w:r>
          </w:p>
        </w:tc>
        <w:tc>
          <w:tcPr>
            <w:tcW w:w="3887" w:type="pct"/>
            <w:gridSpan w:val="2"/>
          </w:tcPr>
          <w:p>
            <w:pPr>
              <w:pStyle w:val="7"/>
              <w:spacing w:before="120" w:beforeLines="50" w:line="329" w:lineRule="auto"/>
              <w:ind w:left="618" w:right="108"/>
              <w:jc w:val="both"/>
              <w:rPr>
                <w:rFonts w:hint="default"/>
                <w:b/>
                <w:bCs/>
                <w:lang w:val="en-US" w:eastAsia="zh-CN"/>
              </w:rPr>
            </w:pPr>
            <w:r>
              <w:rPr>
                <w:rFonts w:hint="eastAsia"/>
                <w:b/>
                <w:bCs/>
                <w:lang w:eastAsia="zh-CN"/>
              </w:rPr>
              <w:t>1、</w:t>
            </w:r>
            <w:r>
              <w:rPr>
                <w:rFonts w:hint="eastAsia"/>
                <w:b/>
                <w:bCs/>
                <w:lang w:val="en-US" w:eastAsia="zh-CN"/>
              </w:rPr>
              <w:t>公司如何看待本次行业自律行动？</w:t>
            </w:r>
          </w:p>
          <w:p>
            <w:pPr>
              <w:pStyle w:val="7"/>
              <w:spacing w:before="120" w:line="329" w:lineRule="auto"/>
              <w:ind w:left="113" w:right="105" w:firstLine="503"/>
              <w:jc w:val="both"/>
              <w:rPr>
                <w:rFonts w:hint="eastAsia"/>
                <w:lang w:eastAsia="zh-CN"/>
              </w:rPr>
            </w:pPr>
            <w:r>
              <w:rPr>
                <w:rFonts w:hint="eastAsia"/>
                <w:lang w:eastAsia="zh-CN"/>
              </w:rPr>
              <w:t>答：</w:t>
            </w:r>
            <w:r>
              <w:rPr>
                <w:rFonts w:hint="default"/>
                <w:lang w:val="en-US" w:eastAsia="zh-CN"/>
              </w:rPr>
              <w:t>本次行业各环节的自律</w:t>
            </w:r>
            <w:r>
              <w:rPr>
                <w:rFonts w:hint="eastAsia"/>
                <w:lang w:val="en-US" w:eastAsia="zh-CN"/>
              </w:rPr>
              <w:t>行动</w:t>
            </w:r>
            <w:r>
              <w:rPr>
                <w:rFonts w:hint="default"/>
                <w:lang w:val="en-US" w:eastAsia="zh-CN"/>
              </w:rPr>
              <w:t>有效贯彻了中共中央政治局会议“要强化行业自律，防止‘内卷式’恶性竞争”的要求，对保障产品交付质量，促进中国光伏行业高质量可持续发展起到了积极作用。公司也将响应号召，发挥龙头企业担当，继续为全球客户提供更绿色、更高效、更可靠的光伏产品。</w:t>
            </w:r>
          </w:p>
          <w:p>
            <w:pPr>
              <w:pStyle w:val="7"/>
              <w:numPr>
                <w:ilvl w:val="0"/>
                <w:numId w:val="2"/>
              </w:numPr>
              <w:spacing w:before="120" w:beforeLines="50" w:line="329" w:lineRule="auto"/>
              <w:ind w:left="113" w:right="108" w:firstLine="505"/>
              <w:jc w:val="both"/>
              <w:rPr>
                <w:rFonts w:hint="eastAsia"/>
                <w:b/>
                <w:bCs/>
                <w:lang w:eastAsia="zh-CN"/>
              </w:rPr>
            </w:pPr>
            <w:r>
              <w:rPr>
                <w:rFonts w:hint="eastAsia"/>
                <w:b/>
                <w:bCs/>
                <w:lang w:eastAsia="zh-CN"/>
              </w:rPr>
              <w:t>请问</w:t>
            </w:r>
            <w:r>
              <w:rPr>
                <w:rFonts w:hint="eastAsia"/>
                <w:b/>
                <w:bCs/>
                <w:lang w:val="en-US" w:eastAsia="zh-CN"/>
              </w:rPr>
              <w:t>公司本次多晶硅减产检修涉及的产能有多少？以及后续恢复开工的时间？</w:t>
            </w:r>
          </w:p>
          <w:p>
            <w:pPr>
              <w:pStyle w:val="7"/>
              <w:spacing w:before="120" w:line="329" w:lineRule="auto"/>
              <w:ind w:left="113" w:right="105" w:firstLine="503"/>
              <w:jc w:val="both"/>
              <w:rPr>
                <w:rFonts w:hint="eastAsia"/>
                <w:lang w:eastAsia="zh-CN"/>
              </w:rPr>
            </w:pPr>
            <w:r>
              <w:rPr>
                <w:rFonts w:hint="eastAsia"/>
                <w:lang w:val="en-US" w:eastAsia="zh-CN"/>
              </w:rPr>
              <w:t>答：当前，受西南地区冬季进入枯水期，电力价格环比提升影响，考虑光伏产业总体行情持续处于底部调整阶段，公司旗下永祥股份积极响应中央经济工作会议精神，致力破除“内卷式”竞争，促进光伏产业长期健康发展，逐步安排永祥股份下属云南通威高纯晶硅有限公司、四川永祥多晶硅有限公司、四川永祥新能源有限公司、四川永祥能源科技有限公司4家高纯晶硅生产公司，根据公司总体生产经营计划进行技改及检修工作，阶段性有序减产控产。后续具体复产安排将根据项目地电力价格变化以及市场行情统筹规划。</w:t>
            </w:r>
          </w:p>
          <w:p>
            <w:pPr>
              <w:pStyle w:val="7"/>
              <w:numPr>
                <w:ilvl w:val="0"/>
                <w:numId w:val="2"/>
              </w:numPr>
              <w:spacing w:before="120" w:beforeLines="50" w:line="329" w:lineRule="auto"/>
              <w:ind w:left="113" w:right="108" w:firstLine="505"/>
              <w:jc w:val="both"/>
              <w:rPr>
                <w:rFonts w:hint="eastAsia"/>
                <w:b/>
                <w:bCs/>
                <w:lang w:eastAsia="zh-CN"/>
              </w:rPr>
            </w:pPr>
            <w:r>
              <w:rPr>
                <w:rFonts w:hint="eastAsia"/>
                <w:b/>
                <w:bCs/>
                <w:lang w:val="en-US" w:eastAsia="zh-CN"/>
              </w:rPr>
              <w:t>多晶硅期货上市后，公司是否参与多晶硅期货交易，会有什么策略？</w:t>
            </w:r>
          </w:p>
          <w:p>
            <w:pPr>
              <w:pStyle w:val="7"/>
              <w:spacing w:before="120" w:line="329" w:lineRule="auto"/>
              <w:ind w:left="113" w:right="105" w:firstLine="480" w:firstLineChars="200"/>
              <w:jc w:val="both"/>
              <w:rPr>
                <w:rFonts w:hint="default"/>
                <w:lang w:val="en-US" w:eastAsia="zh-CN"/>
              </w:rPr>
            </w:pPr>
            <w:r>
              <w:rPr>
                <w:rFonts w:hint="eastAsia"/>
                <w:lang w:eastAsia="zh-CN"/>
              </w:rPr>
              <w:t>答：</w:t>
            </w:r>
            <w:r>
              <w:rPr>
                <w:rFonts w:hint="eastAsia"/>
                <w:lang w:val="en-US" w:eastAsia="zh-CN"/>
              </w:rPr>
              <w:t>多晶硅是公司生产经营主要的产出品之一。公司将以规避产成品价格波动风险为目的，组织专业团队，严格按照董事会授权适时、合规开展多晶硅套期保值业务，并根据现货产销合理调整期货头寸。</w:t>
            </w:r>
          </w:p>
          <w:p>
            <w:pPr>
              <w:pStyle w:val="7"/>
              <w:numPr>
                <w:ilvl w:val="0"/>
                <w:numId w:val="2"/>
              </w:numPr>
              <w:spacing w:before="120" w:beforeLines="50" w:line="329" w:lineRule="auto"/>
              <w:ind w:left="113" w:right="108" w:firstLine="505"/>
              <w:jc w:val="both"/>
              <w:rPr>
                <w:rFonts w:hint="eastAsia"/>
                <w:b/>
                <w:bCs/>
                <w:lang w:val="en-US" w:eastAsia="zh-CN"/>
              </w:rPr>
            </w:pPr>
            <w:r>
              <w:rPr>
                <w:rFonts w:hint="eastAsia"/>
                <w:b/>
                <w:bCs/>
                <w:lang w:val="en-US" w:eastAsia="zh-CN"/>
              </w:rPr>
              <w:t>多晶硅期货的基准交割品应该对应硅业分会哪个产品的报价？期货是含税价格吗？</w:t>
            </w:r>
          </w:p>
          <w:p>
            <w:pPr>
              <w:pStyle w:val="7"/>
              <w:spacing w:before="120" w:line="329" w:lineRule="auto"/>
              <w:ind w:left="113" w:right="105" w:firstLine="480" w:firstLineChars="200"/>
              <w:jc w:val="both"/>
              <w:rPr>
                <w:rFonts w:hint="eastAsia"/>
                <w:lang w:eastAsia="zh-CN"/>
              </w:rPr>
            </w:pPr>
            <w:r>
              <w:rPr>
                <w:rFonts w:hint="eastAsia"/>
                <w:lang w:eastAsia="zh-CN"/>
              </w:rPr>
              <w:t>答：</w:t>
            </w:r>
            <w:r>
              <w:rPr>
                <w:rFonts w:hint="eastAsia"/>
                <w:lang w:val="en-US" w:eastAsia="zh-CN"/>
              </w:rPr>
              <w:t>多晶硅期货基准交割品为N型复投料，其杂质含量、尺寸和表面质量可具体参考广期所的交割标准。价格方面，可参考硅业分会N型复投料的报价；多晶硅期货与现货价格均为含税价格。</w:t>
            </w:r>
          </w:p>
          <w:p>
            <w:pPr>
              <w:pStyle w:val="7"/>
              <w:numPr>
                <w:ilvl w:val="0"/>
                <w:numId w:val="2"/>
              </w:numPr>
              <w:spacing w:before="120" w:beforeLines="50" w:line="329" w:lineRule="auto"/>
              <w:ind w:left="113" w:right="108" w:firstLine="505"/>
              <w:jc w:val="both"/>
              <w:rPr>
                <w:rFonts w:hint="default"/>
                <w:b/>
                <w:bCs/>
                <w:lang w:val="en-US" w:eastAsia="zh-CN"/>
              </w:rPr>
            </w:pPr>
            <w:r>
              <w:rPr>
                <w:rFonts w:hint="eastAsia"/>
                <w:b/>
                <w:bCs/>
                <w:lang w:val="en-US" w:eastAsia="zh-CN"/>
              </w:rPr>
              <w:t>公司电池环节预计在年底有多少库存？</w:t>
            </w:r>
          </w:p>
          <w:p>
            <w:pPr>
              <w:pStyle w:val="7"/>
              <w:spacing w:before="120" w:line="329" w:lineRule="auto"/>
              <w:ind w:left="113" w:right="105" w:firstLine="480" w:firstLineChars="200"/>
              <w:jc w:val="both"/>
              <w:rPr>
                <w:rFonts w:hint="default"/>
                <w:lang w:val="en-US" w:eastAsia="zh-CN"/>
              </w:rPr>
            </w:pPr>
            <w:r>
              <w:rPr>
                <w:rFonts w:hint="eastAsia"/>
                <w:lang w:val="en-US" w:eastAsia="zh-CN"/>
              </w:rPr>
              <w:t>答：12月末，公司电池环节</w:t>
            </w:r>
            <w:bookmarkStart w:id="0" w:name="_GoBack"/>
            <w:bookmarkEnd w:id="0"/>
            <w:r>
              <w:rPr>
                <w:rFonts w:hint="eastAsia"/>
                <w:lang w:val="en-US" w:eastAsia="zh-CN"/>
              </w:rPr>
              <w:t>保持较低库存水位。</w:t>
            </w:r>
          </w:p>
          <w:p>
            <w:pPr>
              <w:pStyle w:val="7"/>
              <w:numPr>
                <w:ilvl w:val="0"/>
                <w:numId w:val="2"/>
              </w:numPr>
              <w:spacing w:before="120" w:beforeLines="50" w:line="329" w:lineRule="auto"/>
              <w:ind w:left="113" w:right="108" w:firstLine="505"/>
              <w:jc w:val="both"/>
              <w:rPr>
                <w:rFonts w:hint="default"/>
                <w:b/>
                <w:bCs/>
                <w:lang w:val="en-US" w:eastAsia="zh-CN"/>
              </w:rPr>
            </w:pPr>
            <w:r>
              <w:rPr>
                <w:rFonts w:hint="eastAsia"/>
                <w:b/>
                <w:bCs/>
                <w:lang w:val="en-US" w:eastAsia="zh-CN"/>
              </w:rPr>
              <w:t>公司是否有测试铜浆技术，如何看待该技术发展前景？</w:t>
            </w:r>
          </w:p>
          <w:p>
            <w:pPr>
              <w:pStyle w:val="7"/>
              <w:spacing w:before="120" w:line="329" w:lineRule="auto"/>
              <w:ind w:left="113" w:right="105" w:firstLine="480" w:firstLineChars="200"/>
              <w:jc w:val="both"/>
              <w:rPr>
                <w:rFonts w:hint="default"/>
                <w:lang w:val="en-US" w:eastAsia="zh-CN"/>
              </w:rPr>
            </w:pPr>
            <w:r>
              <w:rPr>
                <w:rFonts w:hint="eastAsia"/>
                <w:lang w:val="en-US" w:eastAsia="zh-CN"/>
              </w:rPr>
              <w:t>答：公司目前正在开展铜浆在TNC和THC电池上的应用测试。长远来看，晶硅电池金属化成本下降是大势所趋，除铜浆技术外，公司也在积极推动叠栅、铜互连等技术的量产导入，并将持续围绕技术可行性、产品可靠性和经济性等维度对各项金属化新技术进行动态评估。</w:t>
            </w:r>
          </w:p>
          <w:p>
            <w:pPr>
              <w:pStyle w:val="7"/>
              <w:numPr>
                <w:ilvl w:val="0"/>
                <w:numId w:val="2"/>
              </w:numPr>
              <w:spacing w:before="120" w:beforeLines="50" w:line="329" w:lineRule="auto"/>
              <w:ind w:left="113" w:right="108" w:firstLine="505"/>
              <w:jc w:val="both"/>
              <w:rPr>
                <w:rFonts w:hint="eastAsia"/>
                <w:b/>
                <w:bCs/>
                <w:lang w:val="en-US" w:eastAsia="zh-CN"/>
              </w:rPr>
            </w:pPr>
            <w:r>
              <w:rPr>
                <w:rFonts w:hint="eastAsia"/>
                <w:b/>
                <w:bCs/>
                <w:lang w:val="en-US" w:eastAsia="zh-CN"/>
              </w:rPr>
              <w:t>关注到公司TOPCon产品研发功率再创新高，请问是导入了哪些新技术？</w:t>
            </w:r>
          </w:p>
          <w:p>
            <w:pPr>
              <w:pStyle w:val="7"/>
              <w:spacing w:before="120" w:line="329" w:lineRule="auto"/>
              <w:ind w:left="113" w:right="105" w:firstLine="480" w:firstLineChars="200"/>
              <w:jc w:val="both"/>
              <w:rPr>
                <w:rFonts w:hint="eastAsia"/>
                <w:spacing w:val="-2"/>
                <w:lang w:eastAsia="zh-CN"/>
              </w:rPr>
            </w:pPr>
            <w:r>
              <w:rPr>
                <w:rFonts w:hint="eastAsia"/>
                <w:lang w:val="en-US" w:eastAsia="zh-CN"/>
              </w:rPr>
              <w:t>答：本次公司G12-66版型TNC组件正面功率达到763.4W，G12R-66版型TNC组件正面功率达到663.5W，主要是依托了管式PECVD poly沉积、Poly finger、EPT钝化、细线化印刷等技术的持续创新，同时在组件光学、电学设计的适配上也进行了优化。</w:t>
            </w:r>
          </w:p>
          <w:p>
            <w:pPr>
              <w:pStyle w:val="7"/>
              <w:numPr>
                <w:ilvl w:val="0"/>
                <w:numId w:val="2"/>
              </w:numPr>
              <w:spacing w:before="120" w:beforeLines="50" w:line="329" w:lineRule="auto"/>
              <w:ind w:left="113" w:right="108" w:firstLine="505"/>
              <w:jc w:val="both"/>
              <w:rPr>
                <w:rFonts w:hint="default"/>
                <w:b/>
                <w:bCs/>
                <w:lang w:val="en-US" w:eastAsia="zh-CN"/>
              </w:rPr>
            </w:pPr>
            <w:r>
              <w:rPr>
                <w:rFonts w:hint="eastAsia"/>
                <w:b/>
                <w:bCs/>
                <w:lang w:val="en-US" w:eastAsia="zh-CN"/>
              </w:rPr>
              <w:t>美国东南亚双反调查是否会对公司组件海外业务造成影响？公司如何评判电池组件环节出海契机？</w:t>
            </w:r>
          </w:p>
          <w:p>
            <w:pPr>
              <w:pStyle w:val="7"/>
              <w:spacing w:before="120" w:line="329" w:lineRule="auto"/>
              <w:ind w:left="113" w:right="105" w:firstLine="480" w:firstLineChars="200"/>
              <w:jc w:val="both"/>
              <w:rPr>
                <w:rFonts w:hint="eastAsia"/>
                <w:lang w:eastAsia="zh-CN"/>
              </w:rPr>
            </w:pPr>
            <w:r>
              <w:rPr>
                <w:rFonts w:hint="eastAsia"/>
                <w:lang w:val="en-US" w:eastAsia="zh-CN"/>
              </w:rPr>
              <w:t>答：公司目前暂未在东南亚布局电池及组件产能，预计本次美国针对东南亚的双反调查不会对公司海外组件业务造成影响。当前，美国本土电池产能存在明显缺口，叠加本次东南亚双反税率初裁落地，海外供应链体系有望迎来新的竞争格局，公司也将结合海外政策、技术专利、投资成本等多方面因素，对海外产能布局保持积极研究。</w:t>
            </w:r>
          </w:p>
        </w:tc>
      </w:tr>
    </w:tbl>
    <w:p>
      <w:pPr>
        <w:spacing w:line="91" w:lineRule="auto"/>
        <w:rPr>
          <w:sz w:val="2"/>
          <w:lang w:eastAsia="zh-CN"/>
        </w:rPr>
      </w:pPr>
    </w:p>
    <w:sectPr>
      <w:pgSz w:w="11907" w:h="16839"/>
      <w:pgMar w:top="1431" w:right="1785" w:bottom="1429"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4541E"/>
    <w:multiLevelType w:val="singleLevel"/>
    <w:tmpl w:val="B184541E"/>
    <w:lvl w:ilvl="0" w:tentative="0">
      <w:start w:val="2"/>
      <w:numFmt w:val="decimal"/>
      <w:suff w:val="nothing"/>
      <w:lvlText w:val="%1、"/>
      <w:lvlJc w:val="left"/>
      <w:rPr>
        <w:b/>
        <w:bCs/>
      </w:rPr>
    </w:lvl>
  </w:abstractNum>
  <w:abstractNum w:abstractNumId="1">
    <w:nsid w:val="30EC01F0"/>
    <w:multiLevelType w:val="multilevel"/>
    <w:tmpl w:val="30EC01F0"/>
    <w:lvl w:ilvl="0" w:tentative="0">
      <w:start w:val="1"/>
      <w:numFmt w:val="decimal"/>
      <w:lvlText w:val="%1."/>
      <w:lvlJc w:val="left"/>
      <w:pPr>
        <w:ind w:left="496" w:hanging="360"/>
      </w:pPr>
      <w:rPr>
        <w:rFonts w:hint="default"/>
      </w:rPr>
    </w:lvl>
    <w:lvl w:ilvl="1" w:tentative="0">
      <w:start w:val="1"/>
      <w:numFmt w:val="lowerLetter"/>
      <w:lvlText w:val="%2)"/>
      <w:lvlJc w:val="left"/>
      <w:pPr>
        <w:ind w:left="1016" w:hanging="440"/>
      </w:pPr>
    </w:lvl>
    <w:lvl w:ilvl="2" w:tentative="0">
      <w:start w:val="1"/>
      <w:numFmt w:val="lowerRoman"/>
      <w:lvlText w:val="%3."/>
      <w:lvlJc w:val="right"/>
      <w:pPr>
        <w:ind w:left="1456" w:hanging="440"/>
      </w:pPr>
    </w:lvl>
    <w:lvl w:ilvl="3" w:tentative="0">
      <w:start w:val="1"/>
      <w:numFmt w:val="decimal"/>
      <w:lvlText w:val="%4."/>
      <w:lvlJc w:val="left"/>
      <w:pPr>
        <w:ind w:left="1896" w:hanging="440"/>
      </w:pPr>
    </w:lvl>
    <w:lvl w:ilvl="4" w:tentative="0">
      <w:start w:val="1"/>
      <w:numFmt w:val="lowerLetter"/>
      <w:lvlText w:val="%5)"/>
      <w:lvlJc w:val="left"/>
      <w:pPr>
        <w:ind w:left="2336" w:hanging="440"/>
      </w:pPr>
    </w:lvl>
    <w:lvl w:ilvl="5" w:tentative="0">
      <w:start w:val="1"/>
      <w:numFmt w:val="lowerRoman"/>
      <w:lvlText w:val="%6."/>
      <w:lvlJc w:val="right"/>
      <w:pPr>
        <w:ind w:left="2776" w:hanging="440"/>
      </w:pPr>
    </w:lvl>
    <w:lvl w:ilvl="6" w:tentative="0">
      <w:start w:val="1"/>
      <w:numFmt w:val="decimal"/>
      <w:lvlText w:val="%7."/>
      <w:lvlJc w:val="left"/>
      <w:pPr>
        <w:ind w:left="3216" w:hanging="440"/>
      </w:pPr>
    </w:lvl>
    <w:lvl w:ilvl="7" w:tentative="0">
      <w:start w:val="1"/>
      <w:numFmt w:val="lowerLetter"/>
      <w:lvlText w:val="%8)"/>
      <w:lvlJc w:val="left"/>
      <w:pPr>
        <w:ind w:left="3656" w:hanging="440"/>
      </w:pPr>
    </w:lvl>
    <w:lvl w:ilvl="8" w:tentative="0">
      <w:start w:val="1"/>
      <w:numFmt w:val="lowerRoman"/>
      <w:lvlText w:val="%9."/>
      <w:lvlJc w:val="right"/>
      <w:pPr>
        <w:ind w:left="4096"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0ZGJhNzlkMDMzZjE2ZWYzNjNkNTY0NGM4NDU5NTkifQ=="/>
  </w:docVars>
  <w:rsids>
    <w:rsidRoot w:val="00172A27"/>
    <w:rsid w:val="00132B6D"/>
    <w:rsid w:val="00172A27"/>
    <w:rsid w:val="002576A1"/>
    <w:rsid w:val="00331F12"/>
    <w:rsid w:val="003A6CFD"/>
    <w:rsid w:val="00400D62"/>
    <w:rsid w:val="00596886"/>
    <w:rsid w:val="00683645"/>
    <w:rsid w:val="006E7F37"/>
    <w:rsid w:val="00771B31"/>
    <w:rsid w:val="0078453B"/>
    <w:rsid w:val="007F42C5"/>
    <w:rsid w:val="008403A8"/>
    <w:rsid w:val="008A76DD"/>
    <w:rsid w:val="008E70A9"/>
    <w:rsid w:val="0091362C"/>
    <w:rsid w:val="009535AB"/>
    <w:rsid w:val="009F4741"/>
    <w:rsid w:val="00A9039C"/>
    <w:rsid w:val="00AB4538"/>
    <w:rsid w:val="00B13C7A"/>
    <w:rsid w:val="00B93ECE"/>
    <w:rsid w:val="00C13080"/>
    <w:rsid w:val="00C317EF"/>
    <w:rsid w:val="00C429A0"/>
    <w:rsid w:val="00C508A0"/>
    <w:rsid w:val="00CE140A"/>
    <w:rsid w:val="00CE4236"/>
    <w:rsid w:val="00E051F7"/>
    <w:rsid w:val="00E20F93"/>
    <w:rsid w:val="00EE2C33"/>
    <w:rsid w:val="00F44F20"/>
    <w:rsid w:val="00F72996"/>
    <w:rsid w:val="00F979D6"/>
    <w:rsid w:val="05DC161E"/>
    <w:rsid w:val="080C431F"/>
    <w:rsid w:val="084C21FB"/>
    <w:rsid w:val="0B225DFB"/>
    <w:rsid w:val="128B2CED"/>
    <w:rsid w:val="12C63575"/>
    <w:rsid w:val="136C6BDF"/>
    <w:rsid w:val="180327A7"/>
    <w:rsid w:val="18B01199"/>
    <w:rsid w:val="21AA5206"/>
    <w:rsid w:val="25397C3C"/>
    <w:rsid w:val="25D063A7"/>
    <w:rsid w:val="270859F3"/>
    <w:rsid w:val="27DD3A7C"/>
    <w:rsid w:val="28F705B3"/>
    <w:rsid w:val="294871F6"/>
    <w:rsid w:val="2A1808F5"/>
    <w:rsid w:val="2CFA073B"/>
    <w:rsid w:val="2F8741E0"/>
    <w:rsid w:val="300F4032"/>
    <w:rsid w:val="3054695C"/>
    <w:rsid w:val="32572810"/>
    <w:rsid w:val="3603788C"/>
    <w:rsid w:val="37965BD5"/>
    <w:rsid w:val="38AE4472"/>
    <w:rsid w:val="3B507E5D"/>
    <w:rsid w:val="3B77553C"/>
    <w:rsid w:val="3DEE79DD"/>
    <w:rsid w:val="41647664"/>
    <w:rsid w:val="43AF21D5"/>
    <w:rsid w:val="46585F54"/>
    <w:rsid w:val="4B87668E"/>
    <w:rsid w:val="533945E1"/>
    <w:rsid w:val="54B36524"/>
    <w:rsid w:val="54CA6DEF"/>
    <w:rsid w:val="55401139"/>
    <w:rsid w:val="56730E64"/>
    <w:rsid w:val="587E2868"/>
    <w:rsid w:val="589624C5"/>
    <w:rsid w:val="592811CD"/>
    <w:rsid w:val="5F753FA5"/>
    <w:rsid w:val="62B81089"/>
    <w:rsid w:val="63525FE4"/>
    <w:rsid w:val="65D75D9B"/>
    <w:rsid w:val="66522FDF"/>
    <w:rsid w:val="6B7878AD"/>
    <w:rsid w:val="6CF97C65"/>
    <w:rsid w:val="6D363C39"/>
    <w:rsid w:val="6DD16EDF"/>
    <w:rsid w:val="73013807"/>
    <w:rsid w:val="79CB43E5"/>
    <w:rsid w:val="7CD05C51"/>
    <w:rsid w:val="7CFA40F4"/>
    <w:rsid w:val="7E800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pPr>
    <w:rPr>
      <w:sz w:val="18"/>
      <w:szCs w:val="18"/>
    </w:rPr>
  </w:style>
  <w:style w:type="paragraph" w:styleId="3">
    <w:name w:val="header"/>
    <w:basedOn w:val="1"/>
    <w:link w:val="8"/>
    <w:autoRedefine/>
    <w:unhideWhenUsed/>
    <w:qFormat/>
    <w:uiPriority w:val="99"/>
    <w:pPr>
      <w:tabs>
        <w:tab w:val="center" w:pos="4153"/>
        <w:tab w:val="right" w:pos="8306"/>
      </w:tabs>
      <w:jc w:val="center"/>
    </w:pPr>
    <w:rPr>
      <w:sz w:val="18"/>
      <w:szCs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4"/>
      <w:szCs w:val="24"/>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425</Words>
  <Characters>2425</Characters>
  <Lines>20</Lines>
  <Paragraphs>5</Paragraphs>
  <TotalTime>318</TotalTime>
  <ScaleCrop>false</ScaleCrop>
  <LinksUpToDate>false</LinksUpToDate>
  <CharactersWithSpaces>2845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2022-05-06T15:20:00Z</dcterms:created>
  <dc:creator>毋晓妮</dc:creator>
  <cp:lastModifiedBy>钟秋实</cp:lastModifiedBy>
  <cp:lastPrinted>2025-01-03T01:46:14Z</cp:lastPrinted>
  <dcterms:modified xsi:type="dcterms:W3CDTF">2025-01-03T05:19:07Z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2024-05-03T16:40:34Z</vt:filetime>
  </property>
  <property fmtid="{D5CDD505-2E9C-101B-9397-08002B2CF9AE}" pid="4" name="KSOProductBuildVer">
    <vt:lpwstr>2052-12.1.0.16729</vt:lpwstr>
  </property>
  <property fmtid="{D5CDD505-2E9C-101B-9397-08002B2CF9AE}" pid="5" name="ICV">
    <vt:lpwstr>837C9A23E235450A987DA277D393BA79_13</vt:lpwstr>
  </property>
</Properties>
</file>