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26C2" w14:textId="77777777" w:rsidR="00186984" w:rsidRPr="00186984" w:rsidRDefault="00186984" w:rsidP="00186984">
      <w:pPr>
        <w:spacing w:line="360" w:lineRule="auto"/>
        <w:rPr>
          <w:rFonts w:ascii="宋体" w:hAnsi="宋体" w:cs="Times New Roman"/>
          <w:sz w:val="24"/>
          <w:szCs w:val="24"/>
        </w:rPr>
      </w:pPr>
      <w:r w:rsidRPr="00186984">
        <w:rPr>
          <w:rFonts w:ascii="宋体" w:hAnsi="宋体" w:cs="Times New Roman" w:hint="eastAsia"/>
          <w:sz w:val="24"/>
          <w:szCs w:val="24"/>
        </w:rPr>
        <w:t>证券代码：688179                                   证券简称：阿拉丁</w:t>
      </w:r>
    </w:p>
    <w:p w14:paraId="2704B4B3" w14:textId="77777777" w:rsidR="00186984" w:rsidRPr="00186984" w:rsidRDefault="00186984" w:rsidP="00186984">
      <w:pPr>
        <w:spacing w:line="360" w:lineRule="auto"/>
        <w:rPr>
          <w:rFonts w:ascii="宋体" w:hAnsi="宋体" w:cs="Times New Roman"/>
          <w:sz w:val="24"/>
          <w:szCs w:val="24"/>
        </w:rPr>
      </w:pPr>
      <w:r w:rsidRPr="00186984">
        <w:rPr>
          <w:rFonts w:asciiTheme="minorEastAsia" w:hAnsiTheme="minorEastAsia" w:hint="eastAsia"/>
          <w:sz w:val="24"/>
        </w:rPr>
        <w:t>转债</w:t>
      </w:r>
      <w:r w:rsidRPr="00186984">
        <w:rPr>
          <w:rFonts w:asciiTheme="minorEastAsia" w:hAnsiTheme="minorEastAsia"/>
          <w:sz w:val="24"/>
        </w:rPr>
        <w:t>代码：</w:t>
      </w:r>
      <w:r w:rsidRPr="00186984">
        <w:rPr>
          <w:rFonts w:asciiTheme="minorEastAsia" w:hAnsiTheme="minorEastAsia" w:hint="eastAsia"/>
          <w:sz w:val="24"/>
        </w:rPr>
        <w:t xml:space="preserve">118006 </w:t>
      </w:r>
      <w:r w:rsidRPr="00186984">
        <w:rPr>
          <w:rFonts w:asciiTheme="minorEastAsia" w:hAnsiTheme="minorEastAsia"/>
          <w:sz w:val="24"/>
        </w:rPr>
        <w:t xml:space="preserve">                                  </w:t>
      </w:r>
      <w:r w:rsidRPr="00186984">
        <w:rPr>
          <w:rFonts w:asciiTheme="minorEastAsia" w:hAnsiTheme="minorEastAsia" w:hint="eastAsia"/>
          <w:sz w:val="24"/>
        </w:rPr>
        <w:t>转债简称</w:t>
      </w:r>
      <w:r w:rsidRPr="00186984">
        <w:rPr>
          <w:rFonts w:asciiTheme="minorEastAsia" w:hAnsiTheme="minorEastAsia"/>
          <w:sz w:val="24"/>
        </w:rPr>
        <w:t>：阿拉</w:t>
      </w:r>
      <w:r w:rsidRPr="00186984">
        <w:rPr>
          <w:rFonts w:asciiTheme="minorEastAsia" w:hAnsiTheme="minorEastAsia" w:hint="eastAsia"/>
          <w:sz w:val="24"/>
        </w:rPr>
        <w:t>转债</w:t>
      </w:r>
    </w:p>
    <w:p w14:paraId="7A94F0CB" w14:textId="77777777" w:rsidR="00186984" w:rsidRPr="00186984" w:rsidRDefault="00186984" w:rsidP="00186984">
      <w:pPr>
        <w:spacing w:line="360" w:lineRule="auto"/>
        <w:rPr>
          <w:rFonts w:ascii="宋体" w:hAnsi="宋体" w:cs="Times New Roman"/>
          <w:sz w:val="24"/>
          <w:szCs w:val="24"/>
        </w:rPr>
      </w:pPr>
    </w:p>
    <w:p w14:paraId="3EE69DAC" w14:textId="77777777" w:rsidR="00186984" w:rsidRPr="00186984" w:rsidRDefault="00186984" w:rsidP="00186984">
      <w:pPr>
        <w:adjustRightInd w:val="0"/>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上海阿拉丁生化科技股份有限公司</w:t>
      </w:r>
    </w:p>
    <w:p w14:paraId="303BA820" w14:textId="77777777" w:rsidR="00186984" w:rsidRPr="00186984" w:rsidRDefault="00186984" w:rsidP="00186984">
      <w:pPr>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接待投资者调研活动记录</w:t>
      </w:r>
    </w:p>
    <w:p w14:paraId="7BADA8E4" w14:textId="77777777" w:rsidR="00186984" w:rsidRPr="00186984" w:rsidRDefault="00186984" w:rsidP="00186984">
      <w:pPr>
        <w:spacing w:line="360" w:lineRule="auto"/>
        <w:rPr>
          <w:rFonts w:ascii="宋体" w:hAnsi="宋体" w:cs="Times New Roman"/>
          <w:b/>
          <w:sz w:val="24"/>
          <w:szCs w:val="24"/>
        </w:rPr>
      </w:pPr>
    </w:p>
    <w:p w14:paraId="503527CA" w14:textId="77777777" w:rsidR="00186984" w:rsidRPr="00186984" w:rsidRDefault="00186984" w:rsidP="00186984">
      <w:pPr>
        <w:spacing w:line="360" w:lineRule="auto"/>
        <w:rPr>
          <w:rFonts w:ascii="宋体" w:hAnsi="宋体" w:cs="Times New Roman"/>
          <w:b/>
          <w:sz w:val="24"/>
          <w:szCs w:val="24"/>
        </w:rPr>
      </w:pPr>
      <w:r w:rsidRPr="00186984">
        <w:rPr>
          <w:rFonts w:ascii="宋体" w:hAnsi="宋体" w:cs="Times New Roman"/>
          <w:b/>
          <w:sz w:val="24"/>
          <w:szCs w:val="24"/>
        </w:rPr>
        <w:t>一、机构调研情况</w:t>
      </w:r>
    </w:p>
    <w:p w14:paraId="22445F0E" w14:textId="457808F0" w:rsidR="00186984" w:rsidRP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调研时间</w:t>
      </w:r>
      <w:r w:rsidRPr="00186984">
        <w:rPr>
          <w:rFonts w:ascii="宋体" w:hAnsi="宋体" w:cs="Times New Roman"/>
          <w:sz w:val="24"/>
          <w:szCs w:val="24"/>
        </w:rPr>
        <w:t>：20</w:t>
      </w:r>
      <w:r w:rsidR="0091040E">
        <w:rPr>
          <w:rFonts w:ascii="宋体" w:hAnsi="宋体" w:cs="Times New Roman"/>
          <w:sz w:val="24"/>
          <w:szCs w:val="24"/>
        </w:rPr>
        <w:t>2</w:t>
      </w:r>
      <w:r w:rsidR="00EA4537">
        <w:rPr>
          <w:rFonts w:ascii="宋体" w:hAnsi="宋体" w:cs="Times New Roman"/>
          <w:sz w:val="24"/>
          <w:szCs w:val="24"/>
        </w:rPr>
        <w:t>5</w:t>
      </w:r>
      <w:r w:rsidRPr="00186984">
        <w:rPr>
          <w:rFonts w:ascii="宋体" w:hAnsi="宋体" w:cs="Times New Roman"/>
          <w:sz w:val="24"/>
          <w:szCs w:val="24"/>
        </w:rPr>
        <w:t>年</w:t>
      </w:r>
      <w:r w:rsidR="00EF3FBC">
        <w:rPr>
          <w:rFonts w:ascii="宋体" w:hAnsi="宋体" w:cs="Times New Roman"/>
          <w:sz w:val="24"/>
          <w:szCs w:val="24"/>
        </w:rPr>
        <w:t>1</w:t>
      </w:r>
      <w:r w:rsidR="00F87C26">
        <w:rPr>
          <w:rFonts w:ascii="宋体" w:hAnsi="宋体" w:cs="Times New Roman" w:hint="eastAsia"/>
          <w:sz w:val="24"/>
          <w:szCs w:val="24"/>
        </w:rPr>
        <w:t>月</w:t>
      </w:r>
      <w:r w:rsidR="008C408B">
        <w:rPr>
          <w:rFonts w:ascii="宋体" w:hAnsi="宋体" w:cs="Times New Roman"/>
          <w:sz w:val="24"/>
          <w:szCs w:val="24"/>
        </w:rPr>
        <w:t>14</w:t>
      </w:r>
      <w:r w:rsidR="00610B5B" w:rsidRPr="00610B5B">
        <w:rPr>
          <w:rFonts w:ascii="宋体" w:hAnsi="宋体" w:cs="Times New Roman" w:hint="eastAsia"/>
          <w:sz w:val="24"/>
          <w:szCs w:val="24"/>
        </w:rPr>
        <w:t>日</w:t>
      </w:r>
      <w:r w:rsidR="00EA4537">
        <w:rPr>
          <w:rFonts w:ascii="宋体" w:hAnsi="宋体" w:cs="Times New Roman" w:hint="eastAsia"/>
          <w:sz w:val="24"/>
          <w:szCs w:val="24"/>
        </w:rPr>
        <w:t>、2</w:t>
      </w:r>
      <w:r w:rsidR="00EA4537">
        <w:rPr>
          <w:rFonts w:ascii="宋体" w:hAnsi="宋体" w:cs="Times New Roman"/>
          <w:sz w:val="24"/>
          <w:szCs w:val="24"/>
        </w:rPr>
        <w:t>025</w:t>
      </w:r>
      <w:r w:rsidR="00EA4537">
        <w:rPr>
          <w:rFonts w:ascii="宋体" w:hAnsi="宋体" w:cs="Times New Roman" w:hint="eastAsia"/>
          <w:sz w:val="24"/>
          <w:szCs w:val="24"/>
        </w:rPr>
        <w:t>年1月</w:t>
      </w:r>
      <w:r w:rsidR="008C408B">
        <w:rPr>
          <w:rFonts w:ascii="宋体" w:hAnsi="宋体" w:cs="Times New Roman"/>
          <w:sz w:val="24"/>
          <w:szCs w:val="24"/>
        </w:rPr>
        <w:t>15</w:t>
      </w:r>
      <w:r w:rsidR="00EA4537">
        <w:rPr>
          <w:rFonts w:ascii="宋体" w:hAnsi="宋体" w:cs="Times New Roman" w:hint="eastAsia"/>
          <w:sz w:val="24"/>
          <w:szCs w:val="24"/>
        </w:rPr>
        <w:t>日</w:t>
      </w:r>
    </w:p>
    <w:p w14:paraId="33FF5A6D" w14:textId="1DEC788C" w:rsid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调研形式</w:t>
      </w:r>
      <w:r w:rsidRPr="00186984">
        <w:rPr>
          <w:rFonts w:ascii="宋体" w:hAnsi="宋体" w:cs="Times New Roman"/>
          <w:sz w:val="24"/>
          <w:szCs w:val="24"/>
        </w:rPr>
        <w:t>：</w:t>
      </w:r>
      <w:r w:rsidR="00EF3FBC">
        <w:rPr>
          <w:rFonts w:ascii="宋体" w:hAnsi="宋体" w:cs="Times New Roman" w:hint="eastAsia"/>
          <w:sz w:val="24"/>
          <w:szCs w:val="24"/>
        </w:rPr>
        <w:t>现场</w:t>
      </w:r>
      <w:r w:rsidR="00E7491E">
        <w:rPr>
          <w:rFonts w:ascii="宋体" w:hAnsi="宋体" w:cs="Times New Roman" w:hint="eastAsia"/>
          <w:sz w:val="24"/>
          <w:szCs w:val="24"/>
        </w:rPr>
        <w:t>交流</w:t>
      </w:r>
      <w:r w:rsidR="008C408B">
        <w:rPr>
          <w:rFonts w:ascii="宋体" w:hAnsi="宋体" w:cs="Times New Roman" w:hint="eastAsia"/>
          <w:sz w:val="24"/>
          <w:szCs w:val="24"/>
        </w:rPr>
        <w:t>、线上交流</w:t>
      </w:r>
    </w:p>
    <w:p w14:paraId="663CE63B" w14:textId="77777777" w:rsidR="00186984" w:rsidRPr="00186984" w:rsidRDefault="00186984" w:rsidP="00186984">
      <w:pPr>
        <w:spacing w:line="360" w:lineRule="auto"/>
      </w:pPr>
      <w:r w:rsidRPr="00186984">
        <w:rPr>
          <w:rFonts w:ascii="宋体" w:hAnsi="宋体" w:cs="宋体" w:hint="eastAsia"/>
          <w:b/>
          <w:bCs/>
          <w:kern w:val="0"/>
          <w:sz w:val="24"/>
          <w:szCs w:val="24"/>
        </w:rPr>
        <w:t>参与交流来访的机构投资者：</w:t>
      </w:r>
    </w:p>
    <w:p w14:paraId="02BFECB2" w14:textId="3521D835" w:rsidR="00AE630F" w:rsidRPr="00AE630F" w:rsidRDefault="008C408B" w:rsidP="00AE630F">
      <w:pPr>
        <w:spacing w:line="360" w:lineRule="auto"/>
        <w:rPr>
          <w:rFonts w:ascii="宋体" w:hAnsi="宋体" w:cs="Times New Roman"/>
          <w:sz w:val="24"/>
          <w:szCs w:val="24"/>
        </w:rPr>
      </w:pPr>
      <w:r w:rsidRPr="008C408B">
        <w:rPr>
          <w:rFonts w:ascii="宋体" w:hAnsi="宋体" w:cs="Times New Roman" w:hint="eastAsia"/>
          <w:sz w:val="24"/>
          <w:szCs w:val="24"/>
        </w:rPr>
        <w:t>东吴证券</w:t>
      </w:r>
      <w:r>
        <w:rPr>
          <w:rFonts w:ascii="宋体" w:hAnsi="宋体" w:cs="Times New Roman" w:hint="eastAsia"/>
          <w:sz w:val="24"/>
          <w:szCs w:val="24"/>
        </w:rPr>
        <w:t>、</w:t>
      </w:r>
      <w:r w:rsidRPr="008C408B">
        <w:rPr>
          <w:rFonts w:ascii="宋体" w:hAnsi="宋体" w:cs="Times New Roman" w:hint="eastAsia"/>
          <w:sz w:val="24"/>
          <w:szCs w:val="24"/>
        </w:rPr>
        <w:t>永赢基金</w:t>
      </w:r>
      <w:r>
        <w:rPr>
          <w:rFonts w:ascii="宋体" w:hAnsi="宋体" w:cs="Times New Roman" w:hint="eastAsia"/>
          <w:sz w:val="24"/>
          <w:szCs w:val="24"/>
        </w:rPr>
        <w:t>、</w:t>
      </w:r>
      <w:r w:rsidRPr="008C408B">
        <w:rPr>
          <w:rFonts w:ascii="宋体" w:hAnsi="宋体" w:cs="Times New Roman" w:hint="eastAsia"/>
          <w:sz w:val="24"/>
          <w:szCs w:val="24"/>
        </w:rPr>
        <w:t>华安基金</w:t>
      </w:r>
      <w:r>
        <w:rPr>
          <w:rFonts w:ascii="宋体" w:hAnsi="宋体" w:cs="Times New Roman" w:hint="eastAsia"/>
          <w:sz w:val="24"/>
          <w:szCs w:val="24"/>
        </w:rPr>
        <w:t>、</w:t>
      </w:r>
      <w:r w:rsidRPr="008C408B">
        <w:rPr>
          <w:rFonts w:ascii="宋体" w:hAnsi="宋体" w:cs="Times New Roman" w:hint="eastAsia"/>
          <w:sz w:val="24"/>
          <w:szCs w:val="24"/>
        </w:rPr>
        <w:t>华创证券</w:t>
      </w:r>
      <w:r>
        <w:rPr>
          <w:rFonts w:ascii="宋体" w:hAnsi="宋体" w:cs="Times New Roman" w:hint="eastAsia"/>
          <w:sz w:val="24"/>
          <w:szCs w:val="24"/>
        </w:rPr>
        <w:t>、</w:t>
      </w:r>
      <w:r w:rsidRPr="008C408B">
        <w:rPr>
          <w:rFonts w:ascii="宋体" w:hAnsi="宋体" w:cs="Times New Roman" w:hint="eastAsia"/>
          <w:sz w:val="24"/>
          <w:szCs w:val="24"/>
        </w:rPr>
        <w:t>湘财基金</w:t>
      </w:r>
      <w:r>
        <w:rPr>
          <w:rFonts w:ascii="宋体" w:hAnsi="宋体" w:cs="Times New Roman" w:hint="eastAsia"/>
          <w:sz w:val="24"/>
          <w:szCs w:val="24"/>
        </w:rPr>
        <w:t>、</w:t>
      </w:r>
      <w:r w:rsidRPr="008C408B">
        <w:rPr>
          <w:rFonts w:ascii="宋体" w:hAnsi="宋体" w:cs="Times New Roman" w:hint="eastAsia"/>
          <w:sz w:val="24"/>
          <w:szCs w:val="24"/>
        </w:rPr>
        <w:t>仙人掌基金</w:t>
      </w:r>
      <w:r>
        <w:rPr>
          <w:rFonts w:ascii="宋体" w:hAnsi="宋体" w:cs="Times New Roman" w:hint="eastAsia"/>
          <w:sz w:val="24"/>
          <w:szCs w:val="24"/>
        </w:rPr>
        <w:t>、</w:t>
      </w:r>
      <w:r w:rsidRPr="008C408B">
        <w:rPr>
          <w:rFonts w:ascii="宋体" w:hAnsi="宋体" w:cs="Times New Roman" w:hint="eastAsia"/>
          <w:sz w:val="24"/>
          <w:szCs w:val="24"/>
        </w:rPr>
        <w:t>开源证券</w:t>
      </w:r>
      <w:r>
        <w:rPr>
          <w:rFonts w:ascii="宋体" w:hAnsi="宋体" w:cs="Times New Roman" w:hint="eastAsia"/>
          <w:sz w:val="24"/>
          <w:szCs w:val="24"/>
        </w:rPr>
        <w:t>、</w:t>
      </w:r>
      <w:r w:rsidRPr="008C408B">
        <w:rPr>
          <w:rFonts w:ascii="宋体" w:hAnsi="宋体" w:cs="Times New Roman" w:hint="eastAsia"/>
          <w:sz w:val="24"/>
          <w:szCs w:val="24"/>
        </w:rPr>
        <w:t>长城基金</w:t>
      </w:r>
    </w:p>
    <w:p w14:paraId="023BB6D1" w14:textId="77777777" w:rsidR="00186984" w:rsidRPr="00186984" w:rsidRDefault="00186984" w:rsidP="00186984">
      <w:pPr>
        <w:spacing w:line="360" w:lineRule="auto"/>
        <w:rPr>
          <w:rFonts w:ascii="宋体" w:hAnsi="宋体" w:cs="宋体"/>
          <w:b/>
          <w:bCs/>
          <w:kern w:val="0"/>
          <w:sz w:val="24"/>
          <w:szCs w:val="24"/>
        </w:rPr>
      </w:pPr>
      <w:r w:rsidRPr="00186984">
        <w:rPr>
          <w:rFonts w:ascii="宋体" w:hAnsi="宋体" w:cs="宋体" w:hint="eastAsia"/>
          <w:b/>
          <w:bCs/>
          <w:kern w:val="0"/>
          <w:sz w:val="24"/>
          <w:szCs w:val="24"/>
        </w:rPr>
        <w:t>接待人员：</w:t>
      </w:r>
    </w:p>
    <w:p w14:paraId="47E12FC4" w14:textId="0F3F59C7" w:rsidR="00071991" w:rsidRDefault="00186984" w:rsidP="0082730E">
      <w:pPr>
        <w:spacing w:line="360" w:lineRule="auto"/>
        <w:rPr>
          <w:rFonts w:ascii="宋体" w:hAnsi="宋体" w:cs="Times New Roman"/>
          <w:sz w:val="24"/>
          <w:szCs w:val="24"/>
        </w:rPr>
      </w:pPr>
      <w:r w:rsidRPr="00186984">
        <w:rPr>
          <w:rFonts w:ascii="宋体" w:hAnsi="宋体" w:cs="Times New Roman" w:hint="eastAsia"/>
          <w:sz w:val="24"/>
          <w:szCs w:val="24"/>
        </w:rPr>
        <w:t>董事</w:t>
      </w:r>
      <w:r w:rsidRPr="00186984">
        <w:rPr>
          <w:rFonts w:ascii="宋体" w:hAnsi="宋体" w:cs="Times New Roman"/>
          <w:sz w:val="24"/>
          <w:szCs w:val="24"/>
        </w:rPr>
        <w:t>、副总经理、</w:t>
      </w:r>
      <w:r w:rsidRPr="00186984">
        <w:rPr>
          <w:rFonts w:ascii="宋体" w:hAnsi="宋体" w:cs="Times New Roman" w:hint="eastAsia"/>
          <w:sz w:val="24"/>
          <w:szCs w:val="24"/>
        </w:rPr>
        <w:t>董事会秘书赵新安</w:t>
      </w:r>
    </w:p>
    <w:p w14:paraId="7CF7BAB4" w14:textId="77777777" w:rsidR="00186984" w:rsidRPr="00186984" w:rsidRDefault="00186984" w:rsidP="00186984">
      <w:pPr>
        <w:widowControl/>
        <w:spacing w:line="480" w:lineRule="auto"/>
        <w:rPr>
          <w:rFonts w:ascii="宋体" w:hAnsi="宋体" w:cs="宋体"/>
          <w:kern w:val="0"/>
          <w:sz w:val="24"/>
          <w:szCs w:val="24"/>
        </w:rPr>
      </w:pPr>
      <w:r w:rsidRPr="00186984">
        <w:rPr>
          <w:rFonts w:ascii="宋体" w:hAnsi="宋体" w:cs="宋体" w:hint="eastAsia"/>
          <w:b/>
          <w:bCs/>
          <w:kern w:val="0"/>
          <w:sz w:val="24"/>
          <w:szCs w:val="24"/>
        </w:rPr>
        <w:t>二、调研纪要</w:t>
      </w:r>
    </w:p>
    <w:p w14:paraId="32C7D3D6" w14:textId="77777777" w:rsidR="00E52C0D" w:rsidRPr="00D562F9" w:rsidRDefault="00E52C0D" w:rsidP="00E52C0D">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Pr>
          <w:rFonts w:ascii="宋体" w:hAnsi="宋体" w:cs="宋体" w:hint="eastAsia"/>
          <w:b/>
          <w:bCs/>
          <w:kern w:val="0"/>
          <w:sz w:val="24"/>
          <w:szCs w:val="24"/>
        </w:rPr>
        <w:t>当前行业景气情况如何</w:t>
      </w:r>
      <w:r w:rsidRPr="00D562F9">
        <w:rPr>
          <w:rFonts w:ascii="宋体" w:hAnsi="宋体" w:cs="宋体" w:hint="eastAsia"/>
          <w:b/>
          <w:bCs/>
          <w:kern w:val="0"/>
          <w:sz w:val="24"/>
          <w:szCs w:val="24"/>
        </w:rPr>
        <w:t>？</w:t>
      </w:r>
    </w:p>
    <w:p w14:paraId="3716803A" w14:textId="77777777" w:rsidR="00E52C0D" w:rsidRDefault="00E52C0D" w:rsidP="00E52C0D">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Pr="000D6D4C">
        <w:rPr>
          <w:rFonts w:ascii="宋体" w:hAnsi="宋体" w:cs="Times New Roman" w:hint="eastAsia"/>
          <w:kern w:val="0"/>
          <w:sz w:val="24"/>
          <w:szCs w:val="24"/>
        </w:rPr>
        <w:t>随着高校恢复正常教学科研活动，高校客户恢复速度比较快，占比有所提升。而且，最近几年，高校扩招，研究生人数增多，高校的需求也在增加。经济不景气的时候，企业反而可能为了寻找出路，提高研发投入。总体来说，科研服务行业的发展长期可期，未来仍能保持较高的增长速度</w:t>
      </w:r>
      <w:r>
        <w:rPr>
          <w:rFonts w:ascii="宋体" w:hAnsi="宋体" w:cs="Times New Roman" w:hint="eastAsia"/>
          <w:kern w:val="0"/>
          <w:sz w:val="24"/>
          <w:szCs w:val="24"/>
        </w:rPr>
        <w:t>。</w:t>
      </w:r>
    </w:p>
    <w:p w14:paraId="702926EF" w14:textId="10CB5309" w:rsidR="00EF3FBC" w:rsidRPr="00D562F9" w:rsidRDefault="00EF3FBC" w:rsidP="00EF3FBC">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260813">
        <w:rPr>
          <w:rFonts w:ascii="宋体" w:hAnsi="宋体" w:cs="宋体" w:hint="eastAsia"/>
          <w:b/>
          <w:bCs/>
          <w:kern w:val="0"/>
          <w:sz w:val="24"/>
          <w:szCs w:val="24"/>
        </w:rPr>
        <w:t>介绍一下公司</w:t>
      </w:r>
      <w:r w:rsidR="000B5D33">
        <w:rPr>
          <w:rFonts w:ascii="宋体" w:hAnsi="宋体" w:cs="宋体" w:hint="eastAsia"/>
          <w:b/>
          <w:bCs/>
          <w:kern w:val="0"/>
          <w:sz w:val="24"/>
          <w:szCs w:val="24"/>
        </w:rPr>
        <w:t>与</w:t>
      </w:r>
      <w:r w:rsidR="00260813">
        <w:rPr>
          <w:rFonts w:ascii="宋体" w:hAnsi="宋体" w:cs="宋体" w:hint="eastAsia"/>
          <w:b/>
          <w:bCs/>
          <w:kern w:val="0"/>
          <w:sz w:val="24"/>
          <w:szCs w:val="24"/>
        </w:rPr>
        <w:t>菲鹏</w:t>
      </w:r>
      <w:r w:rsidR="000B5D33">
        <w:rPr>
          <w:rFonts w:ascii="宋体" w:hAnsi="宋体" w:cs="宋体" w:hint="eastAsia"/>
          <w:b/>
          <w:bCs/>
          <w:kern w:val="0"/>
          <w:sz w:val="24"/>
          <w:szCs w:val="24"/>
        </w:rPr>
        <w:t>战略</w:t>
      </w:r>
      <w:r w:rsidR="00260813">
        <w:rPr>
          <w:rFonts w:ascii="宋体" w:hAnsi="宋体" w:cs="宋体" w:hint="eastAsia"/>
          <w:b/>
          <w:bCs/>
          <w:kern w:val="0"/>
          <w:sz w:val="24"/>
          <w:szCs w:val="24"/>
        </w:rPr>
        <w:t>合作的情况</w:t>
      </w:r>
      <w:r w:rsidRPr="00D562F9">
        <w:rPr>
          <w:rFonts w:ascii="宋体" w:hAnsi="宋体" w:cs="宋体" w:hint="eastAsia"/>
          <w:b/>
          <w:bCs/>
          <w:kern w:val="0"/>
          <w:sz w:val="24"/>
          <w:szCs w:val="24"/>
        </w:rPr>
        <w:t>？</w:t>
      </w:r>
    </w:p>
    <w:p w14:paraId="75C7955C" w14:textId="622D9D5D" w:rsidR="00EF3FBC" w:rsidRDefault="00EF3FBC" w:rsidP="009F4899">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0B5D33" w:rsidRPr="000B5D33">
        <w:rPr>
          <w:rFonts w:ascii="宋体" w:hAnsi="宋体" w:cs="Times New Roman" w:hint="eastAsia"/>
          <w:kern w:val="0"/>
          <w:sz w:val="24"/>
          <w:szCs w:val="24"/>
        </w:rPr>
        <w:t>本次战略合作是公司扩大生物试剂产品线的重要实践</w:t>
      </w:r>
      <w:r>
        <w:rPr>
          <w:rFonts w:ascii="宋体" w:hAnsi="宋体" w:cs="Times New Roman" w:hint="eastAsia"/>
          <w:kern w:val="0"/>
          <w:sz w:val="24"/>
          <w:szCs w:val="24"/>
        </w:rPr>
        <w:t>。</w:t>
      </w:r>
      <w:r w:rsidR="000B5D33" w:rsidRPr="000B5D33">
        <w:rPr>
          <w:rFonts w:ascii="宋体" w:hAnsi="宋体" w:cs="Times New Roman" w:hint="eastAsia"/>
          <w:kern w:val="0"/>
          <w:sz w:val="24"/>
          <w:szCs w:val="24"/>
        </w:rPr>
        <w:t>双方有意通过共同设立公司进行原料、试剂及解决方案定制化开发及供应、资产转让、技术许可及服务转让等一系列交易，逐步将共同新发起设立的项目公司孵化成为具备原料和试剂及解决方案供应、原料和试剂生产及自主研发能力的公司。新设立的公司，将研发、生产适合科研方向和符合科研客户需要的所有免疫类、分子类原料试剂、全自动化学发光设备及配套耗材产品。</w:t>
      </w:r>
    </w:p>
    <w:p w14:paraId="0AFAD3D4" w14:textId="56CD0F89" w:rsidR="005F276C" w:rsidRDefault="005F276C" w:rsidP="005F276C">
      <w:pPr>
        <w:widowControl/>
        <w:spacing w:line="360" w:lineRule="auto"/>
        <w:ind w:firstLine="420"/>
        <w:rPr>
          <w:rFonts w:ascii="宋体" w:hAnsi="宋体" w:cs="Times New Roman"/>
          <w:kern w:val="0"/>
          <w:sz w:val="24"/>
          <w:szCs w:val="24"/>
        </w:rPr>
      </w:pPr>
      <w:r w:rsidRPr="005F276C">
        <w:rPr>
          <w:rFonts w:ascii="宋体" w:hAnsi="宋体" w:cs="Times New Roman" w:hint="eastAsia"/>
          <w:kern w:val="0"/>
          <w:sz w:val="24"/>
          <w:szCs w:val="24"/>
        </w:rPr>
        <w:lastRenderedPageBreak/>
        <w:t>双方合作，菲鹏生物作为稳定的合作方，将多年积累的技术开发成产品供应给阿拉丁，有利于丰富、补充阿拉丁的生物试剂产品，快速扩大产品线，并降低产品采购成本；双方合作，轻资产运行，投入资金少，运行周期短，投资收益大；双方合作，三项费用少，有利于保持较高的利润率。</w:t>
      </w:r>
    </w:p>
    <w:p w14:paraId="4485CA33" w14:textId="07914952" w:rsidR="002B660E" w:rsidRPr="00D562F9" w:rsidRDefault="002B660E" w:rsidP="002B660E">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5F276C" w:rsidRPr="005F276C">
        <w:rPr>
          <w:rFonts w:ascii="宋体" w:hAnsi="宋体" w:cs="宋体" w:hint="eastAsia"/>
          <w:b/>
          <w:bCs/>
          <w:kern w:val="0"/>
          <w:sz w:val="24"/>
          <w:szCs w:val="24"/>
        </w:rPr>
        <w:t>公司的产品价格近期有没有调整，有没有受价格战的冲击</w:t>
      </w:r>
      <w:r w:rsidRPr="00D562F9">
        <w:rPr>
          <w:rFonts w:ascii="宋体" w:hAnsi="宋体" w:cs="宋体" w:hint="eastAsia"/>
          <w:b/>
          <w:bCs/>
          <w:kern w:val="0"/>
          <w:sz w:val="24"/>
          <w:szCs w:val="24"/>
        </w:rPr>
        <w:t>？</w:t>
      </w:r>
    </w:p>
    <w:p w14:paraId="3522CAB7" w14:textId="299A6166" w:rsidR="00520C30" w:rsidRDefault="002B660E" w:rsidP="00EF3FBC">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005F276C" w:rsidRPr="005F276C">
        <w:rPr>
          <w:rFonts w:ascii="宋体" w:hAnsi="宋体" w:cs="Times New Roman" w:hint="eastAsia"/>
          <w:kern w:val="0"/>
          <w:sz w:val="24"/>
          <w:szCs w:val="24"/>
        </w:rPr>
        <w:t>公司的毛利率比较稳定，说明产品价格比较平稳，没有受到降价的冲击</w:t>
      </w:r>
      <w:r>
        <w:rPr>
          <w:rFonts w:ascii="宋体" w:hAnsi="宋体" w:cs="Times New Roman" w:hint="eastAsia"/>
          <w:kern w:val="0"/>
          <w:sz w:val="24"/>
          <w:szCs w:val="24"/>
        </w:rPr>
        <w:t>。</w:t>
      </w:r>
    </w:p>
    <w:p w14:paraId="1009AD97" w14:textId="41FA6C6D" w:rsidR="008C408B" w:rsidRPr="008C408B" w:rsidRDefault="008C408B" w:rsidP="008C408B">
      <w:pPr>
        <w:widowControl/>
        <w:spacing w:line="360" w:lineRule="auto"/>
        <w:outlineLvl w:val="0"/>
        <w:rPr>
          <w:rFonts w:ascii="宋体" w:hAnsi="宋体" w:cs="宋体"/>
          <w:b/>
          <w:bCs/>
          <w:kern w:val="0"/>
          <w:sz w:val="24"/>
          <w:szCs w:val="24"/>
        </w:rPr>
      </w:pPr>
      <w:r w:rsidRPr="008C408B">
        <w:rPr>
          <w:rFonts w:ascii="宋体" w:hAnsi="宋体" w:cs="宋体" w:hint="eastAsia"/>
          <w:b/>
          <w:bCs/>
          <w:kern w:val="0"/>
          <w:sz w:val="24"/>
          <w:szCs w:val="24"/>
        </w:rPr>
        <w:t>Q：公司未来有没有其他并购计划？</w:t>
      </w:r>
    </w:p>
    <w:p w14:paraId="5E55453B" w14:textId="673FAD2F" w:rsidR="008C408B" w:rsidRPr="008C408B" w:rsidRDefault="008C408B" w:rsidP="008C408B">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外延式增长和内涵式增长都是公司业务增长的主要形式。关于并购重组，目前政策宽松，IPO收紧后，很多项目也希望通过被并购的方式退出。公司会积极调研，希望通过外延式增长和内涵式增长共同驱动公司发展。</w:t>
      </w:r>
    </w:p>
    <w:p w14:paraId="72EF90D4" w14:textId="261D612D" w:rsidR="008C408B" w:rsidRPr="008C408B" w:rsidRDefault="008C408B" w:rsidP="008C408B">
      <w:pPr>
        <w:widowControl/>
        <w:spacing w:line="360" w:lineRule="auto"/>
        <w:outlineLvl w:val="0"/>
        <w:rPr>
          <w:rFonts w:ascii="宋体" w:hAnsi="宋体" w:cs="宋体"/>
          <w:b/>
          <w:bCs/>
          <w:kern w:val="0"/>
          <w:sz w:val="24"/>
          <w:szCs w:val="24"/>
        </w:rPr>
      </w:pPr>
      <w:r w:rsidRPr="008C408B">
        <w:rPr>
          <w:rFonts w:ascii="宋体" w:hAnsi="宋体" w:cs="宋体" w:hint="eastAsia"/>
          <w:b/>
          <w:bCs/>
          <w:kern w:val="0"/>
          <w:sz w:val="24"/>
          <w:szCs w:val="24"/>
        </w:rPr>
        <w:t>Q：</w:t>
      </w:r>
      <w:r w:rsidR="00E52C0D" w:rsidRPr="00E52C0D">
        <w:rPr>
          <w:rFonts w:ascii="宋体" w:hAnsi="宋体" w:cs="宋体" w:hint="eastAsia"/>
          <w:b/>
          <w:bCs/>
          <w:kern w:val="0"/>
          <w:sz w:val="24"/>
          <w:szCs w:val="24"/>
        </w:rPr>
        <w:t>海外业务的费用会有哪些</w:t>
      </w:r>
      <w:r w:rsidRPr="008C408B">
        <w:rPr>
          <w:rFonts w:ascii="宋体" w:hAnsi="宋体" w:cs="宋体" w:hint="eastAsia"/>
          <w:b/>
          <w:bCs/>
          <w:kern w:val="0"/>
          <w:sz w:val="24"/>
          <w:szCs w:val="24"/>
        </w:rPr>
        <w:t>？</w:t>
      </w:r>
    </w:p>
    <w:p w14:paraId="6B9407E1" w14:textId="73016228" w:rsidR="008C408B" w:rsidRPr="008C408B" w:rsidRDefault="008C408B" w:rsidP="008C408B">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00E52C0D" w:rsidRPr="00E52C0D">
        <w:rPr>
          <w:rFonts w:ascii="宋体" w:hAnsi="宋体" w:cs="Times New Roman" w:hint="eastAsia"/>
          <w:kern w:val="0"/>
          <w:sz w:val="24"/>
          <w:szCs w:val="24"/>
        </w:rPr>
        <w:t>海外的费用相对较少，主要是仓储的租赁费用、人员的薪酬费用以及运费，研发生产等费用主要在国内体现</w:t>
      </w:r>
      <w:r w:rsidRPr="008C408B">
        <w:rPr>
          <w:rFonts w:ascii="宋体" w:hAnsi="宋体" w:cs="Times New Roman" w:hint="eastAsia"/>
          <w:kern w:val="0"/>
          <w:sz w:val="24"/>
          <w:szCs w:val="24"/>
        </w:rPr>
        <w:t>。</w:t>
      </w:r>
    </w:p>
    <w:p w14:paraId="47451484" w14:textId="26AF35C3" w:rsidR="008C408B" w:rsidRPr="008C408B" w:rsidRDefault="008C408B" w:rsidP="008C408B">
      <w:pPr>
        <w:widowControl/>
        <w:spacing w:line="360" w:lineRule="auto"/>
        <w:outlineLvl w:val="0"/>
        <w:rPr>
          <w:rFonts w:ascii="宋体" w:hAnsi="宋体" w:cs="宋体"/>
          <w:b/>
          <w:bCs/>
          <w:kern w:val="0"/>
          <w:sz w:val="24"/>
          <w:szCs w:val="24"/>
        </w:rPr>
      </w:pPr>
      <w:r w:rsidRPr="008C408B">
        <w:rPr>
          <w:rFonts w:ascii="宋体" w:hAnsi="宋体" w:cs="宋体" w:hint="eastAsia"/>
          <w:b/>
          <w:bCs/>
          <w:kern w:val="0"/>
          <w:sz w:val="24"/>
          <w:szCs w:val="24"/>
        </w:rPr>
        <w:t>Q：</w:t>
      </w:r>
      <w:r w:rsidR="00E52C0D" w:rsidRPr="00E52C0D">
        <w:rPr>
          <w:rFonts w:ascii="宋体" w:hAnsi="宋体" w:cs="宋体" w:hint="eastAsia"/>
          <w:b/>
          <w:bCs/>
          <w:kern w:val="0"/>
          <w:sz w:val="24"/>
          <w:szCs w:val="24"/>
        </w:rPr>
        <w:t>怎么看待上海发布促进科学仪器、科研试剂发展行动方案</w:t>
      </w:r>
      <w:r w:rsidRPr="008C408B">
        <w:rPr>
          <w:rFonts w:ascii="宋体" w:hAnsi="宋体" w:cs="宋体" w:hint="eastAsia"/>
          <w:b/>
          <w:bCs/>
          <w:kern w:val="0"/>
          <w:sz w:val="24"/>
          <w:szCs w:val="24"/>
        </w:rPr>
        <w:t>？</w:t>
      </w:r>
    </w:p>
    <w:p w14:paraId="4030D921" w14:textId="31C90F2F" w:rsidR="008C408B" w:rsidRPr="008C408B" w:rsidRDefault="008C408B" w:rsidP="008C408B">
      <w:pPr>
        <w:widowControl/>
        <w:spacing w:line="360" w:lineRule="auto"/>
        <w:rPr>
          <w:rFonts w:ascii="宋体" w:hAnsi="宋体" w:cs="Times New Roman"/>
          <w:kern w:val="0"/>
          <w:sz w:val="24"/>
          <w:szCs w:val="24"/>
        </w:rPr>
      </w:pPr>
      <w:r w:rsidRPr="008C408B">
        <w:rPr>
          <w:rFonts w:ascii="宋体" w:hAnsi="宋体" w:cs="Times New Roman" w:hint="eastAsia"/>
          <w:kern w:val="0"/>
          <w:sz w:val="24"/>
          <w:szCs w:val="24"/>
        </w:rPr>
        <w:t>A：</w:t>
      </w:r>
      <w:r w:rsidR="00E52C0D" w:rsidRPr="00E52C0D">
        <w:rPr>
          <w:rFonts w:ascii="宋体" w:hAnsi="宋体" w:cs="Times New Roman" w:hint="eastAsia"/>
          <w:kern w:val="0"/>
          <w:sz w:val="24"/>
          <w:szCs w:val="24"/>
        </w:rPr>
        <w:t>行动方案是对科研活动的促进鼓励。该方案对科学仪器、科研试剂的头部企业是重大利好，有利于这些企业的发展。公司后续也会跟相关部门对接，深入理解该方案的精神</w:t>
      </w:r>
      <w:r w:rsidRPr="008C408B">
        <w:rPr>
          <w:rFonts w:ascii="宋体" w:hAnsi="宋体" w:cs="Times New Roman" w:hint="eastAsia"/>
          <w:kern w:val="0"/>
          <w:sz w:val="24"/>
          <w:szCs w:val="24"/>
        </w:rPr>
        <w:t>。</w:t>
      </w:r>
    </w:p>
    <w:p w14:paraId="7C6DA6AF" w14:textId="77777777" w:rsidR="00493343" w:rsidRPr="00D562F9" w:rsidRDefault="00493343" w:rsidP="00493343">
      <w:pPr>
        <w:widowControl/>
        <w:spacing w:line="480" w:lineRule="auto"/>
        <w:rPr>
          <w:rFonts w:ascii="宋体" w:hAnsi="宋体" w:cs="宋体"/>
          <w:kern w:val="0"/>
          <w:sz w:val="24"/>
          <w:szCs w:val="24"/>
        </w:rPr>
      </w:pPr>
      <w:r w:rsidRPr="00D562F9">
        <w:rPr>
          <w:rFonts w:ascii="宋体" w:hAnsi="宋体" w:cs="宋体" w:hint="eastAsia"/>
          <w:b/>
          <w:bCs/>
          <w:kern w:val="0"/>
          <w:sz w:val="24"/>
          <w:szCs w:val="24"/>
        </w:rPr>
        <w:t>三、关于本次活动是否涉及应当披露重大信息的说明</w:t>
      </w:r>
    </w:p>
    <w:p w14:paraId="15A08EAC" w14:textId="77777777" w:rsidR="00493343" w:rsidRPr="00A46B21" w:rsidRDefault="00493343" w:rsidP="00493343">
      <w:pPr>
        <w:widowControl/>
        <w:spacing w:line="360" w:lineRule="auto"/>
        <w:rPr>
          <w:rFonts w:ascii="宋体" w:hAnsi="宋体" w:cs="Times New Roman"/>
          <w:kern w:val="0"/>
          <w:sz w:val="24"/>
          <w:szCs w:val="24"/>
        </w:rPr>
      </w:pPr>
      <w:r w:rsidRPr="00B0592B">
        <w:rPr>
          <w:rFonts w:ascii="宋体" w:hAnsi="宋体" w:cs="Times New Roman" w:hint="eastAsia"/>
          <w:sz w:val="24"/>
          <w:szCs w:val="24"/>
        </w:rPr>
        <w:t>本次活动不涉及应当披露的重大信息。</w:t>
      </w:r>
    </w:p>
    <w:p w14:paraId="6273A870" w14:textId="77777777" w:rsidR="00493343" w:rsidRDefault="00493343">
      <w:pPr>
        <w:widowControl/>
        <w:jc w:val="left"/>
      </w:pPr>
    </w:p>
    <w:sectPr w:rsidR="00493343" w:rsidSect="000B2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0BB7" w14:textId="77777777" w:rsidR="007768CB" w:rsidRDefault="007768CB" w:rsidP="00186984">
      <w:r>
        <w:separator/>
      </w:r>
    </w:p>
  </w:endnote>
  <w:endnote w:type="continuationSeparator" w:id="0">
    <w:p w14:paraId="1F737E41" w14:textId="77777777" w:rsidR="007768CB" w:rsidRDefault="007768CB" w:rsidP="0018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F358" w14:textId="77777777" w:rsidR="007768CB" w:rsidRDefault="007768CB" w:rsidP="00186984">
      <w:r>
        <w:separator/>
      </w:r>
    </w:p>
  </w:footnote>
  <w:footnote w:type="continuationSeparator" w:id="0">
    <w:p w14:paraId="760E2D86" w14:textId="77777777" w:rsidR="007768CB" w:rsidRDefault="007768CB" w:rsidP="0018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6B"/>
    <w:rsid w:val="00005D7B"/>
    <w:rsid w:val="00012F02"/>
    <w:rsid w:val="00014832"/>
    <w:rsid w:val="00017C9D"/>
    <w:rsid w:val="000407CB"/>
    <w:rsid w:val="000423E5"/>
    <w:rsid w:val="00042D26"/>
    <w:rsid w:val="00064E02"/>
    <w:rsid w:val="0007021C"/>
    <w:rsid w:val="00071991"/>
    <w:rsid w:val="00074C36"/>
    <w:rsid w:val="000775FD"/>
    <w:rsid w:val="00087318"/>
    <w:rsid w:val="0009169C"/>
    <w:rsid w:val="0009572A"/>
    <w:rsid w:val="000965F2"/>
    <w:rsid w:val="000B2223"/>
    <w:rsid w:val="000B2424"/>
    <w:rsid w:val="000B596D"/>
    <w:rsid w:val="000B5D33"/>
    <w:rsid w:val="000B724B"/>
    <w:rsid w:val="000C479B"/>
    <w:rsid w:val="000D6D4C"/>
    <w:rsid w:val="000D703C"/>
    <w:rsid w:val="000D7537"/>
    <w:rsid w:val="000D772E"/>
    <w:rsid w:val="000E0FA0"/>
    <w:rsid w:val="000E6FAC"/>
    <w:rsid w:val="000E6FED"/>
    <w:rsid w:val="000F2176"/>
    <w:rsid w:val="00100AD4"/>
    <w:rsid w:val="00110A62"/>
    <w:rsid w:val="001137DE"/>
    <w:rsid w:val="00134B8B"/>
    <w:rsid w:val="00137A98"/>
    <w:rsid w:val="00140189"/>
    <w:rsid w:val="001414FD"/>
    <w:rsid w:val="00150604"/>
    <w:rsid w:val="001627E5"/>
    <w:rsid w:val="00162B96"/>
    <w:rsid w:val="00163FAF"/>
    <w:rsid w:val="0017198A"/>
    <w:rsid w:val="00176645"/>
    <w:rsid w:val="00180E2C"/>
    <w:rsid w:val="00185FD8"/>
    <w:rsid w:val="00186984"/>
    <w:rsid w:val="00191899"/>
    <w:rsid w:val="001B47A4"/>
    <w:rsid w:val="001B75A7"/>
    <w:rsid w:val="001D10FC"/>
    <w:rsid w:val="001E3AE8"/>
    <w:rsid w:val="001F2D49"/>
    <w:rsid w:val="001F3306"/>
    <w:rsid w:val="00212EB7"/>
    <w:rsid w:val="0021448E"/>
    <w:rsid w:val="00214FAA"/>
    <w:rsid w:val="00215D47"/>
    <w:rsid w:val="0023626C"/>
    <w:rsid w:val="00245AD2"/>
    <w:rsid w:val="0025363E"/>
    <w:rsid w:val="00255362"/>
    <w:rsid w:val="00255F22"/>
    <w:rsid w:val="00260813"/>
    <w:rsid w:val="0026505F"/>
    <w:rsid w:val="0026541C"/>
    <w:rsid w:val="00277264"/>
    <w:rsid w:val="0028107B"/>
    <w:rsid w:val="00281AFC"/>
    <w:rsid w:val="002833F9"/>
    <w:rsid w:val="0028520D"/>
    <w:rsid w:val="002933A9"/>
    <w:rsid w:val="002943B0"/>
    <w:rsid w:val="0029585B"/>
    <w:rsid w:val="00296344"/>
    <w:rsid w:val="002A27E0"/>
    <w:rsid w:val="002A404A"/>
    <w:rsid w:val="002B4235"/>
    <w:rsid w:val="002B660E"/>
    <w:rsid w:val="002B75BC"/>
    <w:rsid w:val="002C1C30"/>
    <w:rsid w:val="002C463C"/>
    <w:rsid w:val="002C5114"/>
    <w:rsid w:val="002D71DA"/>
    <w:rsid w:val="002D79E1"/>
    <w:rsid w:val="002E10ED"/>
    <w:rsid w:val="002F2DAD"/>
    <w:rsid w:val="002F4C02"/>
    <w:rsid w:val="002F4E27"/>
    <w:rsid w:val="00345429"/>
    <w:rsid w:val="00350E07"/>
    <w:rsid w:val="00350E90"/>
    <w:rsid w:val="00351F04"/>
    <w:rsid w:val="003572AF"/>
    <w:rsid w:val="00357BA5"/>
    <w:rsid w:val="00361416"/>
    <w:rsid w:val="00361A13"/>
    <w:rsid w:val="00362F95"/>
    <w:rsid w:val="00372974"/>
    <w:rsid w:val="00376316"/>
    <w:rsid w:val="00384E1C"/>
    <w:rsid w:val="003901A1"/>
    <w:rsid w:val="00390774"/>
    <w:rsid w:val="003A1266"/>
    <w:rsid w:val="003A6182"/>
    <w:rsid w:val="003A7A82"/>
    <w:rsid w:val="003B2967"/>
    <w:rsid w:val="003B3143"/>
    <w:rsid w:val="003C192D"/>
    <w:rsid w:val="003C3B4E"/>
    <w:rsid w:val="003C600F"/>
    <w:rsid w:val="003C7E2E"/>
    <w:rsid w:val="003E09EC"/>
    <w:rsid w:val="003F77E4"/>
    <w:rsid w:val="003F79B7"/>
    <w:rsid w:val="0041718A"/>
    <w:rsid w:val="00423881"/>
    <w:rsid w:val="00432AB8"/>
    <w:rsid w:val="0043315A"/>
    <w:rsid w:val="0044123E"/>
    <w:rsid w:val="0045033F"/>
    <w:rsid w:val="004549F2"/>
    <w:rsid w:val="00457C62"/>
    <w:rsid w:val="00475494"/>
    <w:rsid w:val="00483A63"/>
    <w:rsid w:val="004845FD"/>
    <w:rsid w:val="00493343"/>
    <w:rsid w:val="0049387F"/>
    <w:rsid w:val="004A734A"/>
    <w:rsid w:val="004B08E2"/>
    <w:rsid w:val="004B1645"/>
    <w:rsid w:val="004C16AB"/>
    <w:rsid w:val="004C73E0"/>
    <w:rsid w:val="004D777D"/>
    <w:rsid w:val="004E1DBD"/>
    <w:rsid w:val="004E2FF9"/>
    <w:rsid w:val="004F312F"/>
    <w:rsid w:val="004F74FA"/>
    <w:rsid w:val="00510EAD"/>
    <w:rsid w:val="00512A0E"/>
    <w:rsid w:val="00513FBF"/>
    <w:rsid w:val="00514C0D"/>
    <w:rsid w:val="00520C30"/>
    <w:rsid w:val="005331F7"/>
    <w:rsid w:val="0053322C"/>
    <w:rsid w:val="00565262"/>
    <w:rsid w:val="00565C03"/>
    <w:rsid w:val="0056719B"/>
    <w:rsid w:val="005A0BA9"/>
    <w:rsid w:val="005D4BC0"/>
    <w:rsid w:val="005E0832"/>
    <w:rsid w:val="005F276C"/>
    <w:rsid w:val="0060191E"/>
    <w:rsid w:val="00610B5B"/>
    <w:rsid w:val="00613A48"/>
    <w:rsid w:val="00613C97"/>
    <w:rsid w:val="00622E67"/>
    <w:rsid w:val="006243F6"/>
    <w:rsid w:val="006374B0"/>
    <w:rsid w:val="00651B35"/>
    <w:rsid w:val="00652F22"/>
    <w:rsid w:val="006605AA"/>
    <w:rsid w:val="006650AB"/>
    <w:rsid w:val="00670CC1"/>
    <w:rsid w:val="00672AE0"/>
    <w:rsid w:val="00673E9F"/>
    <w:rsid w:val="006825A5"/>
    <w:rsid w:val="00683C75"/>
    <w:rsid w:val="00687645"/>
    <w:rsid w:val="006A0FD5"/>
    <w:rsid w:val="006A3BAD"/>
    <w:rsid w:val="006B09AE"/>
    <w:rsid w:val="006B5719"/>
    <w:rsid w:val="006C2F4E"/>
    <w:rsid w:val="006C38AA"/>
    <w:rsid w:val="006E1CE9"/>
    <w:rsid w:val="006E7E79"/>
    <w:rsid w:val="006F66F9"/>
    <w:rsid w:val="00703280"/>
    <w:rsid w:val="007078B9"/>
    <w:rsid w:val="00710378"/>
    <w:rsid w:val="00724344"/>
    <w:rsid w:val="0073775C"/>
    <w:rsid w:val="00743CBB"/>
    <w:rsid w:val="00745EE5"/>
    <w:rsid w:val="007463DD"/>
    <w:rsid w:val="0076256D"/>
    <w:rsid w:val="00773867"/>
    <w:rsid w:val="007768CB"/>
    <w:rsid w:val="00776EFF"/>
    <w:rsid w:val="00777EFE"/>
    <w:rsid w:val="00780D13"/>
    <w:rsid w:val="0078549D"/>
    <w:rsid w:val="007B05DF"/>
    <w:rsid w:val="007C53C5"/>
    <w:rsid w:val="007D3C24"/>
    <w:rsid w:val="007F5E1A"/>
    <w:rsid w:val="008057AF"/>
    <w:rsid w:val="00807293"/>
    <w:rsid w:val="00807DB2"/>
    <w:rsid w:val="00827275"/>
    <w:rsid w:val="0082730E"/>
    <w:rsid w:val="00831E2C"/>
    <w:rsid w:val="00850645"/>
    <w:rsid w:val="0085494A"/>
    <w:rsid w:val="00854A0F"/>
    <w:rsid w:val="008551BC"/>
    <w:rsid w:val="0085700E"/>
    <w:rsid w:val="0085706A"/>
    <w:rsid w:val="00857B52"/>
    <w:rsid w:val="00861E23"/>
    <w:rsid w:val="0087143C"/>
    <w:rsid w:val="008A6F44"/>
    <w:rsid w:val="008B419A"/>
    <w:rsid w:val="008B59F9"/>
    <w:rsid w:val="008C408B"/>
    <w:rsid w:val="008C658A"/>
    <w:rsid w:val="008D1113"/>
    <w:rsid w:val="008D405A"/>
    <w:rsid w:val="008D435B"/>
    <w:rsid w:val="008E2600"/>
    <w:rsid w:val="008E51CD"/>
    <w:rsid w:val="008E5AF9"/>
    <w:rsid w:val="008E7880"/>
    <w:rsid w:val="008F158A"/>
    <w:rsid w:val="008F28FD"/>
    <w:rsid w:val="00905BCF"/>
    <w:rsid w:val="0091040E"/>
    <w:rsid w:val="009322E9"/>
    <w:rsid w:val="009360DC"/>
    <w:rsid w:val="0094322D"/>
    <w:rsid w:val="00944911"/>
    <w:rsid w:val="009468D3"/>
    <w:rsid w:val="00951BD1"/>
    <w:rsid w:val="009674FB"/>
    <w:rsid w:val="0098746D"/>
    <w:rsid w:val="00987847"/>
    <w:rsid w:val="009915BD"/>
    <w:rsid w:val="00996F5B"/>
    <w:rsid w:val="009977F2"/>
    <w:rsid w:val="009A09EF"/>
    <w:rsid w:val="009C42F5"/>
    <w:rsid w:val="009C4361"/>
    <w:rsid w:val="009D02D9"/>
    <w:rsid w:val="009D6B81"/>
    <w:rsid w:val="009E1ABD"/>
    <w:rsid w:val="009E692D"/>
    <w:rsid w:val="009F03B6"/>
    <w:rsid w:val="009F1725"/>
    <w:rsid w:val="009F4899"/>
    <w:rsid w:val="009F68FC"/>
    <w:rsid w:val="00A10911"/>
    <w:rsid w:val="00A11F4A"/>
    <w:rsid w:val="00A17D4A"/>
    <w:rsid w:val="00A36D2A"/>
    <w:rsid w:val="00A46B21"/>
    <w:rsid w:val="00A5298D"/>
    <w:rsid w:val="00A5482B"/>
    <w:rsid w:val="00A57E69"/>
    <w:rsid w:val="00A6159B"/>
    <w:rsid w:val="00A659AF"/>
    <w:rsid w:val="00A65ABD"/>
    <w:rsid w:val="00A65ACD"/>
    <w:rsid w:val="00A6714C"/>
    <w:rsid w:val="00A97070"/>
    <w:rsid w:val="00AA1E82"/>
    <w:rsid w:val="00AA5458"/>
    <w:rsid w:val="00AA7E8D"/>
    <w:rsid w:val="00AB3FA9"/>
    <w:rsid w:val="00AB4C9F"/>
    <w:rsid w:val="00AB79BD"/>
    <w:rsid w:val="00AC0AC3"/>
    <w:rsid w:val="00AC1A53"/>
    <w:rsid w:val="00AC39BC"/>
    <w:rsid w:val="00AD284B"/>
    <w:rsid w:val="00AD4D46"/>
    <w:rsid w:val="00AE10C9"/>
    <w:rsid w:val="00AE3165"/>
    <w:rsid w:val="00AE630F"/>
    <w:rsid w:val="00AF7D29"/>
    <w:rsid w:val="00B0592B"/>
    <w:rsid w:val="00B137E3"/>
    <w:rsid w:val="00B16239"/>
    <w:rsid w:val="00B22193"/>
    <w:rsid w:val="00B22CAD"/>
    <w:rsid w:val="00B26007"/>
    <w:rsid w:val="00B340F5"/>
    <w:rsid w:val="00B46484"/>
    <w:rsid w:val="00B560B4"/>
    <w:rsid w:val="00B574C7"/>
    <w:rsid w:val="00B666B9"/>
    <w:rsid w:val="00B72071"/>
    <w:rsid w:val="00B7543D"/>
    <w:rsid w:val="00B84AED"/>
    <w:rsid w:val="00B937F0"/>
    <w:rsid w:val="00B94FE4"/>
    <w:rsid w:val="00BC1B51"/>
    <w:rsid w:val="00BC409D"/>
    <w:rsid w:val="00BC723F"/>
    <w:rsid w:val="00BD2EB8"/>
    <w:rsid w:val="00BD5AB0"/>
    <w:rsid w:val="00BE1813"/>
    <w:rsid w:val="00BE19E8"/>
    <w:rsid w:val="00C01007"/>
    <w:rsid w:val="00C02B67"/>
    <w:rsid w:val="00C17A03"/>
    <w:rsid w:val="00C23CD7"/>
    <w:rsid w:val="00C25749"/>
    <w:rsid w:val="00C26D4F"/>
    <w:rsid w:val="00C27A69"/>
    <w:rsid w:val="00C31CFA"/>
    <w:rsid w:val="00C33131"/>
    <w:rsid w:val="00C3637D"/>
    <w:rsid w:val="00C422FF"/>
    <w:rsid w:val="00C55C89"/>
    <w:rsid w:val="00C5733A"/>
    <w:rsid w:val="00C62CB4"/>
    <w:rsid w:val="00C65259"/>
    <w:rsid w:val="00C660E6"/>
    <w:rsid w:val="00C70BA6"/>
    <w:rsid w:val="00C70E32"/>
    <w:rsid w:val="00C83257"/>
    <w:rsid w:val="00C95FFF"/>
    <w:rsid w:val="00C97B9B"/>
    <w:rsid w:val="00CB766A"/>
    <w:rsid w:val="00CC06E6"/>
    <w:rsid w:val="00D00ECB"/>
    <w:rsid w:val="00D0386E"/>
    <w:rsid w:val="00D03F97"/>
    <w:rsid w:val="00D03FC4"/>
    <w:rsid w:val="00D052EB"/>
    <w:rsid w:val="00D10804"/>
    <w:rsid w:val="00D30E67"/>
    <w:rsid w:val="00D511B5"/>
    <w:rsid w:val="00D51232"/>
    <w:rsid w:val="00D539DE"/>
    <w:rsid w:val="00D549CC"/>
    <w:rsid w:val="00D562F9"/>
    <w:rsid w:val="00D76268"/>
    <w:rsid w:val="00D76700"/>
    <w:rsid w:val="00D807F7"/>
    <w:rsid w:val="00D81D9E"/>
    <w:rsid w:val="00D8426B"/>
    <w:rsid w:val="00D84D28"/>
    <w:rsid w:val="00D95744"/>
    <w:rsid w:val="00DA11B9"/>
    <w:rsid w:val="00DA3153"/>
    <w:rsid w:val="00DA67AD"/>
    <w:rsid w:val="00DA7C37"/>
    <w:rsid w:val="00DB111C"/>
    <w:rsid w:val="00DE5B93"/>
    <w:rsid w:val="00DE693C"/>
    <w:rsid w:val="00E0765E"/>
    <w:rsid w:val="00E232EF"/>
    <w:rsid w:val="00E30C19"/>
    <w:rsid w:val="00E37272"/>
    <w:rsid w:val="00E37772"/>
    <w:rsid w:val="00E37AAD"/>
    <w:rsid w:val="00E4003F"/>
    <w:rsid w:val="00E4473A"/>
    <w:rsid w:val="00E51E69"/>
    <w:rsid w:val="00E52C0D"/>
    <w:rsid w:val="00E53D91"/>
    <w:rsid w:val="00E574EA"/>
    <w:rsid w:val="00E72822"/>
    <w:rsid w:val="00E739A6"/>
    <w:rsid w:val="00E7491E"/>
    <w:rsid w:val="00E845B3"/>
    <w:rsid w:val="00E916B5"/>
    <w:rsid w:val="00E92392"/>
    <w:rsid w:val="00EA4537"/>
    <w:rsid w:val="00EA7430"/>
    <w:rsid w:val="00EC3074"/>
    <w:rsid w:val="00EC5F90"/>
    <w:rsid w:val="00EE1195"/>
    <w:rsid w:val="00EF2D9A"/>
    <w:rsid w:val="00EF368B"/>
    <w:rsid w:val="00EF3FBC"/>
    <w:rsid w:val="00EF5F53"/>
    <w:rsid w:val="00F002FD"/>
    <w:rsid w:val="00F01DC1"/>
    <w:rsid w:val="00F07EFA"/>
    <w:rsid w:val="00F16C42"/>
    <w:rsid w:val="00F20712"/>
    <w:rsid w:val="00F24F70"/>
    <w:rsid w:val="00F30B4F"/>
    <w:rsid w:val="00F37806"/>
    <w:rsid w:val="00F50920"/>
    <w:rsid w:val="00F55190"/>
    <w:rsid w:val="00F65821"/>
    <w:rsid w:val="00F67B8B"/>
    <w:rsid w:val="00F72704"/>
    <w:rsid w:val="00F736BC"/>
    <w:rsid w:val="00F75284"/>
    <w:rsid w:val="00F77F57"/>
    <w:rsid w:val="00F81186"/>
    <w:rsid w:val="00F8406A"/>
    <w:rsid w:val="00F865AF"/>
    <w:rsid w:val="00F87C26"/>
    <w:rsid w:val="00F97FED"/>
    <w:rsid w:val="00FA1A14"/>
    <w:rsid w:val="00FA5E8E"/>
    <w:rsid w:val="00FB10FC"/>
    <w:rsid w:val="00FB245D"/>
    <w:rsid w:val="00FB76F8"/>
    <w:rsid w:val="00FC12FC"/>
    <w:rsid w:val="00FD5750"/>
    <w:rsid w:val="00FF0CFB"/>
    <w:rsid w:val="00FF0F1F"/>
    <w:rsid w:val="00FF2B5D"/>
    <w:rsid w:val="00F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706FE"/>
  <w15:chartTrackingRefBased/>
  <w15:docId w15:val="{5DDD6326-2DD2-4260-AC0E-7EAB6358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9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984"/>
    <w:rPr>
      <w:sz w:val="18"/>
      <w:szCs w:val="18"/>
    </w:rPr>
  </w:style>
  <w:style w:type="paragraph" w:styleId="a5">
    <w:name w:val="footer"/>
    <w:basedOn w:val="a"/>
    <w:link w:val="a6"/>
    <w:uiPriority w:val="99"/>
    <w:unhideWhenUsed/>
    <w:rsid w:val="00186984"/>
    <w:pPr>
      <w:tabs>
        <w:tab w:val="center" w:pos="4153"/>
        <w:tab w:val="right" w:pos="8306"/>
      </w:tabs>
      <w:snapToGrid w:val="0"/>
      <w:jc w:val="left"/>
    </w:pPr>
    <w:rPr>
      <w:sz w:val="18"/>
      <w:szCs w:val="18"/>
    </w:rPr>
  </w:style>
  <w:style w:type="character" w:customStyle="1" w:styleId="a6">
    <w:name w:val="页脚 字符"/>
    <w:basedOn w:val="a0"/>
    <w:link w:val="a5"/>
    <w:uiPriority w:val="99"/>
    <w:rsid w:val="00186984"/>
    <w:rPr>
      <w:sz w:val="18"/>
      <w:szCs w:val="18"/>
    </w:rPr>
  </w:style>
  <w:style w:type="paragraph" w:styleId="a7">
    <w:name w:val="Revision"/>
    <w:hidden/>
    <w:uiPriority w:val="99"/>
    <w:semiHidden/>
    <w:rsid w:val="00A6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5929">
      <w:bodyDiv w:val="1"/>
      <w:marLeft w:val="0"/>
      <w:marRight w:val="0"/>
      <w:marTop w:val="0"/>
      <w:marBottom w:val="0"/>
      <w:divBdr>
        <w:top w:val="none" w:sz="0" w:space="0" w:color="auto"/>
        <w:left w:val="none" w:sz="0" w:space="0" w:color="auto"/>
        <w:bottom w:val="none" w:sz="0" w:space="0" w:color="auto"/>
        <w:right w:val="none" w:sz="0" w:space="0" w:color="auto"/>
      </w:divBdr>
      <w:divsChild>
        <w:div w:id="157427680">
          <w:marLeft w:val="0"/>
          <w:marRight w:val="0"/>
          <w:marTop w:val="75"/>
          <w:marBottom w:val="75"/>
          <w:divBdr>
            <w:top w:val="none" w:sz="0" w:space="0" w:color="auto"/>
            <w:left w:val="none" w:sz="0" w:space="0" w:color="auto"/>
            <w:bottom w:val="none" w:sz="0" w:space="0" w:color="auto"/>
            <w:right w:val="none" w:sz="0" w:space="0" w:color="auto"/>
          </w:divBdr>
          <w:divsChild>
            <w:div w:id="13466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9958">
      <w:bodyDiv w:val="1"/>
      <w:marLeft w:val="0"/>
      <w:marRight w:val="0"/>
      <w:marTop w:val="0"/>
      <w:marBottom w:val="0"/>
      <w:divBdr>
        <w:top w:val="none" w:sz="0" w:space="0" w:color="auto"/>
        <w:left w:val="none" w:sz="0" w:space="0" w:color="auto"/>
        <w:bottom w:val="none" w:sz="0" w:space="0" w:color="auto"/>
        <w:right w:val="none" w:sz="0" w:space="0" w:color="auto"/>
      </w:divBdr>
    </w:div>
    <w:div w:id="139420099">
      <w:bodyDiv w:val="1"/>
      <w:marLeft w:val="0"/>
      <w:marRight w:val="0"/>
      <w:marTop w:val="0"/>
      <w:marBottom w:val="0"/>
      <w:divBdr>
        <w:top w:val="none" w:sz="0" w:space="0" w:color="auto"/>
        <w:left w:val="none" w:sz="0" w:space="0" w:color="auto"/>
        <w:bottom w:val="none" w:sz="0" w:space="0" w:color="auto"/>
        <w:right w:val="none" w:sz="0" w:space="0" w:color="auto"/>
      </w:divBdr>
    </w:div>
    <w:div w:id="232206860">
      <w:bodyDiv w:val="1"/>
      <w:marLeft w:val="0"/>
      <w:marRight w:val="0"/>
      <w:marTop w:val="0"/>
      <w:marBottom w:val="0"/>
      <w:divBdr>
        <w:top w:val="none" w:sz="0" w:space="0" w:color="auto"/>
        <w:left w:val="none" w:sz="0" w:space="0" w:color="auto"/>
        <w:bottom w:val="none" w:sz="0" w:space="0" w:color="auto"/>
        <w:right w:val="none" w:sz="0" w:space="0" w:color="auto"/>
      </w:divBdr>
    </w:div>
    <w:div w:id="335348173">
      <w:bodyDiv w:val="1"/>
      <w:marLeft w:val="0"/>
      <w:marRight w:val="0"/>
      <w:marTop w:val="0"/>
      <w:marBottom w:val="0"/>
      <w:divBdr>
        <w:top w:val="none" w:sz="0" w:space="0" w:color="auto"/>
        <w:left w:val="none" w:sz="0" w:space="0" w:color="auto"/>
        <w:bottom w:val="none" w:sz="0" w:space="0" w:color="auto"/>
        <w:right w:val="none" w:sz="0" w:space="0" w:color="auto"/>
      </w:divBdr>
    </w:div>
    <w:div w:id="431366557">
      <w:bodyDiv w:val="1"/>
      <w:marLeft w:val="0"/>
      <w:marRight w:val="0"/>
      <w:marTop w:val="0"/>
      <w:marBottom w:val="0"/>
      <w:divBdr>
        <w:top w:val="none" w:sz="0" w:space="0" w:color="auto"/>
        <w:left w:val="none" w:sz="0" w:space="0" w:color="auto"/>
        <w:bottom w:val="none" w:sz="0" w:space="0" w:color="auto"/>
        <w:right w:val="none" w:sz="0" w:space="0" w:color="auto"/>
      </w:divBdr>
    </w:div>
    <w:div w:id="503012135">
      <w:bodyDiv w:val="1"/>
      <w:marLeft w:val="0"/>
      <w:marRight w:val="0"/>
      <w:marTop w:val="0"/>
      <w:marBottom w:val="0"/>
      <w:divBdr>
        <w:top w:val="none" w:sz="0" w:space="0" w:color="auto"/>
        <w:left w:val="none" w:sz="0" w:space="0" w:color="auto"/>
        <w:bottom w:val="none" w:sz="0" w:space="0" w:color="auto"/>
        <w:right w:val="none" w:sz="0" w:space="0" w:color="auto"/>
      </w:divBdr>
    </w:div>
    <w:div w:id="537551852">
      <w:bodyDiv w:val="1"/>
      <w:marLeft w:val="0"/>
      <w:marRight w:val="0"/>
      <w:marTop w:val="0"/>
      <w:marBottom w:val="0"/>
      <w:divBdr>
        <w:top w:val="none" w:sz="0" w:space="0" w:color="auto"/>
        <w:left w:val="none" w:sz="0" w:space="0" w:color="auto"/>
        <w:bottom w:val="none" w:sz="0" w:space="0" w:color="auto"/>
        <w:right w:val="none" w:sz="0" w:space="0" w:color="auto"/>
      </w:divBdr>
    </w:div>
    <w:div w:id="794640096">
      <w:bodyDiv w:val="1"/>
      <w:marLeft w:val="0"/>
      <w:marRight w:val="0"/>
      <w:marTop w:val="0"/>
      <w:marBottom w:val="0"/>
      <w:divBdr>
        <w:top w:val="none" w:sz="0" w:space="0" w:color="auto"/>
        <w:left w:val="none" w:sz="0" w:space="0" w:color="auto"/>
        <w:bottom w:val="none" w:sz="0" w:space="0" w:color="auto"/>
        <w:right w:val="none" w:sz="0" w:space="0" w:color="auto"/>
      </w:divBdr>
    </w:div>
    <w:div w:id="891236944">
      <w:bodyDiv w:val="1"/>
      <w:marLeft w:val="0"/>
      <w:marRight w:val="0"/>
      <w:marTop w:val="0"/>
      <w:marBottom w:val="0"/>
      <w:divBdr>
        <w:top w:val="none" w:sz="0" w:space="0" w:color="auto"/>
        <w:left w:val="none" w:sz="0" w:space="0" w:color="auto"/>
        <w:bottom w:val="none" w:sz="0" w:space="0" w:color="auto"/>
        <w:right w:val="none" w:sz="0" w:space="0" w:color="auto"/>
      </w:divBdr>
    </w:div>
    <w:div w:id="994913082">
      <w:bodyDiv w:val="1"/>
      <w:marLeft w:val="0"/>
      <w:marRight w:val="0"/>
      <w:marTop w:val="0"/>
      <w:marBottom w:val="0"/>
      <w:divBdr>
        <w:top w:val="none" w:sz="0" w:space="0" w:color="auto"/>
        <w:left w:val="none" w:sz="0" w:space="0" w:color="auto"/>
        <w:bottom w:val="none" w:sz="0" w:space="0" w:color="auto"/>
        <w:right w:val="none" w:sz="0" w:space="0" w:color="auto"/>
      </w:divBdr>
    </w:div>
    <w:div w:id="1037050808">
      <w:bodyDiv w:val="1"/>
      <w:marLeft w:val="0"/>
      <w:marRight w:val="0"/>
      <w:marTop w:val="0"/>
      <w:marBottom w:val="0"/>
      <w:divBdr>
        <w:top w:val="none" w:sz="0" w:space="0" w:color="auto"/>
        <w:left w:val="none" w:sz="0" w:space="0" w:color="auto"/>
        <w:bottom w:val="none" w:sz="0" w:space="0" w:color="auto"/>
        <w:right w:val="none" w:sz="0" w:space="0" w:color="auto"/>
      </w:divBdr>
    </w:div>
    <w:div w:id="1179004761">
      <w:bodyDiv w:val="1"/>
      <w:marLeft w:val="0"/>
      <w:marRight w:val="0"/>
      <w:marTop w:val="0"/>
      <w:marBottom w:val="0"/>
      <w:divBdr>
        <w:top w:val="none" w:sz="0" w:space="0" w:color="auto"/>
        <w:left w:val="none" w:sz="0" w:space="0" w:color="auto"/>
        <w:bottom w:val="none" w:sz="0" w:space="0" w:color="auto"/>
        <w:right w:val="none" w:sz="0" w:space="0" w:color="auto"/>
      </w:divBdr>
    </w:div>
    <w:div w:id="1357542537">
      <w:bodyDiv w:val="1"/>
      <w:marLeft w:val="0"/>
      <w:marRight w:val="0"/>
      <w:marTop w:val="0"/>
      <w:marBottom w:val="0"/>
      <w:divBdr>
        <w:top w:val="none" w:sz="0" w:space="0" w:color="auto"/>
        <w:left w:val="none" w:sz="0" w:space="0" w:color="auto"/>
        <w:bottom w:val="none" w:sz="0" w:space="0" w:color="auto"/>
        <w:right w:val="none" w:sz="0" w:space="0" w:color="auto"/>
      </w:divBdr>
    </w:div>
    <w:div w:id="1572885038">
      <w:bodyDiv w:val="1"/>
      <w:marLeft w:val="0"/>
      <w:marRight w:val="0"/>
      <w:marTop w:val="0"/>
      <w:marBottom w:val="0"/>
      <w:divBdr>
        <w:top w:val="none" w:sz="0" w:space="0" w:color="auto"/>
        <w:left w:val="none" w:sz="0" w:space="0" w:color="auto"/>
        <w:bottom w:val="none" w:sz="0" w:space="0" w:color="auto"/>
        <w:right w:val="none" w:sz="0" w:space="0" w:color="auto"/>
      </w:divBdr>
    </w:div>
    <w:div w:id="1608388579">
      <w:bodyDiv w:val="1"/>
      <w:marLeft w:val="0"/>
      <w:marRight w:val="0"/>
      <w:marTop w:val="0"/>
      <w:marBottom w:val="0"/>
      <w:divBdr>
        <w:top w:val="none" w:sz="0" w:space="0" w:color="auto"/>
        <w:left w:val="none" w:sz="0" w:space="0" w:color="auto"/>
        <w:bottom w:val="none" w:sz="0" w:space="0" w:color="auto"/>
        <w:right w:val="none" w:sz="0" w:space="0" w:color="auto"/>
      </w:divBdr>
    </w:div>
    <w:div w:id="1805391071">
      <w:bodyDiv w:val="1"/>
      <w:marLeft w:val="0"/>
      <w:marRight w:val="0"/>
      <w:marTop w:val="0"/>
      <w:marBottom w:val="0"/>
      <w:divBdr>
        <w:top w:val="none" w:sz="0" w:space="0" w:color="auto"/>
        <w:left w:val="none" w:sz="0" w:space="0" w:color="auto"/>
        <w:bottom w:val="none" w:sz="0" w:space="0" w:color="auto"/>
        <w:right w:val="none" w:sz="0" w:space="0" w:color="auto"/>
      </w:divBdr>
    </w:div>
    <w:div w:id="1873374149">
      <w:bodyDiv w:val="1"/>
      <w:marLeft w:val="0"/>
      <w:marRight w:val="0"/>
      <w:marTop w:val="0"/>
      <w:marBottom w:val="0"/>
      <w:divBdr>
        <w:top w:val="none" w:sz="0" w:space="0" w:color="auto"/>
        <w:left w:val="none" w:sz="0" w:space="0" w:color="auto"/>
        <w:bottom w:val="none" w:sz="0" w:space="0" w:color="auto"/>
        <w:right w:val="none" w:sz="0" w:space="0" w:color="auto"/>
      </w:divBdr>
    </w:div>
    <w:div w:id="1935239253">
      <w:bodyDiv w:val="1"/>
      <w:marLeft w:val="0"/>
      <w:marRight w:val="0"/>
      <w:marTop w:val="0"/>
      <w:marBottom w:val="0"/>
      <w:divBdr>
        <w:top w:val="none" w:sz="0" w:space="0" w:color="auto"/>
        <w:left w:val="none" w:sz="0" w:space="0" w:color="auto"/>
        <w:bottom w:val="none" w:sz="0" w:space="0" w:color="auto"/>
        <w:right w:val="none" w:sz="0" w:space="0" w:color="auto"/>
      </w:divBdr>
    </w:div>
    <w:div w:id="1974478203">
      <w:bodyDiv w:val="1"/>
      <w:marLeft w:val="0"/>
      <w:marRight w:val="0"/>
      <w:marTop w:val="0"/>
      <w:marBottom w:val="0"/>
      <w:divBdr>
        <w:top w:val="none" w:sz="0" w:space="0" w:color="auto"/>
        <w:left w:val="none" w:sz="0" w:space="0" w:color="auto"/>
        <w:bottom w:val="none" w:sz="0" w:space="0" w:color="auto"/>
        <w:right w:val="none" w:sz="0" w:space="0" w:color="auto"/>
      </w:divBdr>
    </w:div>
    <w:div w:id="2052339757">
      <w:bodyDiv w:val="1"/>
      <w:marLeft w:val="0"/>
      <w:marRight w:val="0"/>
      <w:marTop w:val="0"/>
      <w:marBottom w:val="0"/>
      <w:divBdr>
        <w:top w:val="none" w:sz="0" w:space="0" w:color="auto"/>
        <w:left w:val="none" w:sz="0" w:space="0" w:color="auto"/>
        <w:bottom w:val="none" w:sz="0" w:space="0" w:color="auto"/>
        <w:right w:val="none" w:sz="0" w:space="0" w:color="auto"/>
      </w:divBdr>
    </w:div>
    <w:div w:id="20953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872B-B45A-40E6-B339-4085519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204</cp:revision>
  <dcterms:created xsi:type="dcterms:W3CDTF">2022-10-31T03:16:00Z</dcterms:created>
  <dcterms:modified xsi:type="dcterms:W3CDTF">2025-01-16T02:34:00Z</dcterms:modified>
</cp:coreProperties>
</file>