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宋体" w:hAnsi="宋体"/>
          <w:bCs/>
          <w:iCs/>
          <w:color w:val="000000"/>
          <w:sz w:val="24"/>
        </w:rPr>
      </w:pPr>
      <w:bookmarkStart w:id="0" w:name="_Toc515462335"/>
      <w:r>
        <w:rPr>
          <w:rFonts w:hint="eastAsia" w:ascii="宋体" w:hAnsi="宋体"/>
          <w:bCs/>
          <w:iCs/>
          <w:color w:val="000000"/>
          <w:sz w:val="24"/>
        </w:rPr>
        <w:t xml:space="preserve">证券代码：600392  </w:t>
      </w:r>
      <w:r>
        <w:rPr>
          <w:rFonts w:ascii="宋体" w:hAnsi="宋体"/>
          <w:bCs/>
          <w:iCs/>
          <w:color w:val="000000"/>
          <w:sz w:val="24"/>
        </w:rPr>
        <w:t xml:space="preserve">         </w:t>
      </w:r>
      <w:r>
        <w:rPr>
          <w:rFonts w:hint="eastAsia" w:ascii="宋体" w:hAnsi="宋体"/>
          <w:bCs/>
          <w:iCs/>
          <w:color w:val="000000"/>
          <w:sz w:val="24"/>
        </w:rPr>
        <w:t xml:space="preserve">           证券简称：盛和资源</w:t>
      </w:r>
    </w:p>
    <w:p>
      <w:pPr>
        <w:widowControl/>
        <w:jc w:val="center"/>
        <w:rPr>
          <w:rFonts w:hint="eastAsia" w:ascii="宋体" w:hAnsi="宋体"/>
          <w:bCs/>
          <w:iCs/>
          <w:color w:val="000000"/>
          <w:sz w:val="24"/>
        </w:rPr>
      </w:pPr>
    </w:p>
    <w:p>
      <w:pPr>
        <w:widowControl/>
        <w:spacing w:before="312" w:beforeLines="100"/>
        <w:jc w:val="center"/>
        <w:rPr>
          <w:rFonts w:hint="eastAsia" w:ascii="宋体" w:hAnsi="宋体"/>
          <w:bCs/>
          <w:iCs/>
          <w:color w:val="000000"/>
          <w:sz w:val="36"/>
          <w:szCs w:val="36"/>
        </w:rPr>
      </w:pPr>
      <w:r>
        <w:rPr>
          <w:rFonts w:hint="eastAsia" w:ascii="宋体" w:hAnsi="宋体"/>
          <w:bCs/>
          <w:iCs/>
          <w:color w:val="000000"/>
          <w:sz w:val="36"/>
          <w:szCs w:val="36"/>
        </w:rPr>
        <w:t>盛和资源控股股份有限公司</w:t>
      </w:r>
    </w:p>
    <w:p>
      <w:pPr>
        <w:widowControl/>
        <w:spacing w:after="312" w:afterLines="100"/>
        <w:jc w:val="center"/>
        <w:rPr>
          <w:rFonts w:hint="eastAsia" w:ascii="宋体" w:hAnsi="宋体"/>
          <w:color w:val="000000"/>
          <w:sz w:val="36"/>
          <w:szCs w:val="36"/>
        </w:rPr>
      </w:pPr>
      <w:r>
        <w:rPr>
          <w:rFonts w:hint="eastAsia" w:ascii="宋体" w:hAnsi="宋体"/>
          <w:bCs/>
          <w:iCs/>
          <w:color w:val="000000"/>
          <w:sz w:val="36"/>
          <w:szCs w:val="36"/>
        </w:rPr>
        <w:t>投资者关系活动记录表</w:t>
      </w:r>
    </w:p>
    <w:p>
      <w:pPr>
        <w:spacing w:line="360" w:lineRule="auto"/>
        <w:rPr>
          <w:rFonts w:hint="eastAsia" w:ascii="宋体" w:hAnsi="宋体"/>
          <w:bCs/>
          <w:iCs/>
          <w:color w:val="000000"/>
          <w:szCs w:val="21"/>
        </w:rPr>
      </w:pPr>
      <w:r>
        <w:rPr>
          <w:rFonts w:ascii="宋体" w:hAnsi="宋体"/>
          <w:bCs/>
          <w:iCs/>
          <w:color w:val="000000"/>
          <w:szCs w:val="21"/>
        </w:rPr>
        <w:t xml:space="preserve">                                                     </w:t>
      </w:r>
      <w:r>
        <w:rPr>
          <w:rFonts w:hint="eastAsia" w:ascii="宋体" w:hAnsi="宋体"/>
          <w:bCs/>
          <w:iCs/>
          <w:color w:val="000000"/>
          <w:szCs w:val="21"/>
        </w:rPr>
        <w:t xml:space="preserve">            </w:t>
      </w:r>
      <w:r>
        <w:rPr>
          <w:rFonts w:ascii="宋体" w:hAnsi="宋体"/>
          <w:bCs/>
          <w:iCs/>
          <w:color w:val="000000"/>
          <w:szCs w:val="21"/>
        </w:rPr>
        <w:t>编号：</w:t>
      </w:r>
      <w:r>
        <w:rPr>
          <w:rFonts w:hint="eastAsia" w:ascii="宋体" w:hAnsi="宋体"/>
          <w:bCs/>
          <w:iCs/>
          <w:color w:val="000000"/>
          <w:szCs w:val="21"/>
        </w:rPr>
        <w:t>2</w:t>
      </w:r>
      <w:r>
        <w:rPr>
          <w:rFonts w:ascii="宋体" w:hAnsi="宋体"/>
          <w:bCs/>
          <w:iCs/>
          <w:color w:val="000000"/>
          <w:szCs w:val="21"/>
        </w:rPr>
        <w:t>02</w:t>
      </w:r>
      <w:r>
        <w:rPr>
          <w:rFonts w:hint="eastAsia" w:ascii="宋体" w:hAnsi="宋体"/>
          <w:bCs/>
          <w:iCs/>
          <w:color w:val="000000"/>
          <w:szCs w:val="21"/>
        </w:rPr>
        <w:t>5</w:t>
      </w:r>
      <w:r>
        <w:rPr>
          <w:rFonts w:ascii="宋体" w:hAnsi="宋体"/>
          <w:bCs/>
          <w:iCs/>
          <w:color w:val="000000"/>
          <w:szCs w:val="21"/>
        </w:rPr>
        <w:t>-0</w:t>
      </w:r>
      <w:r>
        <w:rPr>
          <w:rFonts w:hint="eastAsia" w:ascii="宋体" w:hAnsi="宋体"/>
          <w:bCs/>
          <w:iCs/>
          <w:color w:val="000000"/>
          <w:szCs w:val="21"/>
        </w:rPr>
        <w:t>2</w:t>
      </w:r>
    </w:p>
    <w:tbl>
      <w:tblPr>
        <w:tblStyle w:val="10"/>
        <w:tblW w:w="963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7"/>
        <w:gridCol w:w="7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47" w:type="dxa"/>
            <w:vAlign w:val="center"/>
          </w:tcPr>
          <w:p>
            <w:pPr>
              <w:spacing w:line="360" w:lineRule="auto"/>
              <w:rPr>
                <w:rFonts w:hint="eastAsia" w:ascii="宋体" w:hAnsi="宋体"/>
                <w:b/>
                <w:bCs/>
                <w:iCs/>
                <w:color w:val="000000"/>
                <w:szCs w:val="21"/>
              </w:rPr>
            </w:pPr>
            <w:r>
              <w:rPr>
                <w:rFonts w:ascii="宋体" w:hAnsi="宋体"/>
                <w:b/>
                <w:bCs/>
                <w:iCs/>
                <w:color w:val="000000"/>
                <w:szCs w:val="21"/>
              </w:rPr>
              <w:t>投资者关系活动类别</w:t>
            </w:r>
            <w:r>
              <w:rPr>
                <w:rFonts w:hint="eastAsia" w:ascii="宋体" w:hAnsi="宋体"/>
                <w:b/>
                <w:bCs/>
                <w:iCs/>
                <w:color w:val="000000"/>
                <w:szCs w:val="21"/>
              </w:rPr>
              <w:t>“选中项请打√”</w:t>
            </w:r>
          </w:p>
        </w:tc>
        <w:tc>
          <w:tcPr>
            <w:tcW w:w="7088" w:type="dxa"/>
          </w:tcPr>
          <w:p>
            <w:pPr>
              <w:spacing w:line="360" w:lineRule="auto"/>
              <w:jc w:val="left"/>
              <w:rPr>
                <w:rFonts w:hint="eastAsia" w:ascii="宋体" w:hAnsi="宋体"/>
                <w:bCs/>
                <w:iCs/>
                <w:color w:val="000000"/>
                <w:szCs w:val="21"/>
              </w:rPr>
            </w:pPr>
            <w:r>
              <w:rPr>
                <w:rFonts w:ascii="宋体" w:hAnsi="宋体"/>
                <w:bCs/>
                <w:iCs/>
                <w:color w:val="000000"/>
                <w:szCs w:val="21"/>
              </w:rPr>
              <w:sym w:font="Wingdings 2" w:char="0052"/>
            </w:r>
            <w:r>
              <w:rPr>
                <w:rFonts w:ascii="宋体" w:hAnsi="宋体"/>
                <w:color w:val="000000"/>
                <w:szCs w:val="21"/>
              </w:rPr>
              <w:t xml:space="preserve">特定对象调研   </w:t>
            </w:r>
            <w:r>
              <w:rPr>
                <w:rFonts w:ascii="宋体" w:hAnsi="宋体"/>
                <w:bCs/>
                <w:iCs/>
                <w:color w:val="000000"/>
                <w:szCs w:val="21"/>
              </w:rPr>
              <w:sym w:font="Wingdings 2" w:char="00A3"/>
            </w:r>
            <w:r>
              <w:rPr>
                <w:rFonts w:ascii="宋体" w:hAnsi="宋体"/>
                <w:color w:val="000000"/>
                <w:szCs w:val="21"/>
              </w:rPr>
              <w:t>分析师会议</w:t>
            </w:r>
            <w:r>
              <w:rPr>
                <w:rFonts w:hint="eastAsia" w:ascii="宋体" w:hAnsi="宋体"/>
                <w:bCs/>
                <w:iCs/>
                <w:color w:val="000000"/>
                <w:szCs w:val="21"/>
              </w:rPr>
              <w:t xml:space="preserve">    </w:t>
            </w:r>
            <w:bookmarkStart w:id="1" w:name="OLE_LINK1"/>
            <w:r>
              <w:rPr>
                <w:rFonts w:ascii="宋体" w:hAnsi="宋体"/>
                <w:bCs/>
                <w:iCs/>
                <w:color w:val="000000"/>
                <w:szCs w:val="21"/>
              </w:rPr>
              <w:t>□</w:t>
            </w:r>
            <w:bookmarkEnd w:id="1"/>
            <w:r>
              <w:rPr>
                <w:rFonts w:ascii="宋体" w:hAnsi="宋体"/>
                <w:color w:val="000000"/>
                <w:szCs w:val="21"/>
              </w:rPr>
              <w:t xml:space="preserve">媒体采访   </w:t>
            </w:r>
            <w:r>
              <w:rPr>
                <w:rFonts w:hint="eastAsia" w:ascii="宋体" w:hAnsi="宋体"/>
                <w:color w:val="000000"/>
                <w:szCs w:val="21"/>
              </w:rPr>
              <w:t xml:space="preserve"> □</w:t>
            </w:r>
            <w:r>
              <w:rPr>
                <w:rFonts w:ascii="宋体" w:hAnsi="宋体"/>
                <w:color w:val="000000"/>
                <w:szCs w:val="21"/>
              </w:rPr>
              <w:t>业绩说明会</w:t>
            </w:r>
            <w:r>
              <w:rPr>
                <w:rFonts w:hint="eastAsia" w:ascii="宋体" w:hAnsi="宋体"/>
                <w:bCs/>
                <w:iCs/>
                <w:color w:val="000000"/>
                <w:szCs w:val="21"/>
              </w:rPr>
              <w:t xml:space="preserve">          </w:t>
            </w:r>
            <w:r>
              <w:rPr>
                <w:rFonts w:ascii="宋体" w:hAnsi="宋体"/>
                <w:bCs/>
                <w:iCs/>
                <w:color w:val="000000"/>
                <w:szCs w:val="21"/>
              </w:rPr>
              <w:t>□</w:t>
            </w:r>
            <w:r>
              <w:rPr>
                <w:rFonts w:ascii="宋体" w:hAnsi="宋体"/>
                <w:color w:val="000000"/>
                <w:szCs w:val="21"/>
              </w:rPr>
              <w:t xml:space="preserve">新闻发布会     </w:t>
            </w:r>
            <w:r>
              <w:rPr>
                <w:rFonts w:ascii="宋体" w:hAnsi="宋体"/>
                <w:bCs/>
                <w:iCs/>
                <w:color w:val="000000"/>
                <w:szCs w:val="21"/>
              </w:rPr>
              <w:t>□</w:t>
            </w:r>
            <w:r>
              <w:rPr>
                <w:rFonts w:ascii="宋体" w:hAnsi="宋体"/>
                <w:color w:val="000000"/>
                <w:szCs w:val="21"/>
              </w:rPr>
              <w:t>路演活动</w:t>
            </w:r>
            <w:r>
              <w:rPr>
                <w:rFonts w:hint="eastAsia" w:ascii="宋体" w:hAnsi="宋体"/>
                <w:bCs/>
                <w:iCs/>
                <w:color w:val="000000"/>
                <w:szCs w:val="21"/>
              </w:rPr>
              <w:t xml:space="preserve">      </w:t>
            </w:r>
            <w:r>
              <w:rPr>
                <w:rFonts w:ascii="宋体" w:hAnsi="宋体"/>
                <w:bCs/>
                <w:iCs/>
                <w:color w:val="000000"/>
                <w:szCs w:val="21"/>
              </w:rPr>
              <w:t>□</w:t>
            </w:r>
            <w:r>
              <w:rPr>
                <w:rFonts w:ascii="宋体" w:hAnsi="宋体"/>
                <w:color w:val="000000"/>
                <w:szCs w:val="21"/>
              </w:rPr>
              <w:t>现场参观</w:t>
            </w:r>
            <w:r>
              <w:rPr>
                <w:rFonts w:ascii="宋体" w:hAnsi="宋体"/>
                <w:bCs/>
                <w:iCs/>
                <w:color w:val="000000"/>
                <w:szCs w:val="21"/>
              </w:rPr>
              <w:tab/>
            </w:r>
            <w:r>
              <w:rPr>
                <w:rFonts w:hint="eastAsia" w:ascii="宋体" w:hAnsi="宋体"/>
                <w:bCs/>
                <w:iCs/>
                <w:color w:val="000000"/>
                <w:szCs w:val="21"/>
              </w:rPr>
              <w:t xml:space="preserve">   </w:t>
            </w:r>
            <w:r>
              <w:rPr>
                <w:rFonts w:ascii="宋体" w:hAnsi="宋体"/>
                <w:bCs/>
                <w:iCs/>
                <w:color w:val="000000"/>
                <w:szCs w:val="21"/>
              </w:rPr>
              <w:t>□</w:t>
            </w:r>
            <w:r>
              <w:rPr>
                <w:rFonts w:ascii="宋体" w:hAnsi="宋体"/>
                <w:color w:val="000000"/>
                <w:szCs w:val="21"/>
              </w:rPr>
              <w:t>其他</w:t>
            </w:r>
            <w:r>
              <w:rPr>
                <w:rFonts w:hint="eastAsia" w:ascii="宋体" w:hAnsi="宋体"/>
                <w:color w:val="000000"/>
                <w:szCs w:val="21"/>
              </w:rPr>
              <w:t>（电话</w:t>
            </w:r>
            <w:r>
              <w:rPr>
                <w:rFonts w:ascii="宋体" w:hAnsi="宋体"/>
                <w:color w:val="000000"/>
                <w:szCs w:val="21"/>
              </w:rPr>
              <w:t>会议</w:t>
            </w:r>
            <w:r>
              <w:rPr>
                <w:rFonts w:hint="eastAsia" w:ascii="宋体" w:hAnsi="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9" w:hRule="atLeast"/>
          <w:jc w:val="center"/>
        </w:trPr>
        <w:tc>
          <w:tcPr>
            <w:tcW w:w="2547" w:type="dxa"/>
            <w:vAlign w:val="center"/>
          </w:tcPr>
          <w:p>
            <w:pPr>
              <w:spacing w:line="360" w:lineRule="auto"/>
              <w:jc w:val="center"/>
              <w:rPr>
                <w:rFonts w:hint="eastAsia" w:ascii="宋体" w:hAnsi="宋体"/>
                <w:b/>
                <w:bCs/>
                <w:iCs/>
                <w:color w:val="000000"/>
                <w:szCs w:val="21"/>
              </w:rPr>
            </w:pPr>
            <w:r>
              <w:rPr>
                <w:rFonts w:ascii="宋体" w:hAnsi="宋体"/>
                <w:b/>
                <w:bCs/>
                <w:iCs/>
                <w:color w:val="000000"/>
                <w:szCs w:val="21"/>
              </w:rPr>
              <w:t>参与单位名称</w:t>
            </w:r>
          </w:p>
        </w:tc>
        <w:tc>
          <w:tcPr>
            <w:tcW w:w="7088" w:type="dxa"/>
            <w:vAlign w:val="center"/>
          </w:tcPr>
          <w:p>
            <w:pPr>
              <w:spacing w:line="276" w:lineRule="auto"/>
              <w:rPr>
                <w:rFonts w:hint="eastAsia" w:ascii="等线" w:hAnsi="等线" w:eastAsia="等线"/>
                <w:color w:val="000000"/>
                <w:kern w:val="0"/>
                <w:sz w:val="22"/>
                <w:szCs w:val="22"/>
              </w:rPr>
            </w:pPr>
            <w:r>
              <w:rPr>
                <w:rFonts w:hint="eastAsia" w:ascii="宋体" w:hAnsi="宋体"/>
                <w:bCs/>
                <w:iCs/>
                <w:color w:val="000000"/>
                <w:szCs w:val="21"/>
              </w:rPr>
              <w:t>长江证券、华宝基金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47" w:type="dxa"/>
            <w:vAlign w:val="center"/>
          </w:tcPr>
          <w:p>
            <w:pPr>
              <w:spacing w:line="360" w:lineRule="auto"/>
              <w:jc w:val="center"/>
              <w:rPr>
                <w:rFonts w:hint="eastAsia" w:ascii="宋体" w:hAnsi="宋体"/>
                <w:b/>
                <w:bCs/>
                <w:iCs/>
                <w:color w:val="000000"/>
                <w:szCs w:val="21"/>
              </w:rPr>
            </w:pPr>
            <w:r>
              <w:rPr>
                <w:rFonts w:ascii="宋体" w:hAnsi="宋体"/>
                <w:b/>
                <w:bCs/>
                <w:iCs/>
                <w:color w:val="000000"/>
                <w:szCs w:val="21"/>
              </w:rPr>
              <w:t>时间</w:t>
            </w:r>
          </w:p>
        </w:tc>
        <w:tc>
          <w:tcPr>
            <w:tcW w:w="7088" w:type="dxa"/>
            <w:vAlign w:val="center"/>
          </w:tcPr>
          <w:p>
            <w:pPr>
              <w:spacing w:line="276" w:lineRule="auto"/>
              <w:rPr>
                <w:rFonts w:hint="eastAsia" w:ascii="宋体" w:hAnsi="宋体"/>
                <w:bCs/>
                <w:iCs/>
                <w:color w:val="000000"/>
                <w:szCs w:val="21"/>
              </w:rPr>
            </w:pPr>
            <w:r>
              <w:rPr>
                <w:rFonts w:ascii="宋体" w:hAnsi="宋体"/>
                <w:bCs/>
                <w:iCs/>
                <w:color w:val="000000"/>
                <w:szCs w:val="21"/>
              </w:rPr>
              <w:t>202</w:t>
            </w:r>
            <w:r>
              <w:rPr>
                <w:rFonts w:hint="eastAsia" w:ascii="宋体" w:hAnsi="宋体"/>
                <w:bCs/>
                <w:iCs/>
                <w:color w:val="000000"/>
                <w:szCs w:val="21"/>
              </w:rPr>
              <w:t>5年1月16日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47" w:type="dxa"/>
            <w:vAlign w:val="center"/>
          </w:tcPr>
          <w:p>
            <w:pPr>
              <w:spacing w:line="360" w:lineRule="auto"/>
              <w:jc w:val="center"/>
              <w:rPr>
                <w:rFonts w:hint="eastAsia" w:ascii="宋体" w:hAnsi="宋体"/>
                <w:b/>
                <w:bCs/>
                <w:iCs/>
                <w:color w:val="000000"/>
                <w:szCs w:val="21"/>
              </w:rPr>
            </w:pPr>
            <w:r>
              <w:rPr>
                <w:rFonts w:hint="eastAsia" w:ascii="宋体" w:hAnsi="宋体"/>
                <w:b/>
                <w:bCs/>
                <w:iCs/>
                <w:color w:val="000000"/>
                <w:szCs w:val="21"/>
              </w:rPr>
              <w:t>地点</w:t>
            </w:r>
          </w:p>
        </w:tc>
        <w:tc>
          <w:tcPr>
            <w:tcW w:w="7088" w:type="dxa"/>
            <w:vAlign w:val="center"/>
          </w:tcPr>
          <w:p>
            <w:pPr>
              <w:spacing w:line="276" w:lineRule="auto"/>
              <w:rPr>
                <w:rFonts w:hint="eastAsia" w:ascii="宋体" w:hAnsi="宋体"/>
                <w:bCs/>
                <w:iCs/>
                <w:color w:val="000000"/>
                <w:szCs w:val="21"/>
              </w:rPr>
            </w:pPr>
            <w:r>
              <w:rPr>
                <w:rFonts w:hint="eastAsia" w:ascii="宋体" w:hAnsi="宋体"/>
                <w:bCs/>
                <w:iCs/>
                <w:color w:val="000000"/>
                <w:szCs w:val="21"/>
              </w:rPr>
              <w:t>公司会议室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47" w:type="dxa"/>
            <w:vAlign w:val="center"/>
          </w:tcPr>
          <w:p>
            <w:pPr>
              <w:spacing w:line="360" w:lineRule="auto"/>
              <w:jc w:val="center"/>
              <w:rPr>
                <w:rFonts w:hint="eastAsia" w:ascii="宋体" w:hAnsi="宋体"/>
                <w:b/>
                <w:bCs/>
                <w:iCs/>
                <w:color w:val="000000"/>
                <w:szCs w:val="21"/>
              </w:rPr>
            </w:pPr>
            <w:r>
              <w:rPr>
                <w:rFonts w:ascii="宋体" w:hAnsi="宋体"/>
                <w:b/>
                <w:bCs/>
                <w:iCs/>
                <w:color w:val="000000"/>
                <w:szCs w:val="21"/>
              </w:rPr>
              <w:t>上市公司接待人员姓名</w:t>
            </w:r>
          </w:p>
        </w:tc>
        <w:tc>
          <w:tcPr>
            <w:tcW w:w="7088" w:type="dxa"/>
            <w:vAlign w:val="center"/>
          </w:tcPr>
          <w:p>
            <w:pPr>
              <w:spacing w:line="276" w:lineRule="auto"/>
              <w:rPr>
                <w:rFonts w:hint="eastAsia" w:ascii="宋体" w:hAnsi="宋体"/>
                <w:bCs/>
                <w:iCs/>
                <w:color w:val="000000"/>
                <w:szCs w:val="21"/>
              </w:rPr>
            </w:pPr>
            <w:r>
              <w:rPr>
                <w:rFonts w:hint="eastAsia" w:ascii="宋体" w:hAnsi="宋体" w:cs="宋体"/>
                <w:color w:val="000000"/>
                <w:kern w:val="0"/>
                <w:szCs w:val="21"/>
              </w:rPr>
              <w:t>董事会秘书：郭晓雷  证券代表：陈冬梅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47" w:type="dxa"/>
            <w:vAlign w:val="center"/>
          </w:tcPr>
          <w:p>
            <w:pPr>
              <w:spacing w:before="156" w:beforeLines="50"/>
              <w:ind w:firstLine="420" w:firstLineChars="200"/>
              <w:rPr>
                <w:rFonts w:hint="eastAsia" w:ascii="宋体" w:hAnsi="宋体"/>
              </w:rPr>
            </w:pPr>
            <w:r>
              <w:rPr>
                <w:rFonts w:hint="eastAsia" w:ascii="宋体" w:hAnsi="宋体"/>
              </w:rPr>
              <w:t>调研</w:t>
            </w:r>
            <w:r>
              <w:rPr>
                <w:rFonts w:ascii="宋体" w:hAnsi="宋体"/>
              </w:rPr>
              <w:t>主要内容介绍</w:t>
            </w:r>
          </w:p>
          <w:p>
            <w:pPr>
              <w:spacing w:before="156" w:beforeLines="50"/>
              <w:ind w:firstLine="420" w:firstLineChars="200"/>
              <w:rPr>
                <w:rFonts w:hint="eastAsia" w:ascii="宋体" w:hAnsi="宋体"/>
              </w:rPr>
            </w:pPr>
          </w:p>
        </w:tc>
        <w:tc>
          <w:tcPr>
            <w:tcW w:w="7088" w:type="dxa"/>
          </w:tcPr>
          <w:p>
            <w:pPr>
              <w:spacing w:before="156" w:beforeLines="50"/>
              <w:ind w:firstLine="420" w:firstLineChars="200"/>
              <w:rPr>
                <w:rFonts w:hint="eastAsia" w:ascii="宋体" w:hAnsi="宋体"/>
              </w:rPr>
            </w:pPr>
            <w:r>
              <w:rPr>
                <w:rFonts w:hint="eastAsia"/>
              </w:rPr>
              <w:t>董秘郭晓雷主要向到访投资者介绍了公司稀土、锆钛和循环经济三个产业链以及近期海外项目的一些进展。</w:t>
            </w:r>
          </w:p>
          <w:p>
            <w:pPr>
              <w:pStyle w:val="21"/>
              <w:numPr>
                <w:ilvl w:val="0"/>
                <w:numId w:val="1"/>
              </w:numPr>
              <w:spacing w:before="156" w:beforeLines="50"/>
              <w:ind w:firstLineChars="0"/>
              <w:rPr>
                <w:rFonts w:hint="eastAsia" w:ascii="宋体" w:hAnsi="宋体"/>
              </w:rPr>
            </w:pPr>
            <w:r>
              <w:rPr>
                <w:rFonts w:hint="eastAsia" w:ascii="宋体" w:hAnsi="宋体"/>
              </w:rPr>
              <w:t>公司海外的锆钛矿项目目前有什么最新进展？</w:t>
            </w:r>
          </w:p>
          <w:p>
            <w:pPr>
              <w:spacing w:before="156" w:beforeLines="50"/>
              <w:ind w:firstLine="420" w:firstLineChars="200"/>
            </w:pPr>
            <w:r>
              <w:rPr>
                <w:rFonts w:hint="eastAsia" w:ascii="宋体" w:hAnsi="宋体"/>
              </w:rPr>
              <w:t>公司近期公告了2024年8月收购的</w:t>
            </w:r>
            <w:r>
              <w:rPr>
                <w:rFonts w:ascii="宋体" w:hAnsi="宋体"/>
              </w:rPr>
              <w:t>SRUL公司</w:t>
            </w:r>
            <w:r>
              <w:rPr>
                <w:rFonts w:hint="eastAsia" w:ascii="宋体" w:hAnsi="宋体"/>
              </w:rPr>
              <w:t>位于坦桑尼亚的</w:t>
            </w:r>
            <w:r>
              <w:rPr>
                <w:rFonts w:ascii="宋体" w:hAnsi="宋体"/>
              </w:rPr>
              <w:t>Fungoni（芬戈尼重砂项目）1号生产线已经顺利完成安装调试并于近日正式投入生产</w:t>
            </w:r>
            <w:r>
              <w:rPr>
                <w:rFonts w:hint="eastAsia" w:ascii="宋体" w:hAnsi="宋体"/>
              </w:rPr>
              <w:t>。</w:t>
            </w:r>
            <w:r>
              <w:rPr>
                <w:rFonts w:ascii="宋体" w:hAnsi="宋体"/>
              </w:rPr>
              <w:t>根据项目规划，所有生产线将于2025年9月前全部投产完毕</w:t>
            </w:r>
            <w:r>
              <w:rPr>
                <w:rFonts w:hint="eastAsia" w:ascii="宋体" w:hAnsi="宋体"/>
              </w:rPr>
              <w:t>。</w:t>
            </w:r>
            <w:r>
              <w:rPr>
                <w:rFonts w:ascii="宋体" w:hAnsi="宋体"/>
              </w:rPr>
              <w:t>届时，项目将形成年产10万吨重砂精矿产品的生产能力</w:t>
            </w:r>
            <w:r>
              <w:rPr>
                <w:rFonts w:hint="eastAsia" w:ascii="宋体" w:hAnsi="宋体"/>
              </w:rPr>
              <w:t>。此项目的投产是公司向资源控股型公司转型升级的重要标志</w:t>
            </w:r>
            <w:r>
              <w:rPr>
                <w:rFonts w:hint="eastAsia"/>
              </w:rPr>
              <w:t>。</w:t>
            </w:r>
          </w:p>
          <w:p>
            <w:pPr>
              <w:spacing w:before="156" w:beforeLines="50"/>
              <w:ind w:firstLine="420" w:firstLineChars="200"/>
              <w:rPr>
                <w:rFonts w:hint="eastAsia" w:ascii="宋体" w:hAnsi="宋体"/>
              </w:rPr>
            </w:pPr>
            <w:r>
              <w:rPr>
                <w:rFonts w:hint="eastAsia" w:ascii="宋体" w:hAnsi="宋体"/>
              </w:rPr>
              <w:t>公司去年收购的另一个锆钛矿项目是嘉成矿业，该公司间接拥有位于马达加斯加的多个重砂矿项目，其中已经取得采矿权证的项目有3个，采矿权范围内的重矿物资源量约1786万吨。目前正在开展项目前期工作。</w:t>
            </w:r>
          </w:p>
          <w:p>
            <w:pPr>
              <w:spacing w:before="156" w:beforeLines="50"/>
              <w:ind w:firstLine="420" w:firstLineChars="200"/>
              <w:rPr>
                <w:rFonts w:ascii="宋体" w:hAnsi="宋体"/>
              </w:rPr>
            </w:pPr>
            <w:r>
              <w:rPr>
                <w:rFonts w:hint="eastAsia" w:ascii="宋体" w:hAnsi="宋体"/>
              </w:rPr>
              <w:t>坦桑尼亚和马达加斯加重砂矿项目的收购将为公司锆钛产业链的发展提供充足的资源保障。</w:t>
            </w:r>
          </w:p>
          <w:p>
            <w:pPr>
              <w:spacing w:before="156" w:beforeLines="50"/>
              <w:ind w:firstLine="420" w:firstLineChars="200"/>
              <w:rPr>
                <w:rFonts w:ascii="宋体" w:hAnsi="宋体"/>
              </w:rPr>
            </w:pPr>
            <w:r>
              <w:rPr>
                <w:rFonts w:hint="eastAsia" w:ascii="宋体" w:hAnsi="宋体"/>
              </w:rPr>
              <w:t>2、公司锆钛矿产量释放后，对市场整体供给影响程度如何？</w:t>
            </w:r>
          </w:p>
          <w:p>
            <w:pPr>
              <w:spacing w:before="156" w:beforeLines="50"/>
              <w:ind w:firstLine="420" w:firstLineChars="200"/>
            </w:pPr>
            <w:r>
              <w:rPr>
                <w:rFonts w:hint="eastAsia" w:ascii="宋体" w:hAnsi="宋体"/>
              </w:rPr>
              <w:t>公司坦桑尼亚</w:t>
            </w:r>
            <w:r>
              <w:rPr>
                <w:rFonts w:hint="eastAsia" w:ascii="宋体" w:hAnsi="宋体"/>
                <w:lang w:val="en-US" w:eastAsia="zh-CN"/>
              </w:rPr>
              <w:t>和</w:t>
            </w:r>
            <w:r>
              <w:rPr>
                <w:rFonts w:hint="eastAsia" w:ascii="宋体" w:hAnsi="宋体"/>
              </w:rPr>
              <w:t>马达加斯加重砂矿项目</w:t>
            </w:r>
            <w:r>
              <w:rPr>
                <w:rFonts w:hint="eastAsia" w:ascii="宋体" w:hAnsi="宋体"/>
                <w:lang w:val="en-US" w:eastAsia="zh-CN"/>
              </w:rPr>
              <w:t>逐步</w:t>
            </w:r>
            <w:r>
              <w:rPr>
                <w:rFonts w:hint="eastAsia" w:ascii="宋体" w:hAnsi="宋体"/>
              </w:rPr>
              <w:t>投产</w:t>
            </w:r>
            <w:r>
              <w:rPr>
                <w:rFonts w:hint="eastAsia" w:ascii="宋体" w:hAnsi="宋体"/>
                <w:lang w:eastAsia="zh-CN"/>
              </w:rPr>
              <w:t>，</w:t>
            </w:r>
            <w:r>
              <w:rPr>
                <w:rFonts w:hint="eastAsia" w:ascii="宋体" w:hAnsi="宋体"/>
                <w:lang w:val="en-US" w:eastAsia="zh-CN"/>
              </w:rPr>
              <w:t>以满足公司自有选矿厂对锆钛矿原料的需求。</w:t>
            </w:r>
            <w:r>
              <w:rPr>
                <w:rFonts w:hint="eastAsia" w:ascii="宋体" w:hAnsi="宋体"/>
              </w:rPr>
              <w:t>因为国内每年</w:t>
            </w:r>
            <w:r>
              <w:rPr>
                <w:rFonts w:hint="eastAsia" w:ascii="宋体" w:hAnsi="宋体"/>
                <w:lang w:val="en-US" w:eastAsia="zh-CN"/>
              </w:rPr>
              <w:t>对</w:t>
            </w:r>
            <w:r>
              <w:rPr>
                <w:rFonts w:hint="eastAsia" w:ascii="宋体" w:hAnsi="宋体"/>
              </w:rPr>
              <w:t>锆钛矿</w:t>
            </w:r>
            <w:r>
              <w:rPr>
                <w:rFonts w:hint="eastAsia" w:ascii="宋体" w:hAnsi="宋体"/>
                <w:lang w:val="en-US" w:eastAsia="zh-CN"/>
              </w:rPr>
              <w:t>原料</w:t>
            </w:r>
            <w:r>
              <w:rPr>
                <w:rFonts w:hint="eastAsia" w:ascii="宋体" w:hAnsi="宋体"/>
              </w:rPr>
              <w:t>的需求较大，</w:t>
            </w:r>
            <w:r>
              <w:rPr>
                <w:rFonts w:hint="eastAsia" w:ascii="宋体" w:hAnsi="宋体"/>
                <w:lang w:val="en-US" w:eastAsia="zh-CN"/>
              </w:rPr>
              <w:t>且下游</w:t>
            </w:r>
            <w:r>
              <w:rPr>
                <w:rFonts w:hint="eastAsia"/>
              </w:rPr>
              <w:t>钛白粉</w:t>
            </w:r>
            <w:r>
              <w:rPr>
                <w:rFonts w:hint="eastAsia"/>
                <w:lang w:val="en-US" w:eastAsia="zh-CN"/>
              </w:rPr>
              <w:t>等市场</w:t>
            </w:r>
            <w:r>
              <w:rPr>
                <w:rFonts w:hint="eastAsia"/>
              </w:rPr>
              <w:t>目前也处于增长态势</w:t>
            </w:r>
            <w:r>
              <w:rPr>
                <w:rFonts w:hint="eastAsia" w:ascii="宋体" w:hAnsi="宋体"/>
              </w:rPr>
              <w:t>，</w:t>
            </w:r>
            <w:r>
              <w:rPr>
                <w:rFonts w:hint="eastAsia" w:ascii="宋体" w:hAnsi="宋体"/>
                <w:lang w:val="en-US" w:eastAsia="zh-CN"/>
              </w:rPr>
              <w:t>公司锆钛矿项目的逐步投产</w:t>
            </w:r>
            <w:r>
              <w:rPr>
                <w:rFonts w:hint="eastAsia" w:ascii="宋体" w:hAnsi="宋体"/>
              </w:rPr>
              <w:t>对锆钛市场的整体影响</w:t>
            </w:r>
            <w:r>
              <w:rPr>
                <w:rFonts w:hint="eastAsia" w:ascii="宋体" w:hAnsi="宋体"/>
                <w:lang w:val="en-US" w:eastAsia="zh-CN"/>
              </w:rPr>
              <w:t>可控</w:t>
            </w:r>
            <w:r>
              <w:rPr>
                <w:rFonts w:hint="eastAsia"/>
              </w:rPr>
              <w:t>。</w:t>
            </w:r>
          </w:p>
          <w:p>
            <w:pPr>
              <w:spacing w:before="156" w:beforeLines="50"/>
              <w:ind w:firstLine="420" w:firstLineChars="200"/>
            </w:pPr>
            <w:r>
              <w:rPr>
                <w:rFonts w:hint="eastAsia"/>
              </w:rPr>
              <w:t>3、公司参股的锆钛矿项目目前进展如何？</w:t>
            </w:r>
          </w:p>
          <w:p>
            <w:pPr>
              <w:spacing w:before="156" w:beforeLines="50"/>
              <w:ind w:firstLine="420" w:firstLineChars="200"/>
              <w:rPr>
                <w:rFonts w:hint="eastAsia" w:ascii="宋体" w:hAnsi="宋体"/>
              </w:rPr>
            </w:pPr>
            <w:r>
              <w:rPr>
                <w:rFonts w:ascii="宋体" w:hAnsi="宋体"/>
              </w:rPr>
              <w:t>2022年，公司参股了一家澳大利亚的锆钛资源公司叫盈拓资源，</w:t>
            </w:r>
            <w:r>
              <w:rPr>
                <w:rFonts w:hint="eastAsia" w:ascii="宋体" w:hAnsi="宋体"/>
              </w:rPr>
              <w:t>持股比例9.9%，</w:t>
            </w:r>
            <w:r>
              <w:rPr>
                <w:rFonts w:ascii="宋体" w:hAnsi="宋体"/>
              </w:rPr>
              <w:t>项目重矿物</w:t>
            </w:r>
            <w:r>
              <w:rPr>
                <w:rFonts w:hint="eastAsia" w:ascii="宋体" w:hAnsi="宋体"/>
                <w:lang w:val="en-US" w:eastAsia="zh-CN"/>
              </w:rPr>
              <w:t>资源</w:t>
            </w:r>
            <w:r>
              <w:rPr>
                <w:rFonts w:ascii="宋体" w:hAnsi="宋体"/>
              </w:rPr>
              <w:t>储量约1300万吨，目前正在申请采矿许可。</w:t>
            </w:r>
          </w:p>
          <w:p>
            <w:pPr>
              <w:spacing w:before="156" w:beforeLines="50"/>
              <w:ind w:firstLine="420" w:firstLineChars="200"/>
              <w:rPr>
                <w:rFonts w:hint="eastAsia" w:ascii="宋体" w:hAnsi="宋体"/>
              </w:rPr>
            </w:pPr>
            <w:r>
              <w:rPr>
                <w:rFonts w:hint="eastAsia" w:ascii="宋体" w:hAnsi="宋体"/>
              </w:rPr>
              <w:t>4、PEAK公司</w:t>
            </w:r>
            <w:r>
              <w:t>Ngualla</w:t>
            </w:r>
            <w:r>
              <w:rPr>
                <w:rFonts w:hint="eastAsia" w:ascii="宋体" w:hAnsi="宋体"/>
              </w:rPr>
              <w:t>项目目前进展如何？</w:t>
            </w:r>
          </w:p>
          <w:p>
            <w:pPr>
              <w:spacing w:before="156" w:beforeLines="50"/>
              <w:ind w:firstLine="420" w:firstLineChars="200"/>
              <w:rPr>
                <w:rFonts w:hint="eastAsia" w:ascii="宋体" w:hAnsi="宋体"/>
              </w:rPr>
            </w:pPr>
            <w:r>
              <w:rPr>
                <w:rFonts w:hint="eastAsia" w:ascii="宋体" w:hAnsi="宋体"/>
              </w:rPr>
              <w:t>公司</w:t>
            </w:r>
            <w:r>
              <w:rPr>
                <w:rFonts w:hint="eastAsia" w:ascii="宋体" w:hAnsi="宋体"/>
                <w:lang w:val="en-US" w:eastAsia="zh-CN"/>
              </w:rPr>
              <w:t>2024</w:t>
            </w:r>
            <w:r>
              <w:rPr>
                <w:rFonts w:hint="eastAsia" w:ascii="宋体" w:hAnsi="宋体"/>
              </w:rPr>
              <w:t>年7月</w:t>
            </w:r>
            <w:r>
              <w:rPr>
                <w:rFonts w:ascii="宋体" w:hAnsi="宋体"/>
              </w:rPr>
              <w:t>与Peak公司签署投资、资金和开发等条款清单</w:t>
            </w:r>
            <w:r>
              <w:rPr>
                <w:rFonts w:hint="eastAsia" w:ascii="宋体" w:hAnsi="宋体"/>
              </w:rPr>
              <w:t>，</w:t>
            </w:r>
            <w:r>
              <w:rPr>
                <w:rFonts w:ascii="宋体" w:hAnsi="宋体"/>
              </w:rPr>
              <w:t>以支持Ngualla项目的开发，主要内容包括Ngualla项目投资、资金、开发解决方案等内容。</w:t>
            </w:r>
            <w:r>
              <w:rPr>
                <w:rFonts w:hint="eastAsia" w:ascii="宋体" w:hAnsi="宋体"/>
              </w:rPr>
              <w:t>公司将</w:t>
            </w:r>
            <w:r>
              <w:rPr>
                <w:rFonts w:ascii="宋体" w:hAnsi="宋体"/>
              </w:rPr>
              <w:t>以约9,600万澳元认购Ngualla Group UK Limited增发的50%的权益，该公司持有Ngualla项目84%的权益。</w:t>
            </w:r>
            <w:r>
              <w:rPr>
                <w:rFonts w:hint="eastAsia" w:ascii="宋体" w:hAnsi="宋体"/>
              </w:rPr>
              <w:t>目前双方正在推进</w:t>
            </w:r>
            <w:r>
              <w:t>Ngualla</w:t>
            </w:r>
            <w:r>
              <w:rPr>
                <w:rFonts w:hint="eastAsia" w:ascii="宋体" w:hAnsi="宋体"/>
              </w:rPr>
              <w:t>项目层面的正式合作协议。</w:t>
            </w:r>
          </w:p>
          <w:p>
            <w:pPr>
              <w:spacing w:before="156" w:beforeLines="50"/>
              <w:ind w:firstLine="420" w:firstLineChars="200"/>
              <w:rPr>
                <w:rFonts w:hint="eastAsia" w:ascii="宋体" w:hAnsi="宋体"/>
              </w:rPr>
            </w:pPr>
            <w:r>
              <w:rPr>
                <w:rFonts w:hint="eastAsia" w:ascii="宋体" w:hAnsi="宋体"/>
              </w:rPr>
              <w:t>PEAK公司预计</w:t>
            </w:r>
            <w:r>
              <w:rPr>
                <w:rFonts w:ascii="宋体" w:hAnsi="宋体"/>
              </w:rPr>
              <w:t>Ngualla项目</w:t>
            </w:r>
            <w:r>
              <w:rPr>
                <w:rFonts w:hint="eastAsia" w:ascii="宋体" w:hAnsi="宋体"/>
              </w:rPr>
              <w:t>将在2026年建成投产。项目初期预计年产折合氧化物1.8万吨稀土精矿，对应该氧化镨钕约4000吨，全部由公司承购。</w:t>
            </w:r>
          </w:p>
          <w:p>
            <w:pPr>
              <w:spacing w:before="156" w:beforeLines="50"/>
              <w:ind w:firstLine="420" w:firstLineChars="200"/>
              <w:rPr>
                <w:rFonts w:hint="eastAsia"/>
              </w:rPr>
            </w:pPr>
            <w:r>
              <w:rPr>
                <w:rFonts w:hint="eastAsia"/>
              </w:rPr>
              <w:t>5、公司收购</w:t>
            </w:r>
            <w:r>
              <w:t>江阴加华</w:t>
            </w:r>
            <w:r>
              <w:rPr>
                <w:rFonts w:hint="eastAsia"/>
              </w:rPr>
              <w:t>和</w:t>
            </w:r>
            <w:r>
              <w:t>淄博加华</w:t>
            </w:r>
            <w:r>
              <w:rPr>
                <w:rFonts w:hint="eastAsia"/>
              </w:rPr>
              <w:t>两家公司目前进展情况如何？</w:t>
            </w:r>
          </w:p>
          <w:p>
            <w:pPr>
              <w:spacing w:before="156" w:beforeLines="50"/>
              <w:ind w:firstLine="420" w:firstLineChars="200"/>
            </w:pPr>
            <w:r>
              <w:rPr>
                <w:rFonts w:hint="eastAsia"/>
              </w:rPr>
              <w:t>公司2024年8月公告了</w:t>
            </w:r>
            <w:r>
              <w:t>为一步提升公司的稀土冶炼分离能力，强化公司的核心竞争力，公司全资子</w:t>
            </w:r>
            <w:bookmarkStart w:id="2" w:name="_GoBack"/>
            <w:bookmarkEnd w:id="2"/>
            <w:r>
              <w:t>公司晨光稀土拟以人民币1</w:t>
            </w:r>
            <w:r>
              <w:rPr>
                <w:rFonts w:hint="eastAsia"/>
              </w:rPr>
              <w:t>.</w:t>
            </w:r>
            <w:r>
              <w:t>8</w:t>
            </w:r>
            <w:r>
              <w:rPr>
                <w:rFonts w:hint="eastAsia"/>
              </w:rPr>
              <w:t>3亿</w:t>
            </w:r>
            <w:r>
              <w:t>元收购江阴加华86%的股权</w:t>
            </w:r>
            <w:r>
              <w:rPr>
                <w:rFonts w:hint="eastAsia"/>
              </w:rPr>
              <w:t>和</w:t>
            </w:r>
            <w:r>
              <w:t>人民币2</w:t>
            </w:r>
            <w:r>
              <w:rPr>
                <w:rFonts w:hint="eastAsia"/>
              </w:rPr>
              <w:t>.</w:t>
            </w:r>
            <w:r>
              <w:t>9</w:t>
            </w:r>
            <w:r>
              <w:rPr>
                <w:rFonts w:hint="eastAsia"/>
              </w:rPr>
              <w:t>3亿</w:t>
            </w:r>
            <w:r>
              <w:t>元收购淄博加华</w:t>
            </w:r>
            <w:r>
              <w:rPr>
                <w:rFonts w:hint="eastAsia"/>
              </w:rPr>
              <w:t>100</w:t>
            </w:r>
            <w:r>
              <w:t>%的股权</w:t>
            </w:r>
            <w:r>
              <w:rPr>
                <w:rFonts w:hint="eastAsia"/>
              </w:rPr>
              <w:t>。</w:t>
            </w:r>
            <w:r>
              <w:t>江阴加华是一家稀土分离企业，主要生产高纯单一稀土氧化物及稀土共沉物产品</w:t>
            </w:r>
            <w:r>
              <w:rPr>
                <w:rFonts w:hint="eastAsia"/>
              </w:rPr>
              <w:t>，</w:t>
            </w:r>
            <w:r>
              <w:t>目前江阴加华核准的稀土分离能力为3800吨（RE0）/年，拥有稀土冶炼分离指标。淄博加华核准的稀土分离能力为5500吨（REO）/年</w:t>
            </w:r>
            <w:r>
              <w:rPr>
                <w:rFonts w:hint="eastAsia"/>
              </w:rPr>
              <w:t>，</w:t>
            </w:r>
            <w:r>
              <w:t>拥有稀土冶炼分离指标。</w:t>
            </w:r>
            <w:r>
              <w:rPr>
                <w:rFonts w:hint="eastAsia"/>
              </w:rPr>
              <w:t>公司</w:t>
            </w:r>
            <w:r>
              <w:t>正在</w:t>
            </w:r>
            <w:r>
              <w:rPr>
                <w:rFonts w:hint="eastAsia"/>
              </w:rPr>
              <w:t>积极</w:t>
            </w:r>
            <w:r>
              <w:t>推动</w:t>
            </w:r>
            <w:r>
              <w:rPr>
                <w:rFonts w:hint="eastAsia"/>
              </w:rPr>
              <w:t>两家公司</w:t>
            </w:r>
            <w:r>
              <w:t>股权交割相关工作，公司会根据股权收购的实质进展情况履行相关信息披露义务</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47" w:type="dxa"/>
            <w:vAlign w:val="center"/>
          </w:tcPr>
          <w:p>
            <w:pPr>
              <w:spacing w:line="360" w:lineRule="auto"/>
              <w:jc w:val="center"/>
              <w:rPr>
                <w:rFonts w:hint="eastAsia" w:ascii="宋体" w:hAnsi="宋体"/>
                <w:b/>
                <w:bCs/>
                <w:iCs/>
                <w:color w:val="000000"/>
                <w:szCs w:val="21"/>
              </w:rPr>
            </w:pPr>
            <w:r>
              <w:rPr>
                <w:rFonts w:hint="eastAsia" w:ascii="宋体" w:hAnsi="宋体"/>
                <w:b/>
                <w:bCs/>
                <w:iCs/>
                <w:color w:val="000000"/>
                <w:szCs w:val="21"/>
              </w:rPr>
              <w:t xml:space="preserve"> </w:t>
            </w:r>
            <w:r>
              <w:rPr>
                <w:rFonts w:ascii="宋体" w:hAnsi="宋体"/>
                <w:b/>
                <w:bCs/>
                <w:iCs/>
                <w:color w:val="000000"/>
                <w:szCs w:val="21"/>
              </w:rPr>
              <w:t>附件清单（如有）</w:t>
            </w:r>
          </w:p>
        </w:tc>
        <w:tc>
          <w:tcPr>
            <w:tcW w:w="7088" w:type="dxa"/>
          </w:tcPr>
          <w:p>
            <w:pPr>
              <w:spacing w:line="360" w:lineRule="auto"/>
              <w:ind w:firstLine="105" w:firstLineChars="50"/>
              <w:jc w:val="center"/>
              <w:rPr>
                <w:rFonts w:hint="eastAsia" w:ascii="宋体" w:hAnsi="宋体"/>
                <w:bCs/>
                <w:iCs/>
                <w:color w:val="000000"/>
                <w:szCs w:val="21"/>
              </w:rPr>
            </w:pPr>
            <w:r>
              <w:rPr>
                <w:rFonts w:hint="eastAsia" w:ascii="宋体" w:hAnsi="宋体"/>
                <w:bCs/>
                <w:iCs/>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47" w:type="dxa"/>
            <w:vAlign w:val="center"/>
          </w:tcPr>
          <w:p>
            <w:pPr>
              <w:spacing w:line="360" w:lineRule="auto"/>
              <w:jc w:val="center"/>
              <w:rPr>
                <w:rFonts w:hint="eastAsia" w:ascii="宋体" w:hAnsi="宋体"/>
                <w:b/>
                <w:bCs/>
                <w:iCs/>
                <w:color w:val="000000"/>
                <w:szCs w:val="21"/>
              </w:rPr>
            </w:pPr>
            <w:r>
              <w:rPr>
                <w:rFonts w:ascii="宋体" w:hAnsi="宋体"/>
                <w:b/>
                <w:bCs/>
                <w:iCs/>
                <w:color w:val="000000"/>
                <w:szCs w:val="21"/>
              </w:rPr>
              <w:t>日期</w:t>
            </w:r>
          </w:p>
        </w:tc>
        <w:tc>
          <w:tcPr>
            <w:tcW w:w="7088" w:type="dxa"/>
          </w:tcPr>
          <w:p>
            <w:pPr>
              <w:spacing w:line="360" w:lineRule="auto"/>
              <w:jc w:val="center"/>
              <w:rPr>
                <w:rFonts w:hint="eastAsia" w:ascii="宋体" w:hAnsi="宋体"/>
                <w:bCs/>
                <w:iCs/>
                <w:color w:val="000000"/>
                <w:szCs w:val="21"/>
              </w:rPr>
            </w:pPr>
            <w:r>
              <w:rPr>
                <w:rFonts w:ascii="宋体" w:hAnsi="宋体"/>
                <w:bCs/>
                <w:iCs/>
                <w:color w:val="000000"/>
                <w:szCs w:val="21"/>
              </w:rPr>
              <w:t>202</w:t>
            </w:r>
            <w:r>
              <w:rPr>
                <w:rFonts w:hint="eastAsia" w:ascii="宋体" w:hAnsi="宋体"/>
                <w:bCs/>
                <w:iCs/>
                <w:color w:val="000000"/>
                <w:szCs w:val="21"/>
              </w:rPr>
              <w:t>5年1月16日</w:t>
            </w:r>
          </w:p>
        </w:tc>
      </w:tr>
      <w:bookmarkEnd w:id="0"/>
    </w:tbl>
    <w:p>
      <w:pPr>
        <w:widowControl/>
        <w:jc w:val="left"/>
        <w:rPr>
          <w:rFonts w:hint="eastAsia" w:ascii="仿宋" w:hAnsi="仿宋" w:eastAsia="仿宋"/>
          <w:sz w:val="28"/>
          <w:szCs w:val="28"/>
        </w:rPr>
      </w:pPr>
    </w:p>
    <w:sectPr>
      <w:footerReference r:id="rId3" w:type="default"/>
      <w:footerReference r:id="rId4" w:type="even"/>
      <w:pgSz w:w="11906" w:h="16838"/>
      <w:pgMar w:top="1701" w:right="1797" w:bottom="1134" w:left="1797"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4"/>
        <w:rFonts w:hint="eastAsia" w:ascii="宋体" w:hAnsi="宋体"/>
        <w:sz w:val="28"/>
        <w:szCs w:val="28"/>
      </w:rPr>
    </w:pPr>
    <w:r>
      <w:rPr>
        <w:rStyle w:val="14"/>
        <w:rFonts w:hint="eastAsia" w:ascii="宋体" w:hAnsi="宋体"/>
        <w:sz w:val="28"/>
        <w:szCs w:val="28"/>
      </w:rPr>
      <w:t>—</w:t>
    </w:r>
    <w:r>
      <w:rPr>
        <w:rFonts w:hint="eastAsia" w:ascii="宋体" w:hAnsi="宋体"/>
        <w:sz w:val="28"/>
        <w:szCs w:val="28"/>
      </w:rPr>
      <w:fldChar w:fldCharType="begin"/>
    </w:r>
    <w:r>
      <w:rPr>
        <w:rStyle w:val="14"/>
        <w:rFonts w:hint="eastAsia" w:ascii="宋体" w:hAnsi="宋体"/>
        <w:sz w:val="28"/>
        <w:szCs w:val="28"/>
      </w:rPr>
      <w:instrText xml:space="preserve">PAGE  </w:instrText>
    </w:r>
    <w:r>
      <w:rPr>
        <w:rFonts w:hint="eastAsia" w:ascii="宋体" w:hAnsi="宋体"/>
        <w:sz w:val="28"/>
        <w:szCs w:val="28"/>
      </w:rPr>
      <w:fldChar w:fldCharType="separate"/>
    </w:r>
    <w:r>
      <w:rPr>
        <w:rStyle w:val="14"/>
        <w:rFonts w:ascii="宋体" w:hAnsi="宋体"/>
        <w:sz w:val="28"/>
        <w:szCs w:val="28"/>
      </w:rPr>
      <w:t>2</w:t>
    </w:r>
    <w:r>
      <w:rPr>
        <w:rFonts w:hint="eastAsia" w:ascii="宋体" w:hAnsi="宋体"/>
        <w:sz w:val="28"/>
        <w:szCs w:val="28"/>
      </w:rPr>
      <w:fldChar w:fldCharType="end"/>
    </w:r>
    <w:r>
      <w:rPr>
        <w:rStyle w:val="14"/>
        <w:rFonts w:hint="eastAsia" w:ascii="宋体" w:hAnsi="宋体"/>
        <w:sz w:val="28"/>
        <w:szCs w:val="28"/>
      </w:rPr>
      <w:t>—</w:t>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4"/>
      </w:rPr>
    </w:pPr>
    <w:r>
      <w:fldChar w:fldCharType="begin"/>
    </w:r>
    <w:r>
      <w:rPr>
        <w:rStyle w:val="14"/>
      </w:rPr>
      <w:instrText xml:space="preserve">PAGE  </w:instrText>
    </w:r>
    <w:r>
      <w:fldChar w:fldCharType="end"/>
    </w:r>
  </w:p>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0B2104"/>
    <w:multiLevelType w:val="multilevel"/>
    <w:tmpl w:val="650B2104"/>
    <w:lvl w:ilvl="0" w:tentative="0">
      <w:start w:val="1"/>
      <w:numFmt w:val="decimal"/>
      <w:lvlText w:val="%1、"/>
      <w:lvlJc w:val="left"/>
      <w:pPr>
        <w:ind w:left="78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5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U3YWU0ODljM2NmZjU5OGNmMjFkOGY5YmJkOTk2ODUifQ=="/>
  </w:docVars>
  <w:rsids>
    <w:rsidRoot w:val="00953981"/>
    <w:rsid w:val="000532C1"/>
    <w:rsid w:val="000550EB"/>
    <w:rsid w:val="0007285A"/>
    <w:rsid w:val="00081574"/>
    <w:rsid w:val="000A6FEC"/>
    <w:rsid w:val="000B37B1"/>
    <w:rsid w:val="000D7761"/>
    <w:rsid w:val="00126512"/>
    <w:rsid w:val="00176F31"/>
    <w:rsid w:val="00177EC3"/>
    <w:rsid w:val="00180568"/>
    <w:rsid w:val="001A04B5"/>
    <w:rsid w:val="001C1D99"/>
    <w:rsid w:val="001F4540"/>
    <w:rsid w:val="0023626F"/>
    <w:rsid w:val="00273F00"/>
    <w:rsid w:val="002B7B99"/>
    <w:rsid w:val="002E1978"/>
    <w:rsid w:val="0031359B"/>
    <w:rsid w:val="003635FB"/>
    <w:rsid w:val="003F075D"/>
    <w:rsid w:val="004C55DA"/>
    <w:rsid w:val="004D4ECC"/>
    <w:rsid w:val="004E149C"/>
    <w:rsid w:val="004E7079"/>
    <w:rsid w:val="00593A9B"/>
    <w:rsid w:val="005B097F"/>
    <w:rsid w:val="005C1E93"/>
    <w:rsid w:val="005F33F1"/>
    <w:rsid w:val="0060780A"/>
    <w:rsid w:val="00650410"/>
    <w:rsid w:val="00676A4E"/>
    <w:rsid w:val="007549ED"/>
    <w:rsid w:val="0077568A"/>
    <w:rsid w:val="007A7D5B"/>
    <w:rsid w:val="007C2390"/>
    <w:rsid w:val="007C5823"/>
    <w:rsid w:val="007D4949"/>
    <w:rsid w:val="007E1E56"/>
    <w:rsid w:val="007E4551"/>
    <w:rsid w:val="007E7F4E"/>
    <w:rsid w:val="007F5049"/>
    <w:rsid w:val="008359E8"/>
    <w:rsid w:val="00871D04"/>
    <w:rsid w:val="0089239A"/>
    <w:rsid w:val="008C3B4A"/>
    <w:rsid w:val="008F346F"/>
    <w:rsid w:val="00905BC4"/>
    <w:rsid w:val="009456A9"/>
    <w:rsid w:val="00953981"/>
    <w:rsid w:val="00992AD5"/>
    <w:rsid w:val="009B0861"/>
    <w:rsid w:val="009F4110"/>
    <w:rsid w:val="009F45A2"/>
    <w:rsid w:val="00A05D19"/>
    <w:rsid w:val="00A130E2"/>
    <w:rsid w:val="00A30EA4"/>
    <w:rsid w:val="00A540D5"/>
    <w:rsid w:val="00AA3A2F"/>
    <w:rsid w:val="00AB65AE"/>
    <w:rsid w:val="00AE58F2"/>
    <w:rsid w:val="00AF6245"/>
    <w:rsid w:val="00B10F99"/>
    <w:rsid w:val="00B22C28"/>
    <w:rsid w:val="00B23358"/>
    <w:rsid w:val="00B34641"/>
    <w:rsid w:val="00B61496"/>
    <w:rsid w:val="00B61558"/>
    <w:rsid w:val="00B943F5"/>
    <w:rsid w:val="00BC283B"/>
    <w:rsid w:val="00C037C8"/>
    <w:rsid w:val="00C125C5"/>
    <w:rsid w:val="00C3495A"/>
    <w:rsid w:val="00C40C24"/>
    <w:rsid w:val="00C655A8"/>
    <w:rsid w:val="00C74CFE"/>
    <w:rsid w:val="00CC0983"/>
    <w:rsid w:val="00CE0A43"/>
    <w:rsid w:val="00CE6605"/>
    <w:rsid w:val="00D03E6A"/>
    <w:rsid w:val="00D15A3A"/>
    <w:rsid w:val="00D16C08"/>
    <w:rsid w:val="00D23B76"/>
    <w:rsid w:val="00D346BD"/>
    <w:rsid w:val="00D35C68"/>
    <w:rsid w:val="00D70AE6"/>
    <w:rsid w:val="00DE22B5"/>
    <w:rsid w:val="00E877F5"/>
    <w:rsid w:val="00E91845"/>
    <w:rsid w:val="00EA062D"/>
    <w:rsid w:val="00F273B8"/>
    <w:rsid w:val="00F536E6"/>
    <w:rsid w:val="00F619A6"/>
    <w:rsid w:val="00F72C4E"/>
    <w:rsid w:val="00F958D0"/>
    <w:rsid w:val="00FA38A8"/>
    <w:rsid w:val="00FB5270"/>
    <w:rsid w:val="035E62A9"/>
    <w:rsid w:val="08E442CF"/>
    <w:rsid w:val="0C1C4875"/>
    <w:rsid w:val="0ECB5A9B"/>
    <w:rsid w:val="1E38504E"/>
    <w:rsid w:val="222A111F"/>
    <w:rsid w:val="2C0B44D1"/>
    <w:rsid w:val="36C22E36"/>
    <w:rsid w:val="3A8638A8"/>
    <w:rsid w:val="3ED65E91"/>
    <w:rsid w:val="41C10393"/>
    <w:rsid w:val="4599357F"/>
    <w:rsid w:val="58535244"/>
    <w:rsid w:val="5CC34FC4"/>
    <w:rsid w:val="5D864CC7"/>
    <w:rsid w:val="60F224FB"/>
    <w:rsid w:val="658E7179"/>
    <w:rsid w:val="6AC94A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7"/>
    <w:qFormat/>
    <w:uiPriority w:val="9"/>
    <w:pPr>
      <w:keepNext/>
      <w:keepLines/>
      <w:spacing w:before="340" w:after="330" w:line="578" w:lineRule="auto"/>
      <w:outlineLvl w:val="0"/>
    </w:pPr>
    <w:rPr>
      <w:rFonts w:ascii="Calibri" w:hAnsi="Calibri"/>
      <w:b/>
      <w:bCs/>
      <w:kern w:val="44"/>
      <w:sz w:val="44"/>
      <w:szCs w:val="44"/>
    </w:rPr>
  </w:style>
  <w:style w:type="paragraph" w:styleId="3">
    <w:name w:val="heading 2"/>
    <w:basedOn w:val="1"/>
    <w:next w:val="1"/>
    <w:link w:val="18"/>
    <w:qFormat/>
    <w:uiPriority w:val="9"/>
    <w:pPr>
      <w:keepNext/>
      <w:keepLines/>
      <w:spacing w:before="260" w:after="260" w:line="416" w:lineRule="auto"/>
      <w:outlineLvl w:val="1"/>
    </w:pPr>
    <w:rPr>
      <w:rFonts w:ascii="Calibri Light" w:hAnsi="Calibri Light"/>
      <w:b/>
      <w:bCs/>
      <w:sz w:val="32"/>
      <w:szCs w:val="32"/>
    </w:rPr>
  </w:style>
  <w:style w:type="character" w:default="1" w:styleId="12">
    <w:name w:val="Default Paragraph Font"/>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4">
    <w:name w:val="Body Text"/>
    <w:basedOn w:val="1"/>
    <w:link w:val="19"/>
    <w:qFormat/>
    <w:uiPriority w:val="0"/>
    <w:rPr>
      <w:sz w:val="28"/>
    </w:rPr>
  </w:style>
  <w:style w:type="paragraph" w:styleId="5">
    <w:name w:val="Date"/>
    <w:basedOn w:val="1"/>
    <w:next w:val="1"/>
    <w:qFormat/>
    <w:uiPriority w:val="0"/>
    <w:pPr>
      <w:ind w:left="100" w:leftChars="2500"/>
    </w:pPr>
  </w:style>
  <w:style w:type="paragraph" w:styleId="6">
    <w:name w:val="Balloon Text"/>
    <w:basedOn w:val="1"/>
    <w:link w:val="20"/>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rPr>
      <w:rFonts w:ascii="Calibri" w:hAnsi="Calibri"/>
      <w:sz w:val="24"/>
    </w:rPr>
  </w:style>
  <w:style w:type="table" w:styleId="11">
    <w:name w:val="Table Grid"/>
    <w:basedOn w:val="10"/>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3">
    <w:name w:val="Strong"/>
    <w:basedOn w:val="12"/>
    <w:qFormat/>
    <w:uiPriority w:val="0"/>
    <w:rPr>
      <w:b/>
    </w:rPr>
  </w:style>
  <w:style w:type="character" w:styleId="14">
    <w:name w:val="page number"/>
    <w:qFormat/>
    <w:uiPriority w:val="0"/>
  </w:style>
  <w:style w:type="character" w:styleId="15">
    <w:name w:val="Emphasis"/>
    <w:qFormat/>
    <w:uiPriority w:val="0"/>
    <w:rPr>
      <w:i/>
    </w:rPr>
  </w:style>
  <w:style w:type="character" w:styleId="16">
    <w:name w:val="Hyperlink"/>
    <w:qFormat/>
    <w:uiPriority w:val="99"/>
    <w:rPr>
      <w:rFonts w:cs="Times New Roman"/>
      <w:color w:val="0000FF"/>
      <w:u w:val="single"/>
    </w:rPr>
  </w:style>
  <w:style w:type="character" w:customStyle="1" w:styleId="17">
    <w:name w:val="标题 1 字符"/>
    <w:link w:val="2"/>
    <w:qFormat/>
    <w:uiPriority w:val="9"/>
    <w:rPr>
      <w:rFonts w:ascii="Calibri" w:hAnsi="Calibri"/>
      <w:b/>
      <w:bCs/>
      <w:kern w:val="44"/>
      <w:sz w:val="44"/>
      <w:szCs w:val="44"/>
    </w:rPr>
  </w:style>
  <w:style w:type="character" w:customStyle="1" w:styleId="18">
    <w:name w:val="标题 2 字符"/>
    <w:link w:val="3"/>
    <w:qFormat/>
    <w:uiPriority w:val="9"/>
    <w:rPr>
      <w:rFonts w:ascii="Calibri Light" w:hAnsi="Calibri Light"/>
      <w:b/>
      <w:bCs/>
      <w:kern w:val="2"/>
      <w:sz w:val="32"/>
      <w:szCs w:val="32"/>
    </w:rPr>
  </w:style>
  <w:style w:type="character" w:customStyle="1" w:styleId="19">
    <w:name w:val="正文文本 字符"/>
    <w:link w:val="4"/>
    <w:qFormat/>
    <w:uiPriority w:val="0"/>
    <w:rPr>
      <w:kern w:val="2"/>
      <w:sz w:val="28"/>
      <w:szCs w:val="24"/>
    </w:rPr>
  </w:style>
  <w:style w:type="character" w:customStyle="1" w:styleId="20">
    <w:name w:val="批注框文本 字符"/>
    <w:link w:val="6"/>
    <w:qFormat/>
    <w:uiPriority w:val="0"/>
    <w:rPr>
      <w:kern w:val="2"/>
      <w:sz w:val="18"/>
      <w:szCs w:val="18"/>
    </w:rPr>
  </w:style>
  <w:style w:type="paragraph" w:styleId="21">
    <w:name w:val="List Paragraph"/>
    <w:basedOn w:val="1"/>
    <w:qFormat/>
    <w:uiPriority w:val="34"/>
    <w:pPr>
      <w:ind w:firstLine="420" w:firstLineChars="200"/>
    </w:pPr>
    <w:rPr>
      <w:rFonts w:ascii="Calibri" w:hAnsi="Calibri"/>
      <w:szCs w:val="22"/>
    </w:rPr>
  </w:style>
  <w:style w:type="paragraph" w:customStyle="1" w:styleId="22">
    <w:name w:val="List Paragraph1"/>
    <w:basedOn w:val="1"/>
    <w:qFormat/>
    <w:uiPriority w:val="0"/>
    <w:pPr>
      <w:ind w:firstLine="420" w:firstLineChars="200"/>
    </w:pPr>
    <w:rPr>
      <w:rFonts w:ascii="Calibri" w:hAnsi="Calibri"/>
      <w:szCs w:val="22"/>
    </w:rPr>
  </w:style>
  <w:style w:type="paragraph" w:customStyle="1" w:styleId="23">
    <w:name w:val="msolistparagraph"/>
    <w:basedOn w:val="1"/>
    <w:qFormat/>
    <w:uiPriority w:val="0"/>
    <w:pPr>
      <w:ind w:firstLine="420" w:firstLineChars="200"/>
    </w:pPr>
    <w:rPr>
      <w:rFonts w:ascii="Calibri" w:hAnsi="Calibri"/>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SC</Company>
  <Pages>2</Pages>
  <Words>228</Words>
  <Characters>1303</Characters>
  <Lines>10</Lines>
  <Paragraphs>3</Paragraphs>
  <TotalTime>7</TotalTime>
  <ScaleCrop>false</ScaleCrop>
  <LinksUpToDate>false</LinksUpToDate>
  <CharactersWithSpaces>1528</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2024-09-04T03:38:00Z</dcterms:created>
  <dc:creator>Li</dc:creator>
  <cp:lastModifiedBy>Ray</cp:lastModifiedBy>
  <cp:lastPrinted>2010-08-04T06:50:00Z</cp:lastPrinted>
  <dcterms:modified xsi:type="dcterms:W3CDTF">2025-01-16T08:47:51Z</dcterms:modified>
  <dc:title>四川省上市公司协会文件</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B971AA8E5BE54E9C8AB82D49A6664F65_13</vt:lpwstr>
  </property>
</Properties>
</file>