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400F" w14:textId="77777777" w:rsidR="002B63C8" w:rsidRDefault="00D329F2">
      <w:pPr>
        <w:keepNext/>
        <w:keepLines/>
        <w:spacing w:line="360" w:lineRule="auto"/>
        <w:rPr>
          <w:rFonts w:ascii="宋体" w:hAnsi="宋体" w:cs="Times New Roman"/>
          <w:b/>
          <w:bCs/>
          <w:iCs/>
          <w:sz w:val="24"/>
          <w:szCs w:val="24"/>
        </w:rPr>
      </w:pPr>
      <w:r>
        <w:rPr>
          <w:rFonts w:ascii="宋体" w:hAnsi="宋体" w:cs="Times New Roman" w:hint="eastAsia"/>
          <w:b/>
          <w:bCs/>
          <w:iCs/>
          <w:sz w:val="24"/>
          <w:szCs w:val="24"/>
        </w:rPr>
        <w:t>证券代码：</w:t>
      </w:r>
      <w:r>
        <w:rPr>
          <w:rFonts w:ascii="宋体" w:hAnsi="宋体" w:cs="Times New Roman"/>
          <w:b/>
          <w:bCs/>
          <w:iCs/>
          <w:sz w:val="24"/>
          <w:szCs w:val="24"/>
        </w:rPr>
        <w:t>60</w:t>
      </w:r>
      <w:r>
        <w:rPr>
          <w:rFonts w:ascii="宋体" w:hAnsi="宋体" w:cs="Times New Roman" w:hint="eastAsia"/>
          <w:b/>
          <w:bCs/>
          <w:iCs/>
          <w:sz w:val="24"/>
          <w:szCs w:val="24"/>
        </w:rPr>
        <w:t>5488</w:t>
      </w:r>
      <w:r>
        <w:rPr>
          <w:rFonts w:ascii="宋体" w:hAnsi="宋体" w:cs="Times New Roman"/>
          <w:b/>
          <w:bCs/>
          <w:iCs/>
          <w:sz w:val="24"/>
          <w:szCs w:val="24"/>
        </w:rPr>
        <w:t xml:space="preserve"> </w:t>
      </w:r>
      <w:r>
        <w:rPr>
          <w:rFonts w:ascii="宋体" w:hAnsi="宋体" w:cs="Times New Roman" w:hint="eastAsia"/>
          <w:b/>
          <w:bCs/>
          <w:iCs/>
          <w:sz w:val="24"/>
          <w:szCs w:val="24"/>
        </w:rPr>
        <w:t xml:space="preserve">                                证券简称：福</w:t>
      </w:r>
      <w:proofErr w:type="gramStart"/>
      <w:r>
        <w:rPr>
          <w:rFonts w:ascii="宋体" w:hAnsi="宋体" w:cs="Times New Roman" w:hint="eastAsia"/>
          <w:b/>
          <w:bCs/>
          <w:iCs/>
          <w:sz w:val="24"/>
          <w:szCs w:val="24"/>
        </w:rPr>
        <w:t>莱</w:t>
      </w:r>
      <w:proofErr w:type="gramEnd"/>
      <w:r>
        <w:rPr>
          <w:rFonts w:ascii="宋体" w:hAnsi="宋体" w:cs="Times New Roman" w:hint="eastAsia"/>
          <w:b/>
          <w:bCs/>
          <w:iCs/>
          <w:sz w:val="24"/>
          <w:szCs w:val="24"/>
        </w:rPr>
        <w:t>新材</w:t>
      </w:r>
    </w:p>
    <w:p w14:paraId="47C96F78" w14:textId="77777777" w:rsidR="002B63C8" w:rsidRDefault="00D329F2">
      <w:pPr>
        <w:keepNext/>
        <w:keepLines/>
        <w:spacing w:line="360" w:lineRule="auto"/>
        <w:rPr>
          <w:rFonts w:ascii="宋体" w:hAnsi="宋体" w:cs="Times New Roman"/>
          <w:b/>
          <w:bCs/>
          <w:iCs/>
          <w:sz w:val="24"/>
          <w:szCs w:val="24"/>
        </w:rPr>
      </w:pPr>
      <w:r>
        <w:rPr>
          <w:rFonts w:ascii="宋体" w:hAnsi="宋体" w:cs="Times New Roman" w:hint="eastAsia"/>
          <w:b/>
          <w:bCs/>
          <w:iCs/>
          <w:sz w:val="24"/>
          <w:szCs w:val="24"/>
        </w:rPr>
        <w:t>债券代码：111012                                 债券简称：</w:t>
      </w:r>
      <w:proofErr w:type="gramStart"/>
      <w:r>
        <w:rPr>
          <w:rFonts w:ascii="宋体" w:hAnsi="宋体" w:cs="Times New Roman" w:hint="eastAsia"/>
          <w:b/>
          <w:bCs/>
          <w:iCs/>
          <w:sz w:val="24"/>
          <w:szCs w:val="24"/>
        </w:rPr>
        <w:t>福新转债</w:t>
      </w:r>
      <w:proofErr w:type="gramEnd"/>
    </w:p>
    <w:p w14:paraId="15C61747" w14:textId="77777777" w:rsidR="002B63C8" w:rsidRDefault="00D329F2">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浙江福莱新材料股份有限公司</w:t>
      </w:r>
    </w:p>
    <w:p w14:paraId="6B77B99C" w14:textId="77777777" w:rsidR="002B63C8" w:rsidRDefault="00D329F2">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投资者关系活动记录表</w:t>
      </w:r>
    </w:p>
    <w:p w14:paraId="6B188610" w14:textId="77777777" w:rsidR="002B63C8" w:rsidRDefault="00D329F2">
      <w:pPr>
        <w:keepNext/>
        <w:keepLines/>
        <w:spacing w:before="260" w:after="260" w:line="360" w:lineRule="auto"/>
        <w:jc w:val="left"/>
        <w:outlineLvl w:val="1"/>
        <w:rPr>
          <w:rFonts w:ascii="宋体" w:hAnsi="宋体" w:cs="Times New Roman"/>
          <w:b/>
          <w:bCs/>
          <w:sz w:val="24"/>
          <w:szCs w:val="24"/>
        </w:rPr>
      </w:pPr>
      <w:r>
        <w:rPr>
          <w:rFonts w:ascii="宋体" w:hAnsi="宋体" w:cs="Times New Roman" w:hint="eastAsia"/>
          <w:b/>
          <w:bCs/>
          <w:sz w:val="24"/>
          <w:szCs w:val="24"/>
        </w:rPr>
        <w:t>编号：</w:t>
      </w:r>
      <w:r w:rsidRPr="00360086">
        <w:rPr>
          <w:rFonts w:ascii="宋体" w:hAnsi="宋体" w:cs="Times New Roman" w:hint="eastAsia"/>
          <w:b/>
          <w:bCs/>
          <w:sz w:val="24"/>
          <w:szCs w:val="24"/>
        </w:rPr>
        <w:t>2025-001</w:t>
      </w:r>
    </w:p>
    <w:tbl>
      <w:tblPr>
        <w:tblW w:w="89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757"/>
      </w:tblGrid>
      <w:tr w:rsidR="002B63C8" w14:paraId="61F5BECD" w14:textId="77777777">
        <w:tc>
          <w:tcPr>
            <w:tcW w:w="2156" w:type="dxa"/>
            <w:shd w:val="clear" w:color="auto" w:fill="auto"/>
            <w:vAlign w:val="center"/>
          </w:tcPr>
          <w:p w14:paraId="26DBFF56" w14:textId="77777777" w:rsidR="002B63C8" w:rsidRDefault="00D329F2">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投资者关系活动类别</w:t>
            </w:r>
          </w:p>
        </w:tc>
        <w:tc>
          <w:tcPr>
            <w:tcW w:w="6757" w:type="dxa"/>
            <w:shd w:val="clear" w:color="auto" w:fill="auto"/>
          </w:tcPr>
          <w:p w14:paraId="60DF52E4" w14:textId="565B0A65" w:rsidR="002B63C8" w:rsidRDefault="00360086">
            <w:pPr>
              <w:spacing w:line="360" w:lineRule="auto"/>
              <w:rPr>
                <w:rFonts w:ascii="宋体" w:hAnsi="宋体" w:cs="Times New Roman"/>
                <w:bCs/>
                <w:iCs/>
                <w:sz w:val="24"/>
                <w:szCs w:val="24"/>
              </w:rPr>
            </w:pPr>
            <w:r w:rsidRPr="007C3389">
              <w:rPr>
                <w:rFonts w:ascii="宋体" w:hAnsi="宋体" w:hint="eastAsia"/>
                <w:sz w:val="24"/>
                <w:szCs w:val="24"/>
              </w:rPr>
              <w:t>■</w:t>
            </w:r>
            <w:r w:rsidR="00D329F2">
              <w:rPr>
                <w:rFonts w:ascii="宋体" w:hAnsi="宋体" w:cs="Times New Roman" w:hint="eastAsia"/>
                <w:sz w:val="24"/>
                <w:szCs w:val="24"/>
              </w:rPr>
              <w:t xml:space="preserve">特定对象调研        </w:t>
            </w:r>
            <w:r w:rsidR="00D329F2">
              <w:rPr>
                <w:rFonts w:ascii="宋体" w:hAnsi="宋体" w:cs="Times New Roman" w:hint="eastAsia"/>
                <w:bCs/>
                <w:iCs/>
                <w:sz w:val="24"/>
                <w:szCs w:val="24"/>
              </w:rPr>
              <w:t>□</w:t>
            </w:r>
            <w:r w:rsidR="00D329F2">
              <w:rPr>
                <w:rFonts w:ascii="宋体" w:hAnsi="宋体" w:cs="Times New Roman" w:hint="eastAsia"/>
                <w:sz w:val="24"/>
                <w:szCs w:val="24"/>
              </w:rPr>
              <w:t>分析师会议</w:t>
            </w:r>
          </w:p>
          <w:p w14:paraId="727BEE0F" w14:textId="77777777" w:rsidR="002B63C8" w:rsidRDefault="00D329F2">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媒体采访            </w:t>
            </w:r>
            <w:r>
              <w:rPr>
                <w:rFonts w:ascii="宋体" w:hAnsi="宋体" w:cs="Times New Roman" w:hint="eastAsia"/>
                <w:bCs/>
                <w:iCs/>
                <w:sz w:val="24"/>
                <w:szCs w:val="24"/>
              </w:rPr>
              <w:t>□</w:t>
            </w:r>
            <w:r>
              <w:rPr>
                <w:rFonts w:ascii="宋体" w:hAnsi="宋体" w:cs="Times New Roman" w:hint="eastAsia"/>
                <w:sz w:val="24"/>
                <w:szCs w:val="24"/>
              </w:rPr>
              <w:t>业绩说明会</w:t>
            </w:r>
          </w:p>
          <w:p w14:paraId="1768B19C" w14:textId="77777777" w:rsidR="002B63C8" w:rsidRDefault="00D329F2">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新闻发布会          </w:t>
            </w:r>
            <w:r>
              <w:rPr>
                <w:rFonts w:ascii="宋体" w:hAnsi="宋体" w:cs="Times New Roman" w:hint="eastAsia"/>
                <w:bCs/>
                <w:iCs/>
                <w:sz w:val="24"/>
                <w:szCs w:val="24"/>
              </w:rPr>
              <w:t>□</w:t>
            </w:r>
            <w:r>
              <w:rPr>
                <w:rFonts w:ascii="宋体" w:hAnsi="宋体" w:cs="Times New Roman" w:hint="eastAsia"/>
                <w:sz w:val="24"/>
                <w:szCs w:val="24"/>
              </w:rPr>
              <w:t>路演活动</w:t>
            </w:r>
          </w:p>
          <w:p w14:paraId="26726066" w14:textId="0B7002F8" w:rsidR="002B63C8" w:rsidRDefault="00360086">
            <w:pPr>
              <w:tabs>
                <w:tab w:val="left" w:pos="2690"/>
                <w:tab w:val="center" w:pos="3199"/>
              </w:tabs>
              <w:spacing w:line="360" w:lineRule="auto"/>
              <w:rPr>
                <w:rFonts w:ascii="宋体" w:hAnsi="宋体" w:cs="Times New Roman"/>
                <w:bCs/>
                <w:iCs/>
                <w:sz w:val="24"/>
                <w:szCs w:val="24"/>
              </w:rPr>
            </w:pPr>
            <w:r w:rsidRPr="007C3389">
              <w:rPr>
                <w:rFonts w:ascii="宋体" w:hAnsi="宋体" w:hint="eastAsia"/>
                <w:sz w:val="24"/>
                <w:szCs w:val="24"/>
              </w:rPr>
              <w:t>■</w:t>
            </w:r>
            <w:r w:rsidR="00D329F2">
              <w:rPr>
                <w:rFonts w:ascii="宋体" w:hAnsi="宋体" w:cs="Times New Roman" w:hint="eastAsia"/>
                <w:sz w:val="24"/>
                <w:szCs w:val="24"/>
              </w:rPr>
              <w:t xml:space="preserve">现场参观 </w:t>
            </w:r>
            <w:r w:rsidR="00D329F2">
              <w:rPr>
                <w:rFonts w:ascii="宋体" w:hAnsi="宋体" w:cs="Times New Roman"/>
                <w:sz w:val="24"/>
                <w:szCs w:val="24"/>
              </w:rPr>
              <w:t xml:space="preserve">           </w:t>
            </w:r>
            <w:r w:rsidR="00D329F2">
              <w:rPr>
                <w:rFonts w:ascii="宋体" w:hAnsi="宋体" w:cs="Times New Roman" w:hint="eastAsia"/>
                <w:bCs/>
                <w:iCs/>
                <w:sz w:val="24"/>
                <w:szCs w:val="24"/>
              </w:rPr>
              <w:t>□</w:t>
            </w:r>
            <w:r w:rsidR="00D329F2">
              <w:rPr>
                <w:rFonts w:ascii="宋体" w:hAnsi="宋体" w:cs="Times New Roman" w:hint="eastAsia"/>
                <w:sz w:val="24"/>
                <w:szCs w:val="24"/>
              </w:rPr>
              <w:t>电话会议</w:t>
            </w:r>
          </w:p>
          <w:p w14:paraId="0CE901C6" w14:textId="77777777" w:rsidR="002B63C8" w:rsidRDefault="00D329F2">
            <w:pPr>
              <w:tabs>
                <w:tab w:val="center" w:pos="3199"/>
              </w:tabs>
              <w:spacing w:line="360" w:lineRule="auto"/>
              <w:rPr>
                <w:rFonts w:ascii="宋体" w:hAnsi="宋体" w:cs="Times New Roman"/>
                <w:bCs/>
                <w:iCs/>
                <w:sz w:val="24"/>
                <w:szCs w:val="24"/>
                <w:u w:val="single"/>
              </w:rPr>
            </w:pPr>
            <w:r>
              <w:rPr>
                <w:rFonts w:ascii="宋体" w:hAnsi="宋体" w:cs="Times New Roman" w:hint="eastAsia"/>
                <w:bCs/>
                <w:iCs/>
                <w:sz w:val="24"/>
                <w:szCs w:val="24"/>
              </w:rPr>
              <w:t>□</w:t>
            </w:r>
            <w:r>
              <w:rPr>
                <w:rFonts w:ascii="宋体" w:hAnsi="宋体" w:cs="Times New Roman" w:hint="eastAsia"/>
                <w:sz w:val="24"/>
                <w:szCs w:val="24"/>
              </w:rPr>
              <w:t>其他</w:t>
            </w:r>
            <w:r>
              <w:rPr>
                <w:rFonts w:ascii="宋体" w:hAnsi="宋体" w:cs="Times New Roman" w:hint="eastAsia"/>
                <w:sz w:val="24"/>
                <w:szCs w:val="24"/>
                <w:u w:val="single"/>
              </w:rPr>
              <w:t xml:space="preserve">  </w:t>
            </w:r>
            <w:r>
              <w:rPr>
                <w:rFonts w:ascii="宋体" w:hAnsi="宋体" w:cs="Times New Roman"/>
                <w:sz w:val="24"/>
                <w:szCs w:val="24"/>
                <w:u w:val="single"/>
              </w:rPr>
              <w:t xml:space="preserve">   </w:t>
            </w:r>
            <w:r>
              <w:rPr>
                <w:rFonts w:ascii="宋体" w:hAnsi="宋体" w:cs="Times New Roman" w:hint="eastAsia"/>
                <w:sz w:val="24"/>
                <w:szCs w:val="24"/>
                <w:u w:val="single"/>
              </w:rPr>
              <w:t xml:space="preserve"> </w:t>
            </w:r>
          </w:p>
        </w:tc>
      </w:tr>
      <w:tr w:rsidR="002B63C8" w14:paraId="4E6D301F" w14:textId="77777777">
        <w:tc>
          <w:tcPr>
            <w:tcW w:w="2156" w:type="dxa"/>
            <w:shd w:val="clear" w:color="auto" w:fill="auto"/>
            <w:vAlign w:val="center"/>
          </w:tcPr>
          <w:p w14:paraId="2BA5AF51" w14:textId="77777777" w:rsidR="002B63C8" w:rsidRDefault="00D329F2">
            <w:pPr>
              <w:spacing w:line="360" w:lineRule="auto"/>
              <w:rPr>
                <w:rFonts w:ascii="宋体" w:hAnsi="宋体" w:cs="Times New Roman"/>
                <w:b/>
                <w:bCs/>
                <w:iCs/>
                <w:sz w:val="24"/>
                <w:szCs w:val="24"/>
              </w:rPr>
            </w:pPr>
            <w:r>
              <w:rPr>
                <w:rFonts w:ascii="宋体" w:hAnsi="宋体" w:cs="Times New Roman" w:hint="eastAsia"/>
                <w:b/>
                <w:bCs/>
                <w:iCs/>
                <w:sz w:val="24"/>
                <w:szCs w:val="24"/>
              </w:rPr>
              <w:t>参与单位名称</w:t>
            </w:r>
          </w:p>
        </w:tc>
        <w:tc>
          <w:tcPr>
            <w:tcW w:w="6757" w:type="dxa"/>
            <w:shd w:val="clear" w:color="auto" w:fill="auto"/>
            <w:vAlign w:val="center"/>
          </w:tcPr>
          <w:p w14:paraId="61F4DBB8" w14:textId="77777777" w:rsidR="002B63C8" w:rsidRDefault="00D329F2">
            <w:pPr>
              <w:widowControl/>
              <w:jc w:val="left"/>
              <w:rPr>
                <w:rFonts w:ascii="宋体" w:hAnsi="宋体"/>
                <w:sz w:val="24"/>
                <w:szCs w:val="24"/>
              </w:rPr>
            </w:pPr>
            <w:r>
              <w:rPr>
                <w:rFonts w:ascii="Times New Roman" w:hAnsi="Times New Roman" w:cs="Times New Roman" w:hint="eastAsia"/>
                <w:color w:val="000000"/>
                <w:kern w:val="0"/>
                <w:szCs w:val="21"/>
                <w:lang w:bidi="ar"/>
              </w:rPr>
              <w:t>22</w:t>
            </w:r>
            <w:r>
              <w:rPr>
                <w:rFonts w:ascii="Times New Roman" w:hAnsi="Times New Roman" w:cs="Times New Roman"/>
                <w:color w:val="000000"/>
                <w:kern w:val="0"/>
                <w:szCs w:val="21"/>
                <w:lang w:bidi="ar"/>
              </w:rPr>
              <w:t xml:space="preserve"> </w:t>
            </w:r>
            <w:proofErr w:type="gramStart"/>
            <w:r>
              <w:rPr>
                <w:rFonts w:ascii="瀹嬩綋" w:eastAsia="瀹嬩綋" w:hAnsi="瀹嬩綋" w:cs="瀹嬩綋"/>
                <w:color w:val="000000"/>
                <w:kern w:val="0"/>
                <w:szCs w:val="21"/>
                <w:lang w:bidi="ar"/>
              </w:rPr>
              <w:t>家机构</w:t>
            </w:r>
            <w:proofErr w:type="gramEnd"/>
            <w:r>
              <w:rPr>
                <w:rFonts w:ascii="瀹嬩綋" w:eastAsia="瀹嬩綋" w:hAnsi="瀹嬩綋" w:cs="瀹嬩綋"/>
                <w:color w:val="000000"/>
                <w:kern w:val="0"/>
                <w:szCs w:val="21"/>
                <w:lang w:bidi="ar"/>
              </w:rPr>
              <w:t xml:space="preserve"> </w:t>
            </w:r>
            <w:r>
              <w:rPr>
                <w:rFonts w:ascii="Times New Roman" w:hAnsi="Times New Roman" w:cs="Times New Roman" w:hint="eastAsia"/>
                <w:color w:val="000000"/>
                <w:kern w:val="0"/>
                <w:szCs w:val="21"/>
                <w:lang w:bidi="ar"/>
              </w:rPr>
              <w:t>31</w:t>
            </w:r>
            <w:r>
              <w:rPr>
                <w:rFonts w:ascii="瀹嬩綋" w:eastAsia="瀹嬩綋" w:hAnsi="瀹嬩綋" w:cs="瀹嬩綋"/>
                <w:color w:val="000000"/>
                <w:kern w:val="0"/>
                <w:szCs w:val="21"/>
                <w:lang w:bidi="ar"/>
              </w:rPr>
              <w:t xml:space="preserve">名参与人员，详见附件清单（排名不分先后） </w:t>
            </w:r>
          </w:p>
        </w:tc>
      </w:tr>
      <w:tr w:rsidR="002B63C8" w14:paraId="0A86F359" w14:textId="77777777">
        <w:tc>
          <w:tcPr>
            <w:tcW w:w="2156" w:type="dxa"/>
            <w:shd w:val="clear" w:color="auto" w:fill="auto"/>
            <w:vAlign w:val="center"/>
          </w:tcPr>
          <w:p w14:paraId="4DDBE369" w14:textId="77777777" w:rsidR="002B63C8" w:rsidRDefault="00D329F2">
            <w:pPr>
              <w:spacing w:line="360" w:lineRule="auto"/>
              <w:rPr>
                <w:rFonts w:ascii="Times New Roman" w:hAnsi="Times New Roman" w:cs="Times New Roman"/>
                <w:b/>
                <w:bCs/>
                <w:iCs/>
                <w:sz w:val="24"/>
                <w:szCs w:val="24"/>
              </w:rPr>
            </w:pPr>
            <w:r>
              <w:rPr>
                <w:rFonts w:ascii="Times New Roman" w:hAnsi="Times New Roman" w:cs="Times New Roman"/>
                <w:b/>
                <w:bCs/>
                <w:iCs/>
                <w:sz w:val="24"/>
                <w:szCs w:val="24"/>
              </w:rPr>
              <w:t>会议时间</w:t>
            </w:r>
          </w:p>
        </w:tc>
        <w:tc>
          <w:tcPr>
            <w:tcW w:w="6757" w:type="dxa"/>
            <w:shd w:val="clear" w:color="auto" w:fill="auto"/>
          </w:tcPr>
          <w:p w14:paraId="4562B9B1" w14:textId="77777777" w:rsidR="002B63C8" w:rsidRDefault="00D329F2">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Pr>
                <w:rFonts w:ascii="宋体" w:hAnsi="宋体" w:cs="Times New Roman" w:hint="eastAsia"/>
                <w:iCs/>
                <w:sz w:val="24"/>
                <w:szCs w:val="24"/>
              </w:rPr>
              <w:t>5年01月03日  10:30-12:00</w:t>
            </w:r>
          </w:p>
          <w:p w14:paraId="5E3C4CB8" w14:textId="77777777" w:rsidR="002B63C8" w:rsidRDefault="00D329F2">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Pr>
                <w:rFonts w:ascii="宋体" w:hAnsi="宋体" w:cs="Times New Roman" w:hint="eastAsia"/>
                <w:iCs/>
                <w:sz w:val="24"/>
                <w:szCs w:val="24"/>
              </w:rPr>
              <w:t>5年01月14日  15:30-16:30</w:t>
            </w:r>
          </w:p>
          <w:p w14:paraId="078CB302" w14:textId="77777777" w:rsidR="002B63C8" w:rsidRDefault="00D329F2">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Pr>
                <w:rFonts w:ascii="宋体" w:hAnsi="宋体" w:cs="Times New Roman" w:hint="eastAsia"/>
                <w:iCs/>
                <w:sz w:val="24"/>
                <w:szCs w:val="24"/>
              </w:rPr>
              <w:t>5年01月16日  15:30-16:30</w:t>
            </w:r>
          </w:p>
          <w:p w14:paraId="3A9E81DC" w14:textId="77777777" w:rsidR="002B63C8" w:rsidRDefault="00D329F2">
            <w:pPr>
              <w:spacing w:line="360" w:lineRule="auto"/>
              <w:rPr>
                <w:rFonts w:ascii="Times New Roman" w:hAnsi="Times New Roman" w:cs="Times New Roman"/>
                <w:sz w:val="24"/>
              </w:rPr>
            </w:pPr>
            <w:r>
              <w:rPr>
                <w:rFonts w:ascii="宋体" w:hAnsi="宋体" w:cs="Times New Roman" w:hint="eastAsia"/>
                <w:iCs/>
                <w:sz w:val="24"/>
                <w:szCs w:val="24"/>
              </w:rPr>
              <w:t>2025年01月17日  14:00-16:00</w:t>
            </w:r>
          </w:p>
        </w:tc>
      </w:tr>
      <w:tr w:rsidR="002B63C8" w14:paraId="74EAA2BE" w14:textId="77777777">
        <w:tc>
          <w:tcPr>
            <w:tcW w:w="2156" w:type="dxa"/>
            <w:shd w:val="clear" w:color="auto" w:fill="auto"/>
            <w:vAlign w:val="center"/>
          </w:tcPr>
          <w:p w14:paraId="76325779" w14:textId="77777777" w:rsidR="002B63C8" w:rsidRDefault="00D329F2">
            <w:pPr>
              <w:spacing w:line="360" w:lineRule="auto"/>
              <w:rPr>
                <w:rFonts w:ascii="宋体" w:hAnsi="宋体" w:cs="Times New Roman"/>
                <w:b/>
                <w:bCs/>
                <w:iCs/>
                <w:sz w:val="24"/>
                <w:szCs w:val="24"/>
              </w:rPr>
            </w:pPr>
            <w:r>
              <w:rPr>
                <w:rFonts w:ascii="宋体" w:hAnsi="宋体" w:cs="Times New Roman" w:hint="eastAsia"/>
                <w:b/>
                <w:bCs/>
                <w:iCs/>
                <w:sz w:val="24"/>
                <w:szCs w:val="24"/>
              </w:rPr>
              <w:t>会议地点</w:t>
            </w:r>
          </w:p>
        </w:tc>
        <w:tc>
          <w:tcPr>
            <w:tcW w:w="6757" w:type="dxa"/>
            <w:shd w:val="clear" w:color="auto" w:fill="auto"/>
          </w:tcPr>
          <w:p w14:paraId="0452BB5D" w14:textId="77777777" w:rsidR="002B63C8" w:rsidRDefault="00D329F2">
            <w:pPr>
              <w:autoSpaceDE w:val="0"/>
              <w:autoSpaceDN w:val="0"/>
              <w:adjustRightInd w:val="0"/>
              <w:spacing w:line="360" w:lineRule="auto"/>
              <w:rPr>
                <w:rFonts w:ascii="宋体" w:hAnsi="宋体"/>
                <w:sz w:val="24"/>
              </w:rPr>
            </w:pPr>
            <w:r>
              <w:rPr>
                <w:rFonts w:ascii="宋体" w:hAnsi="宋体" w:hint="eastAsia"/>
                <w:sz w:val="24"/>
              </w:rPr>
              <w:t>公司会议室</w:t>
            </w:r>
          </w:p>
        </w:tc>
      </w:tr>
      <w:tr w:rsidR="002B63C8" w14:paraId="67DA1B42" w14:textId="77777777">
        <w:tc>
          <w:tcPr>
            <w:tcW w:w="2156" w:type="dxa"/>
            <w:shd w:val="clear" w:color="auto" w:fill="auto"/>
            <w:vAlign w:val="center"/>
          </w:tcPr>
          <w:p w14:paraId="6872498F" w14:textId="77777777" w:rsidR="002B63C8" w:rsidRDefault="00D329F2">
            <w:pPr>
              <w:spacing w:line="360" w:lineRule="auto"/>
              <w:rPr>
                <w:rFonts w:ascii="宋体" w:hAnsi="宋体" w:cs="Times New Roman"/>
                <w:b/>
                <w:bCs/>
                <w:iCs/>
                <w:sz w:val="24"/>
                <w:szCs w:val="24"/>
              </w:rPr>
            </w:pPr>
            <w:r>
              <w:rPr>
                <w:rFonts w:ascii="宋体" w:hAnsi="宋体" w:cs="Times New Roman" w:hint="eastAsia"/>
                <w:b/>
                <w:bCs/>
                <w:iCs/>
                <w:sz w:val="24"/>
                <w:szCs w:val="24"/>
              </w:rPr>
              <w:t>上市公司接待人员姓名</w:t>
            </w:r>
          </w:p>
        </w:tc>
        <w:tc>
          <w:tcPr>
            <w:tcW w:w="6757" w:type="dxa"/>
            <w:shd w:val="clear" w:color="auto" w:fill="auto"/>
          </w:tcPr>
          <w:p w14:paraId="7727F11B" w14:textId="77777777" w:rsidR="002B63C8" w:rsidRDefault="00D329F2">
            <w:pPr>
              <w:spacing w:line="360" w:lineRule="auto"/>
              <w:rPr>
                <w:rFonts w:ascii="宋体" w:hAnsi="宋体"/>
                <w:sz w:val="24"/>
                <w:szCs w:val="24"/>
              </w:rPr>
            </w:pPr>
            <w:r>
              <w:rPr>
                <w:rFonts w:ascii="宋体" w:hAnsi="宋体" w:hint="eastAsia"/>
                <w:sz w:val="24"/>
                <w:szCs w:val="24"/>
              </w:rPr>
              <w:t>副总经理、财务负责人、董事会秘书：毕立林先生</w:t>
            </w:r>
          </w:p>
          <w:p w14:paraId="4DAE9573" w14:textId="77777777" w:rsidR="002B63C8" w:rsidRDefault="00D329F2">
            <w:pPr>
              <w:spacing w:line="360" w:lineRule="auto"/>
              <w:rPr>
                <w:rFonts w:ascii="宋体" w:hAnsi="宋体"/>
                <w:sz w:val="24"/>
                <w:szCs w:val="24"/>
              </w:rPr>
            </w:pPr>
            <w:r>
              <w:rPr>
                <w:rFonts w:ascii="宋体" w:hAnsi="宋体" w:hint="eastAsia"/>
                <w:sz w:val="24"/>
                <w:szCs w:val="24"/>
              </w:rPr>
              <w:t>首席科学家；陈书厅先生</w:t>
            </w:r>
          </w:p>
          <w:p w14:paraId="037CDA94" w14:textId="77777777" w:rsidR="002B63C8" w:rsidRDefault="00D329F2">
            <w:pPr>
              <w:spacing w:line="360" w:lineRule="auto"/>
              <w:rPr>
                <w:rFonts w:ascii="宋体" w:eastAsiaTheme="minorEastAsia" w:hAnsi="宋体" w:cs="Times New Roman"/>
                <w:bCs/>
                <w:iCs/>
                <w:sz w:val="24"/>
                <w:szCs w:val="24"/>
              </w:rPr>
            </w:pPr>
            <w:r>
              <w:rPr>
                <w:rFonts w:ascii="宋体" w:hAnsi="宋体" w:hint="eastAsia"/>
                <w:sz w:val="24"/>
                <w:szCs w:val="24"/>
              </w:rPr>
              <w:t>证券事务代表：叶婷婷女士</w:t>
            </w:r>
          </w:p>
        </w:tc>
      </w:tr>
      <w:tr w:rsidR="002B63C8" w14:paraId="75F11242" w14:textId="77777777">
        <w:trPr>
          <w:trHeight w:val="1408"/>
        </w:trPr>
        <w:tc>
          <w:tcPr>
            <w:tcW w:w="2156" w:type="dxa"/>
            <w:shd w:val="clear" w:color="auto" w:fill="auto"/>
            <w:vAlign w:val="center"/>
          </w:tcPr>
          <w:p w14:paraId="3554955C" w14:textId="77777777" w:rsidR="002B63C8" w:rsidRDefault="00D329F2">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投资者关系活动主要内容介绍</w:t>
            </w:r>
          </w:p>
        </w:tc>
        <w:tc>
          <w:tcPr>
            <w:tcW w:w="6757" w:type="dxa"/>
            <w:shd w:val="clear" w:color="auto" w:fill="auto"/>
          </w:tcPr>
          <w:p w14:paraId="0A4D7422" w14:textId="7F78DE2F" w:rsidR="000B28D1" w:rsidRPr="000B28D1" w:rsidRDefault="000B28D1">
            <w:pPr>
              <w:spacing w:line="360" w:lineRule="auto"/>
              <w:rPr>
                <w:rFonts w:ascii="宋体" w:hAnsi="宋体"/>
                <w:sz w:val="24"/>
                <w:szCs w:val="24"/>
              </w:rPr>
            </w:pPr>
            <w:r w:rsidRPr="000B28D1">
              <w:rPr>
                <w:rFonts w:ascii="宋体" w:hAnsi="宋体" w:hint="eastAsia"/>
                <w:sz w:val="24"/>
                <w:szCs w:val="24"/>
              </w:rPr>
              <w:t>交流的主要内容记录如下：</w:t>
            </w:r>
          </w:p>
          <w:p w14:paraId="62682A48" w14:textId="25B42072" w:rsidR="002B63C8" w:rsidRDefault="00D329F2">
            <w:pPr>
              <w:spacing w:line="360" w:lineRule="auto"/>
              <w:rPr>
                <w:rFonts w:ascii="宋体" w:hAnsi="宋体"/>
                <w:b/>
                <w:bCs/>
                <w:sz w:val="24"/>
                <w:szCs w:val="24"/>
              </w:rPr>
            </w:pPr>
            <w:r>
              <w:rPr>
                <w:rFonts w:ascii="宋体" w:hAnsi="宋体" w:hint="eastAsia"/>
                <w:b/>
                <w:bCs/>
                <w:sz w:val="24"/>
                <w:szCs w:val="24"/>
              </w:rPr>
              <w:t>问题1</w:t>
            </w:r>
            <w:r w:rsidR="0010286C">
              <w:rPr>
                <w:rFonts w:ascii="宋体" w:hAnsi="宋体" w:hint="eastAsia"/>
                <w:b/>
                <w:bCs/>
                <w:sz w:val="24"/>
                <w:szCs w:val="24"/>
              </w:rPr>
              <w:t>：</w:t>
            </w:r>
            <w:r>
              <w:rPr>
                <w:rFonts w:ascii="宋体" w:hAnsi="宋体" w:hint="eastAsia"/>
                <w:b/>
                <w:bCs/>
                <w:sz w:val="24"/>
                <w:szCs w:val="24"/>
              </w:rPr>
              <w:t>国内现在做传感器的还比较多，公司在技术上有什么竞争优势吗？</w:t>
            </w:r>
          </w:p>
          <w:p w14:paraId="1A5317D6" w14:textId="0DA8AFBF" w:rsidR="002B63C8" w:rsidRDefault="00D329F2">
            <w:pPr>
              <w:spacing w:line="360" w:lineRule="auto"/>
              <w:rPr>
                <w:rFonts w:ascii="宋体" w:hAnsi="宋体"/>
                <w:sz w:val="24"/>
                <w:szCs w:val="24"/>
              </w:rPr>
            </w:pPr>
            <w:r>
              <w:rPr>
                <w:rFonts w:ascii="宋体" w:hAnsi="宋体" w:hint="eastAsia"/>
                <w:sz w:val="24"/>
                <w:szCs w:val="24"/>
              </w:rPr>
              <w:t>答：公司的</w:t>
            </w:r>
            <w:r w:rsidR="00166F8E">
              <w:rPr>
                <w:rFonts w:ascii="宋体" w:hAnsi="宋体" w:hint="eastAsia"/>
                <w:sz w:val="24"/>
                <w:szCs w:val="24"/>
              </w:rPr>
              <w:t>柔性</w:t>
            </w:r>
            <w:r>
              <w:rPr>
                <w:rFonts w:ascii="宋体" w:hAnsi="宋体" w:hint="eastAsia"/>
                <w:sz w:val="24"/>
                <w:szCs w:val="24"/>
              </w:rPr>
              <w:t>传感器在形态上</w:t>
            </w:r>
            <w:r w:rsidR="000F1A1D">
              <w:rPr>
                <w:rFonts w:ascii="宋体" w:hAnsi="宋体" w:hint="eastAsia"/>
                <w:sz w:val="24"/>
                <w:szCs w:val="24"/>
              </w:rPr>
              <w:t>会</w:t>
            </w:r>
            <w:r>
              <w:rPr>
                <w:rFonts w:ascii="宋体" w:hAnsi="宋体" w:hint="eastAsia"/>
                <w:sz w:val="24"/>
                <w:szCs w:val="24"/>
              </w:rPr>
              <w:t>更柔、更轻薄</w:t>
            </w:r>
            <w:r w:rsidR="00166F8E">
              <w:rPr>
                <w:rFonts w:ascii="宋体" w:hAnsi="宋体" w:hint="eastAsia"/>
                <w:sz w:val="24"/>
                <w:szCs w:val="24"/>
              </w:rPr>
              <w:t>，</w:t>
            </w:r>
            <w:r w:rsidR="00166F8E" w:rsidRPr="00166F8E">
              <w:rPr>
                <w:rFonts w:ascii="宋体" w:hAnsi="宋体" w:hint="eastAsia"/>
                <w:sz w:val="24"/>
                <w:szCs w:val="24"/>
              </w:rPr>
              <w:t>对于各种应用的定制化程度高</w:t>
            </w:r>
            <w:r w:rsidR="00166F8E">
              <w:rPr>
                <w:rFonts w:ascii="宋体" w:hAnsi="宋体" w:hint="eastAsia"/>
                <w:sz w:val="24"/>
                <w:szCs w:val="24"/>
              </w:rPr>
              <w:t>。</w:t>
            </w:r>
          </w:p>
          <w:p w14:paraId="695585CA" w14:textId="77777777" w:rsidR="002B63C8" w:rsidRDefault="002B63C8">
            <w:pPr>
              <w:spacing w:line="360" w:lineRule="auto"/>
              <w:rPr>
                <w:rFonts w:ascii="宋体" w:hAnsi="宋体"/>
                <w:sz w:val="24"/>
                <w:szCs w:val="24"/>
              </w:rPr>
            </w:pPr>
          </w:p>
          <w:p w14:paraId="30AC8258" w14:textId="3FF72D2C" w:rsidR="002B63C8" w:rsidRDefault="00D329F2">
            <w:pPr>
              <w:spacing w:line="360" w:lineRule="auto"/>
              <w:rPr>
                <w:rFonts w:ascii="宋体" w:hAnsi="宋体"/>
                <w:b/>
                <w:bCs/>
                <w:sz w:val="24"/>
                <w:szCs w:val="24"/>
              </w:rPr>
            </w:pPr>
            <w:r>
              <w:rPr>
                <w:rFonts w:ascii="宋体" w:hAnsi="宋体" w:hint="eastAsia"/>
                <w:b/>
                <w:bCs/>
                <w:sz w:val="24"/>
                <w:szCs w:val="24"/>
              </w:rPr>
              <w:t>问题2</w:t>
            </w:r>
            <w:r w:rsidR="0010286C">
              <w:rPr>
                <w:rFonts w:ascii="宋体" w:hAnsi="宋体" w:hint="eastAsia"/>
                <w:b/>
                <w:bCs/>
                <w:sz w:val="24"/>
                <w:szCs w:val="24"/>
              </w:rPr>
              <w:t>：</w:t>
            </w:r>
            <w:r>
              <w:rPr>
                <w:rFonts w:ascii="宋体" w:hAnsi="宋体" w:hint="eastAsia"/>
                <w:b/>
                <w:bCs/>
                <w:sz w:val="24"/>
                <w:szCs w:val="24"/>
              </w:rPr>
              <w:t>公司未来提供的传感器产品是什么样的？</w:t>
            </w:r>
          </w:p>
          <w:p w14:paraId="7C9CE177" w14:textId="77115C05" w:rsidR="002B63C8" w:rsidRDefault="00D329F2">
            <w:pPr>
              <w:spacing w:line="360" w:lineRule="auto"/>
              <w:rPr>
                <w:rFonts w:ascii="宋体" w:hAnsi="宋体"/>
                <w:sz w:val="24"/>
                <w:szCs w:val="24"/>
              </w:rPr>
            </w:pPr>
            <w:r>
              <w:rPr>
                <w:rFonts w:ascii="宋体" w:hAnsi="宋体" w:hint="eastAsia"/>
                <w:sz w:val="24"/>
                <w:szCs w:val="24"/>
              </w:rPr>
              <w:t>答：公司未来提供的产品是一套整体的传感系统，包括传感器、</w:t>
            </w:r>
            <w:r>
              <w:rPr>
                <w:rFonts w:ascii="宋体" w:hAnsi="宋体" w:hint="eastAsia"/>
                <w:sz w:val="24"/>
                <w:szCs w:val="24"/>
              </w:rPr>
              <w:lastRenderedPageBreak/>
              <w:t>数据采集电路、算法等。</w:t>
            </w:r>
          </w:p>
          <w:p w14:paraId="70041BE8" w14:textId="77777777" w:rsidR="00D329F2" w:rsidRDefault="00D329F2">
            <w:pPr>
              <w:spacing w:line="360" w:lineRule="auto"/>
              <w:rPr>
                <w:rFonts w:ascii="宋体" w:hAnsi="宋体"/>
                <w:sz w:val="24"/>
                <w:szCs w:val="24"/>
              </w:rPr>
            </w:pPr>
          </w:p>
          <w:p w14:paraId="5A4763AD" w14:textId="1BE3771D" w:rsidR="002B63C8" w:rsidRDefault="00D329F2">
            <w:pPr>
              <w:spacing w:line="360" w:lineRule="auto"/>
              <w:rPr>
                <w:rFonts w:ascii="宋体" w:hAnsi="宋体"/>
                <w:b/>
                <w:bCs/>
                <w:sz w:val="24"/>
                <w:szCs w:val="24"/>
              </w:rPr>
            </w:pPr>
            <w:r>
              <w:rPr>
                <w:rFonts w:ascii="宋体" w:hAnsi="宋体" w:hint="eastAsia"/>
                <w:b/>
                <w:bCs/>
                <w:sz w:val="24"/>
                <w:szCs w:val="24"/>
              </w:rPr>
              <w:t>问题3</w:t>
            </w:r>
            <w:r w:rsidR="0010286C">
              <w:rPr>
                <w:rFonts w:ascii="宋体" w:hAnsi="宋体" w:hint="eastAsia"/>
                <w:b/>
                <w:bCs/>
                <w:sz w:val="24"/>
                <w:szCs w:val="24"/>
              </w:rPr>
              <w:t>：</w:t>
            </w:r>
            <w:r>
              <w:rPr>
                <w:rFonts w:ascii="宋体" w:hAnsi="宋体" w:hint="eastAsia"/>
                <w:b/>
                <w:bCs/>
                <w:sz w:val="24"/>
                <w:szCs w:val="24"/>
              </w:rPr>
              <w:t>触觉传感器有5大技术路线，选取</w:t>
            </w:r>
            <w:proofErr w:type="gramStart"/>
            <w:r>
              <w:rPr>
                <w:rFonts w:ascii="宋体" w:hAnsi="宋体" w:hint="eastAsia"/>
                <w:b/>
                <w:bCs/>
                <w:sz w:val="24"/>
                <w:szCs w:val="24"/>
              </w:rPr>
              <w:t>压阻式的</w:t>
            </w:r>
            <w:proofErr w:type="gramEnd"/>
            <w:r>
              <w:rPr>
                <w:rFonts w:ascii="宋体" w:hAnsi="宋体" w:hint="eastAsia"/>
                <w:b/>
                <w:bCs/>
                <w:sz w:val="24"/>
                <w:szCs w:val="24"/>
              </w:rPr>
              <w:t>原因是什么？</w:t>
            </w:r>
          </w:p>
          <w:p w14:paraId="6CCC60D8" w14:textId="77777777" w:rsidR="002B63C8" w:rsidRDefault="00D329F2">
            <w:pPr>
              <w:spacing w:line="360" w:lineRule="auto"/>
              <w:rPr>
                <w:rFonts w:ascii="宋体" w:hAnsi="宋体"/>
                <w:sz w:val="24"/>
                <w:szCs w:val="24"/>
              </w:rPr>
            </w:pPr>
            <w:r>
              <w:rPr>
                <w:rFonts w:ascii="宋体" w:hAnsi="宋体" w:hint="eastAsia"/>
                <w:sz w:val="24"/>
                <w:szCs w:val="24"/>
              </w:rPr>
              <w:t>答：从目前市场上反馈的信息来看，</w:t>
            </w:r>
            <w:proofErr w:type="gramStart"/>
            <w:r>
              <w:rPr>
                <w:rFonts w:ascii="宋体" w:hAnsi="宋体" w:hint="eastAsia"/>
                <w:sz w:val="24"/>
                <w:szCs w:val="24"/>
              </w:rPr>
              <w:t>压阻式技术</w:t>
            </w:r>
            <w:proofErr w:type="gramEnd"/>
            <w:r>
              <w:rPr>
                <w:rFonts w:ascii="宋体" w:hAnsi="宋体" w:hint="eastAsia"/>
                <w:sz w:val="24"/>
                <w:szCs w:val="24"/>
              </w:rPr>
              <w:t>路线与其他技术路线相比的优势：一是从最根本的要求上能够满足传感信号的稳定性，受干扰的程度会比较小；二是从产业落地的角度</w:t>
            </w:r>
            <w:proofErr w:type="gramStart"/>
            <w:r>
              <w:rPr>
                <w:rFonts w:ascii="宋体" w:hAnsi="宋体" w:hint="eastAsia"/>
                <w:sz w:val="24"/>
                <w:szCs w:val="24"/>
              </w:rPr>
              <w:t>考量</w:t>
            </w:r>
            <w:proofErr w:type="gramEnd"/>
            <w:r>
              <w:rPr>
                <w:rFonts w:ascii="宋体" w:hAnsi="宋体" w:hint="eastAsia"/>
                <w:sz w:val="24"/>
                <w:szCs w:val="24"/>
              </w:rPr>
              <w:t>更有性价比。</w:t>
            </w:r>
          </w:p>
          <w:p w14:paraId="7ECD4D2D" w14:textId="77777777" w:rsidR="002B63C8" w:rsidRDefault="002B63C8">
            <w:pPr>
              <w:spacing w:line="360" w:lineRule="auto"/>
              <w:rPr>
                <w:rFonts w:ascii="宋体" w:hAnsi="宋体"/>
                <w:sz w:val="24"/>
                <w:szCs w:val="24"/>
              </w:rPr>
            </w:pPr>
          </w:p>
          <w:p w14:paraId="4B428CE4" w14:textId="15437239" w:rsidR="002B63C8" w:rsidRDefault="00D329F2">
            <w:pPr>
              <w:spacing w:line="360" w:lineRule="auto"/>
              <w:rPr>
                <w:rFonts w:ascii="宋体" w:hAnsi="宋体"/>
                <w:b/>
                <w:bCs/>
                <w:sz w:val="24"/>
                <w:szCs w:val="24"/>
              </w:rPr>
            </w:pPr>
            <w:r>
              <w:rPr>
                <w:rFonts w:ascii="宋体" w:hAnsi="宋体" w:hint="eastAsia"/>
                <w:b/>
                <w:bCs/>
                <w:sz w:val="24"/>
                <w:szCs w:val="24"/>
              </w:rPr>
              <w:t>问题4</w:t>
            </w:r>
            <w:r w:rsidR="0010286C">
              <w:rPr>
                <w:rFonts w:ascii="宋体" w:hAnsi="宋体" w:hint="eastAsia"/>
                <w:b/>
                <w:bCs/>
                <w:sz w:val="24"/>
                <w:szCs w:val="24"/>
              </w:rPr>
              <w:t>：</w:t>
            </w:r>
            <w:r>
              <w:rPr>
                <w:rFonts w:ascii="宋体" w:hAnsi="宋体" w:hint="eastAsia"/>
                <w:b/>
                <w:bCs/>
                <w:sz w:val="24"/>
                <w:szCs w:val="24"/>
              </w:rPr>
              <w:t>传感器通过算法做大量的数据采集，实现的复杂程度是什么样？</w:t>
            </w:r>
          </w:p>
          <w:p w14:paraId="49DD2F01" w14:textId="0669082F" w:rsidR="002B63C8" w:rsidRDefault="00D329F2">
            <w:pPr>
              <w:spacing w:line="360" w:lineRule="auto"/>
              <w:rPr>
                <w:rFonts w:ascii="宋体" w:hAnsi="宋体"/>
                <w:sz w:val="24"/>
                <w:szCs w:val="24"/>
              </w:rPr>
            </w:pPr>
            <w:r>
              <w:rPr>
                <w:rFonts w:ascii="宋体" w:hAnsi="宋体" w:hint="eastAsia"/>
                <w:b/>
                <w:bCs/>
                <w:sz w:val="24"/>
                <w:szCs w:val="24"/>
              </w:rPr>
              <w:t>答：</w:t>
            </w:r>
            <w:r>
              <w:rPr>
                <w:rFonts w:ascii="宋体" w:hAnsi="宋体" w:hint="eastAsia"/>
                <w:sz w:val="24"/>
                <w:szCs w:val="24"/>
              </w:rPr>
              <w:t>传感器算法主要有以下基本的功能：一是将传感器的原始信号转化为温度、压力、摩擦力或者是接近觉，通过精确的计算，采集不同场景下的信号；二是保持功能，可以利用神经网络的算法，将一些简单的阵列信号挖掘出更丰富的信息，还有很多值得创新的研究开发。</w:t>
            </w:r>
          </w:p>
          <w:p w14:paraId="2F45EA11" w14:textId="77777777" w:rsidR="002B63C8" w:rsidRDefault="002B63C8">
            <w:pPr>
              <w:spacing w:line="360" w:lineRule="auto"/>
              <w:rPr>
                <w:rFonts w:ascii="宋体" w:hAnsi="宋体"/>
                <w:sz w:val="24"/>
                <w:szCs w:val="24"/>
              </w:rPr>
            </w:pPr>
          </w:p>
          <w:p w14:paraId="6C5DB884" w14:textId="2449112D" w:rsidR="002B63C8" w:rsidRDefault="00D329F2">
            <w:pPr>
              <w:spacing w:line="360" w:lineRule="auto"/>
              <w:rPr>
                <w:rFonts w:ascii="宋体" w:hAnsi="宋体"/>
                <w:sz w:val="24"/>
                <w:szCs w:val="24"/>
              </w:rPr>
            </w:pPr>
            <w:r>
              <w:rPr>
                <w:rFonts w:ascii="宋体" w:hAnsi="宋体" w:hint="eastAsia"/>
                <w:b/>
                <w:bCs/>
                <w:sz w:val="24"/>
                <w:szCs w:val="24"/>
              </w:rPr>
              <w:t>问题5</w:t>
            </w:r>
            <w:r w:rsidR="0010286C">
              <w:rPr>
                <w:rFonts w:ascii="宋体" w:hAnsi="宋体" w:hint="eastAsia"/>
                <w:b/>
                <w:bCs/>
                <w:sz w:val="24"/>
                <w:szCs w:val="24"/>
              </w:rPr>
              <w:t>：</w:t>
            </w:r>
            <w:r>
              <w:rPr>
                <w:rFonts w:ascii="宋体" w:hAnsi="宋体" w:hint="eastAsia"/>
                <w:b/>
                <w:bCs/>
                <w:sz w:val="24"/>
                <w:szCs w:val="24"/>
              </w:rPr>
              <w:t>公司目前与哪些厂家对接合作？</w:t>
            </w:r>
          </w:p>
          <w:p w14:paraId="0EED2A63" w14:textId="77777777" w:rsidR="002B63C8" w:rsidRDefault="00D329F2">
            <w:pPr>
              <w:spacing w:line="360" w:lineRule="auto"/>
              <w:rPr>
                <w:rFonts w:ascii="宋体" w:hAnsi="宋体"/>
                <w:sz w:val="24"/>
                <w:szCs w:val="24"/>
              </w:rPr>
            </w:pPr>
            <w:r>
              <w:rPr>
                <w:rFonts w:ascii="宋体" w:hAnsi="宋体" w:hint="eastAsia"/>
                <w:b/>
                <w:bCs/>
                <w:sz w:val="24"/>
                <w:szCs w:val="24"/>
              </w:rPr>
              <w:t>答：</w:t>
            </w:r>
            <w:r>
              <w:rPr>
                <w:rFonts w:ascii="宋体" w:hAnsi="宋体" w:hint="eastAsia"/>
                <w:sz w:val="24"/>
                <w:szCs w:val="24"/>
              </w:rPr>
              <w:t>公司正在积极的与相关灵巧手和主机</w:t>
            </w:r>
            <w:proofErr w:type="gramStart"/>
            <w:r>
              <w:rPr>
                <w:rFonts w:ascii="宋体" w:hAnsi="宋体" w:hint="eastAsia"/>
                <w:sz w:val="24"/>
                <w:szCs w:val="24"/>
              </w:rPr>
              <w:t>厂客户</w:t>
            </w:r>
            <w:proofErr w:type="gramEnd"/>
            <w:r>
              <w:rPr>
                <w:rFonts w:ascii="宋体" w:hAnsi="宋体" w:hint="eastAsia"/>
                <w:sz w:val="24"/>
                <w:szCs w:val="24"/>
              </w:rPr>
              <w:t>对接。</w:t>
            </w:r>
          </w:p>
          <w:p w14:paraId="41EF1AAA" w14:textId="77777777" w:rsidR="002B63C8" w:rsidRDefault="002B63C8">
            <w:pPr>
              <w:spacing w:line="360" w:lineRule="auto"/>
              <w:rPr>
                <w:rFonts w:ascii="宋体" w:hAnsi="宋体"/>
                <w:sz w:val="24"/>
                <w:szCs w:val="24"/>
              </w:rPr>
            </w:pPr>
          </w:p>
          <w:p w14:paraId="23EEB357" w14:textId="748E780F" w:rsidR="002B63C8" w:rsidRDefault="00D329F2">
            <w:pPr>
              <w:spacing w:line="360" w:lineRule="auto"/>
              <w:rPr>
                <w:rFonts w:ascii="宋体" w:hAnsi="宋体"/>
                <w:sz w:val="24"/>
                <w:szCs w:val="24"/>
              </w:rPr>
            </w:pPr>
            <w:r>
              <w:rPr>
                <w:rFonts w:ascii="宋体" w:hAnsi="宋体" w:hint="eastAsia"/>
                <w:b/>
                <w:bCs/>
                <w:sz w:val="24"/>
                <w:szCs w:val="24"/>
              </w:rPr>
              <w:t>问题6</w:t>
            </w:r>
            <w:r w:rsidR="0010286C">
              <w:rPr>
                <w:rFonts w:ascii="宋体" w:hAnsi="宋体" w:hint="eastAsia"/>
                <w:b/>
                <w:bCs/>
                <w:sz w:val="24"/>
                <w:szCs w:val="24"/>
              </w:rPr>
              <w:t>：</w:t>
            </w:r>
            <w:r>
              <w:rPr>
                <w:rFonts w:ascii="宋体" w:hAnsi="宋体" w:hint="eastAsia"/>
                <w:b/>
                <w:bCs/>
                <w:sz w:val="24"/>
                <w:szCs w:val="24"/>
              </w:rPr>
              <w:t>柔性传感器的未来应用前景有哪些？</w:t>
            </w:r>
          </w:p>
          <w:p w14:paraId="32814102" w14:textId="77777777" w:rsidR="002B63C8" w:rsidRDefault="00D329F2">
            <w:pPr>
              <w:spacing w:line="360" w:lineRule="auto"/>
              <w:rPr>
                <w:rFonts w:ascii="宋体" w:hAnsi="宋体"/>
                <w:sz w:val="24"/>
                <w:szCs w:val="24"/>
              </w:rPr>
            </w:pPr>
            <w:r>
              <w:rPr>
                <w:rFonts w:ascii="宋体" w:hAnsi="宋体" w:hint="eastAsia"/>
                <w:b/>
                <w:bCs/>
                <w:sz w:val="24"/>
                <w:szCs w:val="24"/>
              </w:rPr>
              <w:t>答：</w:t>
            </w:r>
            <w:r>
              <w:rPr>
                <w:rFonts w:ascii="宋体" w:hAnsi="宋体" w:hint="eastAsia"/>
                <w:sz w:val="24"/>
                <w:szCs w:val="24"/>
              </w:rPr>
              <w:t>柔性传感器是一个新的前沿技术领域，在万物互联的时代，未来具有广泛的应用场景，从公司当前的整体定位去看，主要有以下几个方向：人形机器人电子皮肤的应用、工业检测应用、智能穿戴、健康监测等领域，并与相关公司在合作研发。</w:t>
            </w:r>
          </w:p>
          <w:p w14:paraId="469FF25C" w14:textId="77777777" w:rsidR="002B63C8" w:rsidRDefault="002B63C8">
            <w:pPr>
              <w:spacing w:line="360" w:lineRule="auto"/>
              <w:rPr>
                <w:rFonts w:ascii="宋体" w:hAnsi="宋体"/>
                <w:sz w:val="24"/>
                <w:szCs w:val="24"/>
              </w:rPr>
            </w:pPr>
          </w:p>
          <w:p w14:paraId="44DEDC0A" w14:textId="6CA37D3E" w:rsidR="002B63C8" w:rsidRDefault="00D329F2">
            <w:pPr>
              <w:spacing w:line="360" w:lineRule="auto"/>
              <w:rPr>
                <w:rFonts w:ascii="宋体" w:hAnsi="宋体"/>
                <w:b/>
                <w:bCs/>
                <w:sz w:val="24"/>
                <w:szCs w:val="24"/>
              </w:rPr>
            </w:pPr>
            <w:r>
              <w:rPr>
                <w:rFonts w:ascii="宋体" w:hAnsi="宋体" w:hint="eastAsia"/>
                <w:b/>
                <w:bCs/>
                <w:sz w:val="24"/>
                <w:szCs w:val="24"/>
              </w:rPr>
              <w:t>问题7</w:t>
            </w:r>
            <w:r w:rsidR="0010286C">
              <w:rPr>
                <w:rFonts w:ascii="宋体" w:hAnsi="宋体" w:hint="eastAsia"/>
                <w:b/>
                <w:bCs/>
                <w:sz w:val="24"/>
                <w:szCs w:val="24"/>
              </w:rPr>
              <w:t>：</w:t>
            </w:r>
            <w:r>
              <w:rPr>
                <w:rFonts w:ascii="宋体" w:hAnsi="宋体" w:hint="eastAsia"/>
                <w:b/>
                <w:bCs/>
                <w:sz w:val="24"/>
                <w:szCs w:val="24"/>
              </w:rPr>
              <w:t>公司产品毛利率未来会有提升吗？</w:t>
            </w:r>
          </w:p>
          <w:p w14:paraId="7611E28A" w14:textId="77777777" w:rsidR="002B63C8" w:rsidRDefault="00D329F2">
            <w:pPr>
              <w:spacing w:line="360" w:lineRule="auto"/>
              <w:rPr>
                <w:rFonts w:ascii="宋体" w:hAnsi="宋体"/>
                <w:sz w:val="24"/>
                <w:szCs w:val="24"/>
              </w:rPr>
            </w:pPr>
            <w:r>
              <w:rPr>
                <w:rFonts w:ascii="宋体" w:hAnsi="宋体" w:hint="eastAsia"/>
                <w:b/>
                <w:bCs/>
                <w:sz w:val="24"/>
                <w:szCs w:val="24"/>
              </w:rPr>
              <w:t>答：</w:t>
            </w:r>
            <w:r>
              <w:rPr>
                <w:rFonts w:ascii="宋体" w:hAnsi="宋体" w:hint="eastAsia"/>
                <w:sz w:val="24"/>
                <w:szCs w:val="24"/>
              </w:rPr>
              <w:t>公司作为涂布多功能复合材料的提供商，通过产业链一体化的布局，成为国内喷墨打印复合材料行业首家实现基膜、胶</w:t>
            </w:r>
            <w:r>
              <w:rPr>
                <w:rFonts w:ascii="宋体" w:hAnsi="宋体" w:hint="eastAsia"/>
                <w:sz w:val="24"/>
                <w:szCs w:val="24"/>
              </w:rPr>
              <w:lastRenderedPageBreak/>
              <w:t>水、涂布一体化的企业，结合产能优化产品和客户结构，实现规模化效益的同时实施差异化产品路线，提高市场竞争力，预计产品毛利率将会有一定的上升空间。公司也积极拓展海外业务，增加海外业务占比。</w:t>
            </w:r>
          </w:p>
          <w:p w14:paraId="2408FD69" w14:textId="77777777" w:rsidR="002B63C8" w:rsidRDefault="002B63C8">
            <w:pPr>
              <w:spacing w:line="360" w:lineRule="auto"/>
              <w:rPr>
                <w:rFonts w:ascii="宋体" w:hAnsi="宋体"/>
                <w:sz w:val="24"/>
                <w:szCs w:val="24"/>
              </w:rPr>
            </w:pPr>
          </w:p>
          <w:p w14:paraId="74299601" w14:textId="000F847F" w:rsidR="002B63C8" w:rsidRDefault="00D329F2">
            <w:pPr>
              <w:spacing w:line="360" w:lineRule="auto"/>
              <w:rPr>
                <w:rFonts w:ascii="宋体" w:hAnsi="宋体"/>
                <w:b/>
                <w:bCs/>
                <w:sz w:val="24"/>
                <w:szCs w:val="24"/>
              </w:rPr>
            </w:pPr>
            <w:r>
              <w:rPr>
                <w:rFonts w:ascii="宋体" w:hAnsi="宋体" w:hint="eastAsia"/>
                <w:b/>
                <w:bCs/>
                <w:sz w:val="24"/>
                <w:szCs w:val="24"/>
              </w:rPr>
              <w:t>问题8</w:t>
            </w:r>
            <w:r w:rsidR="0010286C">
              <w:rPr>
                <w:rFonts w:ascii="宋体" w:hAnsi="宋体" w:hint="eastAsia"/>
                <w:b/>
                <w:bCs/>
                <w:sz w:val="24"/>
                <w:szCs w:val="24"/>
              </w:rPr>
              <w:t>：</w:t>
            </w:r>
            <w:r>
              <w:rPr>
                <w:rFonts w:ascii="宋体" w:hAnsi="宋体" w:hint="eastAsia"/>
                <w:b/>
                <w:bCs/>
                <w:sz w:val="24"/>
                <w:szCs w:val="24"/>
              </w:rPr>
              <w:t>公司在消费电子围绕OLED 屏的应用产品有哪些？</w:t>
            </w:r>
          </w:p>
          <w:p w14:paraId="0A94637A" w14:textId="435A0666" w:rsidR="002B63C8" w:rsidRDefault="00D329F2">
            <w:pPr>
              <w:spacing w:line="360" w:lineRule="auto"/>
              <w:rPr>
                <w:rFonts w:ascii="宋体" w:hAnsi="宋体"/>
                <w:sz w:val="24"/>
                <w:szCs w:val="24"/>
              </w:rPr>
            </w:pPr>
            <w:r>
              <w:rPr>
                <w:rFonts w:ascii="宋体" w:hAnsi="宋体" w:hint="eastAsia"/>
                <w:b/>
                <w:bCs/>
                <w:sz w:val="24"/>
                <w:szCs w:val="24"/>
              </w:rPr>
              <w:t>答：</w:t>
            </w:r>
            <w:r>
              <w:rPr>
                <w:rFonts w:ascii="宋体" w:hAnsi="宋体" w:hint="eastAsia"/>
                <w:sz w:val="24"/>
                <w:szCs w:val="24"/>
              </w:rPr>
              <w:t>公司全资子公司浙江欧仁新材料有限公司生产的电子级功能材料中的保护膜系列产品，可用于OLED显示屏</w:t>
            </w:r>
            <w:proofErr w:type="gramStart"/>
            <w:r>
              <w:rPr>
                <w:rFonts w:ascii="宋体" w:hAnsi="宋体" w:hint="eastAsia"/>
                <w:sz w:val="24"/>
                <w:szCs w:val="24"/>
              </w:rPr>
              <w:t>的制程和</w:t>
            </w:r>
            <w:proofErr w:type="gramEnd"/>
            <w:r>
              <w:rPr>
                <w:rFonts w:ascii="宋体" w:hAnsi="宋体" w:hint="eastAsia"/>
                <w:sz w:val="24"/>
                <w:szCs w:val="24"/>
              </w:rPr>
              <w:t>出货过程中使用的材料，力争成为OLED 应用有力竞争者。</w:t>
            </w:r>
          </w:p>
          <w:p w14:paraId="344F4800" w14:textId="77777777" w:rsidR="002B63C8" w:rsidRDefault="002B63C8">
            <w:pPr>
              <w:spacing w:line="360" w:lineRule="auto"/>
              <w:rPr>
                <w:rFonts w:ascii="宋体" w:hAnsi="宋体"/>
                <w:sz w:val="24"/>
                <w:szCs w:val="24"/>
              </w:rPr>
            </w:pPr>
          </w:p>
          <w:p w14:paraId="2B1EF9D2" w14:textId="27F60CE0" w:rsidR="002B63C8" w:rsidRDefault="00D329F2">
            <w:pPr>
              <w:spacing w:line="360" w:lineRule="auto"/>
              <w:rPr>
                <w:rFonts w:ascii="宋体" w:hAnsi="宋体"/>
                <w:b/>
                <w:bCs/>
                <w:sz w:val="24"/>
                <w:szCs w:val="24"/>
              </w:rPr>
            </w:pPr>
            <w:r>
              <w:rPr>
                <w:rFonts w:ascii="宋体" w:hAnsi="宋体" w:hint="eastAsia"/>
                <w:b/>
                <w:bCs/>
                <w:sz w:val="24"/>
                <w:szCs w:val="24"/>
              </w:rPr>
              <w:t>问题9</w:t>
            </w:r>
            <w:r w:rsidR="0010286C">
              <w:rPr>
                <w:rFonts w:ascii="宋体" w:hAnsi="宋体" w:hint="eastAsia"/>
                <w:b/>
                <w:bCs/>
                <w:sz w:val="24"/>
                <w:szCs w:val="24"/>
              </w:rPr>
              <w:t>：</w:t>
            </w:r>
            <w:r>
              <w:rPr>
                <w:rFonts w:ascii="宋体" w:hAnsi="宋体" w:hint="eastAsia"/>
                <w:b/>
                <w:bCs/>
                <w:sz w:val="24"/>
                <w:szCs w:val="24"/>
              </w:rPr>
              <w:t>公司接下来会有产品发布会的计划吗？</w:t>
            </w:r>
          </w:p>
          <w:p w14:paraId="7FF6B885" w14:textId="77777777" w:rsidR="002B63C8" w:rsidRDefault="00D329F2">
            <w:pPr>
              <w:spacing w:line="360" w:lineRule="auto"/>
              <w:rPr>
                <w:rFonts w:asciiTheme="minorEastAsia" w:eastAsiaTheme="minorEastAsia" w:hAnsiTheme="minorEastAsia" w:cs="Times New Roman"/>
                <w:sz w:val="24"/>
                <w:szCs w:val="24"/>
              </w:rPr>
            </w:pPr>
            <w:r>
              <w:rPr>
                <w:rFonts w:ascii="宋体" w:hAnsi="宋体" w:hint="eastAsia"/>
                <w:b/>
                <w:bCs/>
                <w:sz w:val="24"/>
                <w:szCs w:val="24"/>
              </w:rPr>
              <w:t>答：</w:t>
            </w:r>
            <w:r>
              <w:rPr>
                <w:rFonts w:ascii="宋体" w:hAnsi="宋体" w:hint="eastAsia"/>
                <w:sz w:val="24"/>
                <w:szCs w:val="24"/>
              </w:rPr>
              <w:t>新品发布作为商务推广的一种方法与策略，我们会充分考虑您的建议。感谢您的关注！</w:t>
            </w:r>
          </w:p>
        </w:tc>
      </w:tr>
      <w:tr w:rsidR="002B63C8" w14:paraId="4B494CF4" w14:textId="77777777">
        <w:tc>
          <w:tcPr>
            <w:tcW w:w="2156" w:type="dxa"/>
            <w:shd w:val="clear" w:color="auto" w:fill="auto"/>
            <w:vAlign w:val="center"/>
          </w:tcPr>
          <w:p w14:paraId="3C5656BA" w14:textId="77777777" w:rsidR="002B63C8" w:rsidRDefault="00D329F2">
            <w:pPr>
              <w:spacing w:line="360" w:lineRule="auto"/>
              <w:rPr>
                <w:rFonts w:ascii="宋体" w:hAnsi="宋体" w:cs="Times New Roman"/>
                <w:b/>
                <w:bCs/>
                <w:iCs/>
                <w:sz w:val="24"/>
                <w:szCs w:val="24"/>
              </w:rPr>
            </w:pPr>
            <w:r>
              <w:rPr>
                <w:rFonts w:ascii="宋体" w:hAnsi="宋体" w:cs="Times New Roman" w:hint="eastAsia"/>
                <w:b/>
                <w:bCs/>
                <w:iCs/>
                <w:sz w:val="24"/>
                <w:szCs w:val="24"/>
              </w:rPr>
              <w:lastRenderedPageBreak/>
              <w:t>附件清单（如有）</w:t>
            </w:r>
          </w:p>
        </w:tc>
        <w:tc>
          <w:tcPr>
            <w:tcW w:w="6757" w:type="dxa"/>
            <w:shd w:val="clear" w:color="auto" w:fill="auto"/>
          </w:tcPr>
          <w:p w14:paraId="5749F503" w14:textId="77777777" w:rsidR="002B63C8" w:rsidRDefault="00D329F2">
            <w:pPr>
              <w:spacing w:line="360" w:lineRule="auto"/>
              <w:rPr>
                <w:rFonts w:ascii="宋体" w:hAnsi="宋体" w:cs="Times New Roman"/>
                <w:bCs/>
                <w:iCs/>
                <w:sz w:val="24"/>
                <w:szCs w:val="24"/>
              </w:rPr>
            </w:pPr>
            <w:r>
              <w:rPr>
                <w:rFonts w:ascii="宋体" w:hAnsi="宋体" w:cs="Times New Roman" w:hint="eastAsia"/>
                <w:bCs/>
                <w:iCs/>
                <w:sz w:val="24"/>
                <w:szCs w:val="24"/>
              </w:rPr>
              <w:t>《附件清单》</w:t>
            </w:r>
          </w:p>
        </w:tc>
      </w:tr>
      <w:tr w:rsidR="002B63C8" w14:paraId="4BC79E9D" w14:textId="77777777">
        <w:tc>
          <w:tcPr>
            <w:tcW w:w="2156" w:type="dxa"/>
            <w:shd w:val="clear" w:color="auto" w:fill="auto"/>
            <w:vAlign w:val="center"/>
          </w:tcPr>
          <w:p w14:paraId="561A16D0" w14:textId="77777777" w:rsidR="002B63C8" w:rsidRDefault="00D329F2">
            <w:pPr>
              <w:spacing w:line="360" w:lineRule="auto"/>
              <w:rPr>
                <w:rFonts w:ascii="宋体" w:hAnsi="宋体" w:cs="Times New Roman"/>
                <w:b/>
                <w:bCs/>
                <w:iCs/>
                <w:sz w:val="24"/>
                <w:szCs w:val="24"/>
              </w:rPr>
            </w:pPr>
            <w:r>
              <w:rPr>
                <w:rFonts w:ascii="宋体" w:hAnsi="宋体" w:cs="Times New Roman" w:hint="eastAsia"/>
                <w:b/>
                <w:bCs/>
                <w:iCs/>
                <w:sz w:val="24"/>
                <w:szCs w:val="24"/>
              </w:rPr>
              <w:t>日期</w:t>
            </w:r>
          </w:p>
        </w:tc>
        <w:tc>
          <w:tcPr>
            <w:tcW w:w="6757" w:type="dxa"/>
            <w:shd w:val="clear" w:color="auto" w:fill="auto"/>
            <w:vAlign w:val="center"/>
          </w:tcPr>
          <w:p w14:paraId="41EA122A" w14:textId="77777777" w:rsidR="002B63C8" w:rsidRDefault="00D329F2">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Pr>
                <w:rFonts w:ascii="宋体" w:hAnsi="宋体" w:cs="Times New Roman" w:hint="eastAsia"/>
                <w:iCs/>
                <w:sz w:val="24"/>
                <w:szCs w:val="24"/>
              </w:rPr>
              <w:t>5年01月03日</w:t>
            </w:r>
          </w:p>
          <w:p w14:paraId="5BEC92B2" w14:textId="77777777" w:rsidR="002B63C8" w:rsidRDefault="00D329F2">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Pr>
                <w:rFonts w:ascii="宋体" w:hAnsi="宋体" w:cs="Times New Roman" w:hint="eastAsia"/>
                <w:iCs/>
                <w:sz w:val="24"/>
                <w:szCs w:val="24"/>
              </w:rPr>
              <w:t>5年01月14日</w:t>
            </w:r>
          </w:p>
          <w:p w14:paraId="21418C3A" w14:textId="77777777" w:rsidR="002B63C8" w:rsidRDefault="00D329F2">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Pr>
                <w:rFonts w:ascii="宋体" w:hAnsi="宋体" w:cs="Times New Roman" w:hint="eastAsia"/>
                <w:iCs/>
                <w:sz w:val="24"/>
                <w:szCs w:val="24"/>
              </w:rPr>
              <w:t>5年01月16日</w:t>
            </w:r>
          </w:p>
          <w:p w14:paraId="36CD0B93" w14:textId="77777777" w:rsidR="002B63C8" w:rsidRDefault="00D329F2">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Pr>
                <w:rFonts w:ascii="宋体" w:hAnsi="宋体" w:cs="Times New Roman" w:hint="eastAsia"/>
                <w:iCs/>
                <w:sz w:val="24"/>
                <w:szCs w:val="24"/>
              </w:rPr>
              <w:t>5年01月17日</w:t>
            </w:r>
          </w:p>
        </w:tc>
      </w:tr>
    </w:tbl>
    <w:p w14:paraId="0A0F1969" w14:textId="77777777" w:rsidR="002B63C8" w:rsidRDefault="002B63C8"/>
    <w:p w14:paraId="4C841540" w14:textId="77777777" w:rsidR="002B63C8" w:rsidRDefault="002B63C8"/>
    <w:tbl>
      <w:tblPr>
        <w:tblStyle w:val="af"/>
        <w:tblpPr w:leftFromText="180" w:rightFromText="180" w:vertAnchor="text" w:horzAnchor="page" w:tblpX="3093"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47"/>
      </w:tblGrid>
      <w:tr w:rsidR="002B63C8" w14:paraId="6501A686" w14:textId="77777777">
        <w:trPr>
          <w:trHeight w:val="339"/>
        </w:trPr>
        <w:tc>
          <w:tcPr>
            <w:tcW w:w="2692" w:type="dxa"/>
            <w:tcBorders>
              <w:top w:val="single" w:sz="12" w:space="0" w:color="auto"/>
              <w:left w:val="single" w:sz="12" w:space="0" w:color="auto"/>
            </w:tcBorders>
            <w:vAlign w:val="center"/>
          </w:tcPr>
          <w:p w14:paraId="68401AAD" w14:textId="77777777" w:rsidR="002B63C8" w:rsidRDefault="00D329F2">
            <w:pPr>
              <w:jc w:val="center"/>
              <w:rPr>
                <w:b/>
                <w:bCs/>
              </w:rPr>
            </w:pPr>
            <w:r>
              <w:rPr>
                <w:rFonts w:hint="eastAsia"/>
                <w:b/>
                <w:bCs/>
              </w:rPr>
              <w:t>机构名称</w:t>
            </w:r>
          </w:p>
        </w:tc>
        <w:tc>
          <w:tcPr>
            <w:tcW w:w="2647" w:type="dxa"/>
            <w:tcBorders>
              <w:top w:val="single" w:sz="12" w:space="0" w:color="auto"/>
              <w:right w:val="single" w:sz="12" w:space="0" w:color="auto"/>
            </w:tcBorders>
            <w:vAlign w:val="center"/>
          </w:tcPr>
          <w:p w14:paraId="18EC2EC0" w14:textId="77777777" w:rsidR="002B63C8" w:rsidRDefault="00D329F2">
            <w:pPr>
              <w:jc w:val="center"/>
              <w:rPr>
                <w:b/>
                <w:bCs/>
              </w:rPr>
            </w:pPr>
            <w:r>
              <w:rPr>
                <w:rFonts w:hint="eastAsia"/>
                <w:b/>
                <w:bCs/>
              </w:rPr>
              <w:t>机构名称</w:t>
            </w:r>
          </w:p>
        </w:tc>
      </w:tr>
      <w:tr w:rsidR="002B63C8" w14:paraId="1B0149A2" w14:textId="77777777">
        <w:trPr>
          <w:trHeight w:val="339"/>
        </w:trPr>
        <w:tc>
          <w:tcPr>
            <w:tcW w:w="2692" w:type="dxa"/>
            <w:tcBorders>
              <w:left w:val="single" w:sz="12" w:space="0" w:color="auto"/>
            </w:tcBorders>
            <w:vAlign w:val="center"/>
          </w:tcPr>
          <w:p w14:paraId="09EE1D51" w14:textId="77777777" w:rsidR="002B63C8" w:rsidRDefault="00D329F2">
            <w:pPr>
              <w:widowControl/>
              <w:jc w:val="left"/>
              <w:textAlignment w:val="center"/>
            </w:pPr>
            <w:r>
              <w:rPr>
                <w:rFonts w:ascii="宋体" w:hAnsi="宋体" w:hint="eastAsia"/>
                <w:color w:val="000000"/>
                <w:kern w:val="0"/>
                <w:sz w:val="22"/>
                <w:lang w:bidi="ar"/>
              </w:rPr>
              <w:t>德</w:t>
            </w:r>
            <w:proofErr w:type="gramStart"/>
            <w:r>
              <w:rPr>
                <w:rFonts w:ascii="宋体" w:hAnsi="宋体" w:hint="eastAsia"/>
                <w:color w:val="000000"/>
                <w:kern w:val="0"/>
                <w:sz w:val="22"/>
                <w:lang w:bidi="ar"/>
              </w:rPr>
              <w:t>邦</w:t>
            </w:r>
            <w:proofErr w:type="gramEnd"/>
            <w:r>
              <w:rPr>
                <w:rFonts w:ascii="宋体" w:hAnsi="宋体" w:hint="eastAsia"/>
                <w:color w:val="000000"/>
                <w:kern w:val="0"/>
                <w:sz w:val="22"/>
                <w:lang w:bidi="ar"/>
              </w:rPr>
              <w:t>证券</w:t>
            </w:r>
          </w:p>
        </w:tc>
        <w:tc>
          <w:tcPr>
            <w:tcW w:w="2647" w:type="dxa"/>
            <w:tcBorders>
              <w:right w:val="single" w:sz="12" w:space="0" w:color="auto"/>
            </w:tcBorders>
            <w:vAlign w:val="center"/>
          </w:tcPr>
          <w:p w14:paraId="226A8830" w14:textId="77777777" w:rsidR="002B63C8" w:rsidRDefault="00D329F2">
            <w:pPr>
              <w:widowControl/>
              <w:jc w:val="left"/>
              <w:textAlignment w:val="center"/>
            </w:pPr>
            <w:r>
              <w:rPr>
                <w:rFonts w:ascii="宋体" w:hAnsi="宋体" w:hint="eastAsia"/>
                <w:color w:val="000000"/>
                <w:kern w:val="0"/>
                <w:sz w:val="22"/>
                <w:lang w:bidi="ar"/>
              </w:rPr>
              <w:t>天风证券</w:t>
            </w:r>
          </w:p>
        </w:tc>
      </w:tr>
      <w:tr w:rsidR="002B63C8" w14:paraId="774A72C7" w14:textId="77777777">
        <w:trPr>
          <w:trHeight w:val="339"/>
        </w:trPr>
        <w:tc>
          <w:tcPr>
            <w:tcW w:w="2692" w:type="dxa"/>
            <w:tcBorders>
              <w:left w:val="single" w:sz="12" w:space="0" w:color="auto"/>
            </w:tcBorders>
            <w:vAlign w:val="center"/>
          </w:tcPr>
          <w:p w14:paraId="5E78E995" w14:textId="77777777" w:rsidR="002B63C8" w:rsidRDefault="00D329F2">
            <w:pPr>
              <w:widowControl/>
              <w:jc w:val="left"/>
              <w:textAlignment w:val="center"/>
            </w:pPr>
            <w:r>
              <w:rPr>
                <w:rFonts w:ascii="宋体" w:hAnsi="宋体" w:hint="eastAsia"/>
                <w:color w:val="000000"/>
                <w:kern w:val="0"/>
                <w:sz w:val="22"/>
                <w:lang w:bidi="ar"/>
              </w:rPr>
              <w:t>国联</w:t>
            </w:r>
            <w:proofErr w:type="gramStart"/>
            <w:r>
              <w:rPr>
                <w:rFonts w:ascii="宋体" w:hAnsi="宋体" w:hint="eastAsia"/>
                <w:color w:val="000000"/>
                <w:kern w:val="0"/>
                <w:sz w:val="22"/>
                <w:lang w:bidi="ar"/>
              </w:rPr>
              <w:t>安基金</w:t>
            </w:r>
            <w:proofErr w:type="gramEnd"/>
          </w:p>
        </w:tc>
        <w:tc>
          <w:tcPr>
            <w:tcW w:w="2647" w:type="dxa"/>
            <w:tcBorders>
              <w:right w:val="single" w:sz="12" w:space="0" w:color="auto"/>
            </w:tcBorders>
            <w:vAlign w:val="center"/>
          </w:tcPr>
          <w:p w14:paraId="58BC0537" w14:textId="77777777" w:rsidR="002B63C8" w:rsidRDefault="00D329F2">
            <w:pPr>
              <w:widowControl/>
              <w:jc w:val="left"/>
              <w:textAlignment w:val="center"/>
            </w:pPr>
            <w:r>
              <w:rPr>
                <w:rFonts w:ascii="宋体" w:hAnsi="宋体" w:hint="eastAsia"/>
                <w:color w:val="000000"/>
                <w:kern w:val="0"/>
                <w:sz w:val="22"/>
                <w:lang w:bidi="ar"/>
              </w:rPr>
              <w:t>神农投资</w:t>
            </w:r>
          </w:p>
        </w:tc>
      </w:tr>
      <w:tr w:rsidR="002B63C8" w14:paraId="235219D6" w14:textId="77777777">
        <w:trPr>
          <w:trHeight w:val="339"/>
        </w:trPr>
        <w:tc>
          <w:tcPr>
            <w:tcW w:w="2692" w:type="dxa"/>
            <w:tcBorders>
              <w:left w:val="single" w:sz="12" w:space="0" w:color="auto"/>
            </w:tcBorders>
            <w:vAlign w:val="center"/>
          </w:tcPr>
          <w:p w14:paraId="7B1C8B0F" w14:textId="77777777" w:rsidR="002B63C8" w:rsidRDefault="00D329F2">
            <w:pPr>
              <w:widowControl/>
              <w:jc w:val="left"/>
              <w:textAlignment w:val="center"/>
            </w:pPr>
            <w:r>
              <w:rPr>
                <w:rFonts w:ascii="宋体" w:hAnsi="宋体" w:hint="eastAsia"/>
                <w:color w:val="000000"/>
                <w:kern w:val="0"/>
                <w:sz w:val="22"/>
                <w:lang w:bidi="ar"/>
              </w:rPr>
              <w:t>国盛证券</w:t>
            </w:r>
          </w:p>
        </w:tc>
        <w:tc>
          <w:tcPr>
            <w:tcW w:w="2647" w:type="dxa"/>
            <w:tcBorders>
              <w:right w:val="single" w:sz="12" w:space="0" w:color="auto"/>
            </w:tcBorders>
            <w:vAlign w:val="center"/>
          </w:tcPr>
          <w:p w14:paraId="6ACEB65D" w14:textId="77777777" w:rsidR="002B63C8" w:rsidRDefault="00D329F2">
            <w:pPr>
              <w:widowControl/>
              <w:jc w:val="left"/>
              <w:textAlignment w:val="center"/>
            </w:pPr>
            <w:r>
              <w:rPr>
                <w:rFonts w:ascii="宋体" w:hAnsi="宋体" w:hint="eastAsia"/>
                <w:color w:val="000000"/>
                <w:kern w:val="0"/>
                <w:sz w:val="22"/>
                <w:lang w:bidi="ar"/>
              </w:rPr>
              <w:t>通用技术创业投资</w:t>
            </w:r>
          </w:p>
        </w:tc>
      </w:tr>
      <w:tr w:rsidR="002B63C8" w14:paraId="0D59EE9D" w14:textId="77777777">
        <w:trPr>
          <w:trHeight w:val="339"/>
        </w:trPr>
        <w:tc>
          <w:tcPr>
            <w:tcW w:w="2692" w:type="dxa"/>
            <w:tcBorders>
              <w:left w:val="single" w:sz="12" w:space="0" w:color="auto"/>
            </w:tcBorders>
            <w:vAlign w:val="center"/>
          </w:tcPr>
          <w:p w14:paraId="384D1045" w14:textId="77777777" w:rsidR="002B63C8" w:rsidRDefault="00D329F2">
            <w:pPr>
              <w:widowControl/>
              <w:jc w:val="left"/>
              <w:textAlignment w:val="center"/>
            </w:pPr>
            <w:r>
              <w:rPr>
                <w:rFonts w:ascii="宋体" w:hAnsi="宋体" w:hint="eastAsia"/>
                <w:color w:val="000000"/>
                <w:kern w:val="0"/>
                <w:sz w:val="22"/>
                <w:lang w:bidi="ar"/>
              </w:rPr>
              <w:t>国泰君安</w:t>
            </w:r>
          </w:p>
        </w:tc>
        <w:tc>
          <w:tcPr>
            <w:tcW w:w="2647" w:type="dxa"/>
            <w:tcBorders>
              <w:right w:val="single" w:sz="12" w:space="0" w:color="auto"/>
            </w:tcBorders>
            <w:vAlign w:val="center"/>
          </w:tcPr>
          <w:p w14:paraId="57A16505" w14:textId="77777777" w:rsidR="002B63C8" w:rsidRDefault="00D329F2">
            <w:pPr>
              <w:widowControl/>
              <w:jc w:val="left"/>
              <w:textAlignment w:val="center"/>
            </w:pPr>
            <w:r>
              <w:rPr>
                <w:rFonts w:ascii="宋体" w:hAnsi="宋体" w:hint="eastAsia"/>
                <w:color w:val="000000"/>
                <w:kern w:val="0"/>
                <w:sz w:val="22"/>
                <w:lang w:bidi="ar"/>
              </w:rPr>
              <w:t>铜冠投资</w:t>
            </w:r>
          </w:p>
        </w:tc>
      </w:tr>
      <w:tr w:rsidR="002B63C8" w14:paraId="112A9CC9" w14:textId="77777777">
        <w:trPr>
          <w:trHeight w:val="339"/>
        </w:trPr>
        <w:tc>
          <w:tcPr>
            <w:tcW w:w="2692" w:type="dxa"/>
            <w:tcBorders>
              <w:left w:val="single" w:sz="12" w:space="0" w:color="auto"/>
            </w:tcBorders>
            <w:vAlign w:val="center"/>
          </w:tcPr>
          <w:p w14:paraId="18564C51" w14:textId="77777777" w:rsidR="002B63C8" w:rsidRDefault="00D329F2">
            <w:pPr>
              <w:widowControl/>
              <w:jc w:val="left"/>
              <w:textAlignment w:val="center"/>
            </w:pPr>
            <w:r>
              <w:rPr>
                <w:rFonts w:ascii="宋体" w:hAnsi="宋体" w:hint="eastAsia"/>
                <w:color w:val="000000"/>
                <w:kern w:val="0"/>
                <w:sz w:val="22"/>
                <w:lang w:bidi="ar"/>
              </w:rPr>
              <w:t>海富通基金</w:t>
            </w:r>
          </w:p>
        </w:tc>
        <w:tc>
          <w:tcPr>
            <w:tcW w:w="2647" w:type="dxa"/>
            <w:tcBorders>
              <w:right w:val="single" w:sz="12" w:space="0" w:color="auto"/>
            </w:tcBorders>
            <w:vAlign w:val="center"/>
          </w:tcPr>
          <w:p w14:paraId="522291D6" w14:textId="77777777" w:rsidR="002B63C8" w:rsidRDefault="00D329F2">
            <w:pPr>
              <w:widowControl/>
              <w:jc w:val="left"/>
              <w:textAlignment w:val="center"/>
            </w:pPr>
            <w:proofErr w:type="gramStart"/>
            <w:r>
              <w:rPr>
                <w:rFonts w:ascii="宋体" w:hAnsi="宋体" w:hint="eastAsia"/>
                <w:color w:val="000000"/>
                <w:kern w:val="0"/>
                <w:sz w:val="22"/>
                <w:lang w:bidi="ar"/>
              </w:rPr>
              <w:t>兴证全球</w:t>
            </w:r>
            <w:proofErr w:type="gramEnd"/>
            <w:r>
              <w:rPr>
                <w:rFonts w:ascii="宋体" w:hAnsi="宋体" w:hint="eastAsia"/>
                <w:color w:val="000000"/>
                <w:kern w:val="0"/>
                <w:sz w:val="22"/>
                <w:lang w:bidi="ar"/>
              </w:rPr>
              <w:t>基金</w:t>
            </w:r>
          </w:p>
        </w:tc>
      </w:tr>
      <w:tr w:rsidR="002B63C8" w14:paraId="41EFC99E" w14:textId="77777777">
        <w:trPr>
          <w:trHeight w:val="339"/>
        </w:trPr>
        <w:tc>
          <w:tcPr>
            <w:tcW w:w="2692" w:type="dxa"/>
            <w:tcBorders>
              <w:left w:val="single" w:sz="12" w:space="0" w:color="auto"/>
            </w:tcBorders>
            <w:vAlign w:val="center"/>
          </w:tcPr>
          <w:p w14:paraId="47D8705E" w14:textId="77777777" w:rsidR="002B63C8" w:rsidRDefault="00D329F2">
            <w:pPr>
              <w:widowControl/>
              <w:jc w:val="left"/>
              <w:textAlignment w:val="center"/>
            </w:pPr>
            <w:r>
              <w:rPr>
                <w:rFonts w:ascii="宋体" w:hAnsi="宋体" w:hint="eastAsia"/>
                <w:color w:val="000000"/>
                <w:kern w:val="0"/>
                <w:sz w:val="22"/>
                <w:lang w:bidi="ar"/>
              </w:rPr>
              <w:t>红土创新基金</w:t>
            </w:r>
          </w:p>
        </w:tc>
        <w:tc>
          <w:tcPr>
            <w:tcW w:w="2647" w:type="dxa"/>
            <w:tcBorders>
              <w:right w:val="single" w:sz="12" w:space="0" w:color="auto"/>
            </w:tcBorders>
            <w:vAlign w:val="center"/>
          </w:tcPr>
          <w:p w14:paraId="132B6B95" w14:textId="77777777" w:rsidR="002B63C8" w:rsidRDefault="00D329F2">
            <w:pPr>
              <w:widowControl/>
              <w:jc w:val="left"/>
              <w:textAlignment w:val="center"/>
            </w:pPr>
            <w:proofErr w:type="gramStart"/>
            <w:r>
              <w:rPr>
                <w:rFonts w:ascii="宋体" w:hAnsi="宋体" w:hint="eastAsia"/>
                <w:color w:val="000000"/>
                <w:kern w:val="0"/>
                <w:sz w:val="22"/>
                <w:lang w:bidi="ar"/>
              </w:rPr>
              <w:t>胤胜资产</w:t>
            </w:r>
            <w:proofErr w:type="gramEnd"/>
          </w:p>
        </w:tc>
      </w:tr>
      <w:tr w:rsidR="002B63C8" w14:paraId="3A6700BB" w14:textId="77777777">
        <w:trPr>
          <w:trHeight w:val="339"/>
        </w:trPr>
        <w:tc>
          <w:tcPr>
            <w:tcW w:w="2692" w:type="dxa"/>
            <w:tcBorders>
              <w:left w:val="single" w:sz="12" w:space="0" w:color="auto"/>
            </w:tcBorders>
            <w:vAlign w:val="center"/>
          </w:tcPr>
          <w:p w14:paraId="2DB0F932" w14:textId="77777777" w:rsidR="002B63C8" w:rsidRDefault="00D329F2">
            <w:pPr>
              <w:widowControl/>
              <w:jc w:val="left"/>
              <w:textAlignment w:val="center"/>
            </w:pPr>
            <w:r>
              <w:rPr>
                <w:rFonts w:ascii="宋体" w:hAnsi="宋体" w:hint="eastAsia"/>
                <w:color w:val="000000"/>
                <w:kern w:val="0"/>
                <w:sz w:val="22"/>
                <w:lang w:bidi="ar"/>
              </w:rPr>
              <w:t>华泰柏瑞</w:t>
            </w:r>
          </w:p>
        </w:tc>
        <w:tc>
          <w:tcPr>
            <w:tcW w:w="2647" w:type="dxa"/>
            <w:tcBorders>
              <w:right w:val="single" w:sz="12" w:space="0" w:color="auto"/>
            </w:tcBorders>
            <w:vAlign w:val="center"/>
          </w:tcPr>
          <w:p w14:paraId="00998FAC" w14:textId="77777777" w:rsidR="002B63C8" w:rsidRDefault="00D329F2">
            <w:pPr>
              <w:widowControl/>
              <w:jc w:val="left"/>
              <w:textAlignment w:val="center"/>
            </w:pPr>
            <w:r>
              <w:rPr>
                <w:rFonts w:ascii="宋体" w:hAnsi="宋体" w:hint="eastAsia"/>
                <w:color w:val="000000"/>
                <w:kern w:val="0"/>
                <w:sz w:val="22"/>
                <w:lang w:bidi="ar"/>
              </w:rPr>
              <w:t>远信投资</w:t>
            </w:r>
          </w:p>
        </w:tc>
      </w:tr>
      <w:tr w:rsidR="002B63C8" w14:paraId="1A97F01E" w14:textId="77777777">
        <w:trPr>
          <w:trHeight w:val="339"/>
        </w:trPr>
        <w:tc>
          <w:tcPr>
            <w:tcW w:w="2692" w:type="dxa"/>
            <w:tcBorders>
              <w:left w:val="single" w:sz="12" w:space="0" w:color="auto"/>
            </w:tcBorders>
            <w:vAlign w:val="center"/>
          </w:tcPr>
          <w:p w14:paraId="3AD8B067" w14:textId="77777777" w:rsidR="002B63C8" w:rsidRDefault="00D329F2">
            <w:pPr>
              <w:widowControl/>
              <w:jc w:val="left"/>
              <w:textAlignment w:val="center"/>
            </w:pPr>
            <w:r>
              <w:rPr>
                <w:rFonts w:ascii="宋体" w:hAnsi="宋体" w:hint="eastAsia"/>
                <w:color w:val="000000"/>
                <w:kern w:val="0"/>
                <w:sz w:val="22"/>
                <w:lang w:bidi="ar"/>
              </w:rPr>
              <w:t>摩根士丹利基金</w:t>
            </w:r>
          </w:p>
        </w:tc>
        <w:tc>
          <w:tcPr>
            <w:tcW w:w="2647" w:type="dxa"/>
            <w:tcBorders>
              <w:right w:val="single" w:sz="12" w:space="0" w:color="auto"/>
            </w:tcBorders>
            <w:vAlign w:val="center"/>
          </w:tcPr>
          <w:p w14:paraId="6E26D2D9" w14:textId="77777777" w:rsidR="002B63C8" w:rsidRDefault="00D329F2">
            <w:pPr>
              <w:widowControl/>
              <w:jc w:val="left"/>
              <w:textAlignment w:val="center"/>
            </w:pPr>
            <w:r>
              <w:rPr>
                <w:rFonts w:ascii="宋体" w:hAnsi="宋体" w:hint="eastAsia"/>
                <w:color w:val="000000"/>
                <w:kern w:val="0"/>
                <w:sz w:val="22"/>
                <w:lang w:bidi="ar"/>
              </w:rPr>
              <w:t>浙江国信投资</w:t>
            </w:r>
          </w:p>
        </w:tc>
      </w:tr>
      <w:tr w:rsidR="002B63C8" w14:paraId="51430524" w14:textId="77777777">
        <w:trPr>
          <w:trHeight w:val="339"/>
        </w:trPr>
        <w:tc>
          <w:tcPr>
            <w:tcW w:w="2692" w:type="dxa"/>
            <w:tcBorders>
              <w:left w:val="single" w:sz="12" w:space="0" w:color="auto"/>
            </w:tcBorders>
            <w:vAlign w:val="center"/>
          </w:tcPr>
          <w:p w14:paraId="547F73ED" w14:textId="77777777" w:rsidR="002B63C8" w:rsidRDefault="00D329F2">
            <w:pPr>
              <w:widowControl/>
              <w:jc w:val="left"/>
              <w:textAlignment w:val="center"/>
            </w:pPr>
            <w:r>
              <w:rPr>
                <w:rFonts w:ascii="宋体" w:hAnsi="宋体" w:hint="eastAsia"/>
                <w:color w:val="000000"/>
                <w:kern w:val="0"/>
                <w:sz w:val="22"/>
                <w:lang w:bidi="ar"/>
              </w:rPr>
              <w:t>南方基金</w:t>
            </w:r>
          </w:p>
        </w:tc>
        <w:tc>
          <w:tcPr>
            <w:tcW w:w="2647" w:type="dxa"/>
            <w:tcBorders>
              <w:right w:val="single" w:sz="12" w:space="0" w:color="auto"/>
            </w:tcBorders>
            <w:vAlign w:val="center"/>
          </w:tcPr>
          <w:p w14:paraId="03E21664" w14:textId="77777777" w:rsidR="002B63C8" w:rsidRDefault="00D329F2">
            <w:pPr>
              <w:widowControl/>
              <w:jc w:val="left"/>
              <w:textAlignment w:val="center"/>
            </w:pPr>
            <w:proofErr w:type="gramStart"/>
            <w:r>
              <w:rPr>
                <w:rFonts w:ascii="宋体" w:hAnsi="宋体" w:hint="eastAsia"/>
                <w:color w:val="000000"/>
                <w:kern w:val="0"/>
                <w:sz w:val="22"/>
                <w:lang w:bidi="ar"/>
              </w:rPr>
              <w:t>浙商证券</w:t>
            </w:r>
            <w:proofErr w:type="gramEnd"/>
          </w:p>
        </w:tc>
      </w:tr>
      <w:tr w:rsidR="002B63C8" w14:paraId="1937D18F" w14:textId="77777777">
        <w:trPr>
          <w:trHeight w:val="339"/>
        </w:trPr>
        <w:tc>
          <w:tcPr>
            <w:tcW w:w="2692" w:type="dxa"/>
            <w:tcBorders>
              <w:left w:val="single" w:sz="12" w:space="0" w:color="auto"/>
            </w:tcBorders>
            <w:vAlign w:val="center"/>
          </w:tcPr>
          <w:p w14:paraId="5B0454F9" w14:textId="77777777" w:rsidR="002B63C8" w:rsidRDefault="00D329F2">
            <w:pPr>
              <w:widowControl/>
              <w:jc w:val="left"/>
              <w:textAlignment w:val="center"/>
            </w:pPr>
            <w:r>
              <w:rPr>
                <w:rFonts w:ascii="宋体" w:hAnsi="宋体" w:hint="eastAsia"/>
                <w:color w:val="000000"/>
                <w:kern w:val="0"/>
                <w:sz w:val="22"/>
                <w:lang w:bidi="ar"/>
              </w:rPr>
              <w:t>上海乾</w:t>
            </w:r>
            <w:proofErr w:type="gramStart"/>
            <w:r>
              <w:rPr>
                <w:rFonts w:ascii="宋体" w:hAnsi="宋体" w:hint="eastAsia"/>
                <w:color w:val="000000"/>
                <w:kern w:val="0"/>
                <w:sz w:val="22"/>
                <w:lang w:bidi="ar"/>
              </w:rPr>
              <w:t>瞻资管</w:t>
            </w:r>
            <w:proofErr w:type="gramEnd"/>
          </w:p>
        </w:tc>
        <w:tc>
          <w:tcPr>
            <w:tcW w:w="2647" w:type="dxa"/>
            <w:tcBorders>
              <w:right w:val="single" w:sz="12" w:space="0" w:color="auto"/>
            </w:tcBorders>
            <w:vAlign w:val="center"/>
          </w:tcPr>
          <w:p w14:paraId="7EF06B4A" w14:textId="77777777" w:rsidR="002B63C8" w:rsidRDefault="00D329F2">
            <w:pPr>
              <w:widowControl/>
              <w:jc w:val="left"/>
              <w:textAlignment w:val="center"/>
            </w:pPr>
            <w:r>
              <w:rPr>
                <w:rFonts w:ascii="宋体" w:hAnsi="宋体" w:hint="eastAsia"/>
                <w:color w:val="000000"/>
                <w:kern w:val="0"/>
                <w:sz w:val="22"/>
                <w:lang w:bidi="ar"/>
              </w:rPr>
              <w:t>中信证券</w:t>
            </w:r>
          </w:p>
        </w:tc>
      </w:tr>
      <w:tr w:rsidR="002B63C8" w14:paraId="5B9F8B66" w14:textId="77777777">
        <w:trPr>
          <w:trHeight w:val="339"/>
        </w:trPr>
        <w:tc>
          <w:tcPr>
            <w:tcW w:w="2692" w:type="dxa"/>
            <w:tcBorders>
              <w:left w:val="single" w:sz="12" w:space="0" w:color="auto"/>
              <w:bottom w:val="single" w:sz="12" w:space="0" w:color="auto"/>
            </w:tcBorders>
            <w:vAlign w:val="center"/>
          </w:tcPr>
          <w:p w14:paraId="12E2C1E8" w14:textId="77777777" w:rsidR="002B63C8" w:rsidRDefault="00D329F2">
            <w:pPr>
              <w:widowControl/>
              <w:jc w:val="left"/>
              <w:textAlignment w:val="center"/>
            </w:pPr>
            <w:r>
              <w:rPr>
                <w:rFonts w:ascii="宋体" w:hAnsi="宋体" w:hint="eastAsia"/>
                <w:color w:val="000000"/>
                <w:kern w:val="0"/>
                <w:sz w:val="22"/>
                <w:lang w:bidi="ar"/>
              </w:rPr>
              <w:t>上海</w:t>
            </w:r>
            <w:proofErr w:type="gramStart"/>
            <w:r>
              <w:rPr>
                <w:rFonts w:ascii="宋体" w:hAnsi="宋体" w:hint="eastAsia"/>
                <w:color w:val="000000"/>
                <w:kern w:val="0"/>
                <w:sz w:val="22"/>
                <w:lang w:bidi="ar"/>
              </w:rPr>
              <w:t>睿郡资产</w:t>
            </w:r>
            <w:proofErr w:type="gramEnd"/>
          </w:p>
        </w:tc>
        <w:tc>
          <w:tcPr>
            <w:tcW w:w="2647" w:type="dxa"/>
            <w:tcBorders>
              <w:bottom w:val="single" w:sz="12" w:space="0" w:color="auto"/>
              <w:right w:val="single" w:sz="12" w:space="0" w:color="auto"/>
            </w:tcBorders>
            <w:vAlign w:val="center"/>
          </w:tcPr>
          <w:p w14:paraId="23C97E34" w14:textId="77777777" w:rsidR="002B63C8" w:rsidRDefault="00D329F2">
            <w:pPr>
              <w:widowControl/>
              <w:jc w:val="left"/>
              <w:textAlignment w:val="center"/>
            </w:pPr>
            <w:r>
              <w:rPr>
                <w:rFonts w:ascii="宋体" w:hAnsi="宋体" w:hint="eastAsia"/>
                <w:color w:val="000000"/>
                <w:kern w:val="0"/>
                <w:sz w:val="22"/>
                <w:lang w:bidi="ar"/>
              </w:rPr>
              <w:t>中</w:t>
            </w:r>
            <w:proofErr w:type="gramStart"/>
            <w:r>
              <w:rPr>
                <w:rFonts w:ascii="宋体" w:hAnsi="宋体" w:hint="eastAsia"/>
                <w:color w:val="000000"/>
                <w:kern w:val="0"/>
                <w:sz w:val="22"/>
                <w:lang w:bidi="ar"/>
              </w:rPr>
              <w:t>邮基金</w:t>
            </w:r>
            <w:proofErr w:type="gramEnd"/>
          </w:p>
        </w:tc>
      </w:tr>
    </w:tbl>
    <w:p w14:paraId="7C01A8DF" w14:textId="77777777" w:rsidR="002B63C8" w:rsidRDefault="00D329F2">
      <w:pPr>
        <w:rPr>
          <w:b/>
          <w:bCs/>
        </w:rPr>
      </w:pPr>
      <w:r>
        <w:rPr>
          <w:rFonts w:hint="eastAsia"/>
          <w:b/>
          <w:bCs/>
        </w:rPr>
        <w:t>附件：</w:t>
      </w:r>
    </w:p>
    <w:p w14:paraId="3A6BBEFC" w14:textId="77777777" w:rsidR="002B63C8" w:rsidRDefault="002B63C8"/>
    <w:p w14:paraId="74E3F422" w14:textId="77777777" w:rsidR="002B63C8" w:rsidRDefault="002B63C8"/>
    <w:sectPr w:rsidR="002B63C8">
      <w:footerReference w:type="default" r:id="rId7"/>
      <w:pgSz w:w="11906" w:h="16838"/>
      <w:pgMar w:top="1423" w:right="1797" w:bottom="142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BDF9" w14:textId="77777777" w:rsidR="00F62191" w:rsidRDefault="00D329F2">
      <w:r>
        <w:separator/>
      </w:r>
    </w:p>
  </w:endnote>
  <w:endnote w:type="continuationSeparator" w:id="0">
    <w:p w14:paraId="7CA6E3B2" w14:textId="77777777" w:rsidR="00F62191" w:rsidRDefault="00D3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瀹嬩綋">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24676"/>
    </w:sdtPr>
    <w:sdtEndPr>
      <w:rPr>
        <w:rFonts w:ascii="Times New Roman" w:hAnsi="Times New Roman" w:cs="Times New Roman"/>
      </w:rPr>
    </w:sdtEndPr>
    <w:sdtContent>
      <w:p w14:paraId="4E0A47F2" w14:textId="77777777" w:rsidR="002B63C8" w:rsidRDefault="00D329F2">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7B76EE5F" w14:textId="77777777" w:rsidR="002B63C8" w:rsidRDefault="002B63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8D9B" w14:textId="77777777" w:rsidR="00F62191" w:rsidRDefault="00D329F2">
      <w:r>
        <w:separator/>
      </w:r>
    </w:p>
  </w:footnote>
  <w:footnote w:type="continuationSeparator" w:id="0">
    <w:p w14:paraId="4487551F" w14:textId="77777777" w:rsidR="00F62191" w:rsidRDefault="00D3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RkMzAwMzhhZDYyNTY3OTUxNjEwODFlNjI5MjZiN2EifQ=="/>
  </w:docVars>
  <w:rsids>
    <w:rsidRoot w:val="00B94C50"/>
    <w:rsid w:val="0001008A"/>
    <w:rsid w:val="00011A35"/>
    <w:rsid w:val="00012CDE"/>
    <w:rsid w:val="00036C4A"/>
    <w:rsid w:val="00041F2D"/>
    <w:rsid w:val="00053FE2"/>
    <w:rsid w:val="00055095"/>
    <w:rsid w:val="00073DEA"/>
    <w:rsid w:val="00077E56"/>
    <w:rsid w:val="000876A5"/>
    <w:rsid w:val="00093543"/>
    <w:rsid w:val="00097F1A"/>
    <w:rsid w:val="000A21E9"/>
    <w:rsid w:val="000A5C1D"/>
    <w:rsid w:val="000B28D1"/>
    <w:rsid w:val="000C2068"/>
    <w:rsid w:val="000E3873"/>
    <w:rsid w:val="000F18CD"/>
    <w:rsid w:val="000F1A1D"/>
    <w:rsid w:val="0010286C"/>
    <w:rsid w:val="00110519"/>
    <w:rsid w:val="001155CE"/>
    <w:rsid w:val="001262CD"/>
    <w:rsid w:val="00133492"/>
    <w:rsid w:val="00135C30"/>
    <w:rsid w:val="0015063C"/>
    <w:rsid w:val="001650B3"/>
    <w:rsid w:val="00166F8E"/>
    <w:rsid w:val="001932D3"/>
    <w:rsid w:val="00194DD7"/>
    <w:rsid w:val="001B723D"/>
    <w:rsid w:val="001C25B7"/>
    <w:rsid w:val="001D51C8"/>
    <w:rsid w:val="001E081A"/>
    <w:rsid w:val="001E3615"/>
    <w:rsid w:val="001E785A"/>
    <w:rsid w:val="001F483F"/>
    <w:rsid w:val="00210EF3"/>
    <w:rsid w:val="0022572C"/>
    <w:rsid w:val="002262EF"/>
    <w:rsid w:val="00236703"/>
    <w:rsid w:val="00256631"/>
    <w:rsid w:val="00260367"/>
    <w:rsid w:val="00264D8F"/>
    <w:rsid w:val="002749EB"/>
    <w:rsid w:val="0029143C"/>
    <w:rsid w:val="00296348"/>
    <w:rsid w:val="002966A7"/>
    <w:rsid w:val="002967BA"/>
    <w:rsid w:val="002A4005"/>
    <w:rsid w:val="002B63C8"/>
    <w:rsid w:val="002C76A1"/>
    <w:rsid w:val="002D2021"/>
    <w:rsid w:val="002E0686"/>
    <w:rsid w:val="002E77CF"/>
    <w:rsid w:val="002F0EA6"/>
    <w:rsid w:val="002F4770"/>
    <w:rsid w:val="00303CC6"/>
    <w:rsid w:val="00303CCD"/>
    <w:rsid w:val="0031181B"/>
    <w:rsid w:val="00313FDF"/>
    <w:rsid w:val="003170A5"/>
    <w:rsid w:val="00331410"/>
    <w:rsid w:val="00342698"/>
    <w:rsid w:val="003452E7"/>
    <w:rsid w:val="00360086"/>
    <w:rsid w:val="00367347"/>
    <w:rsid w:val="00381804"/>
    <w:rsid w:val="003830BB"/>
    <w:rsid w:val="00391CED"/>
    <w:rsid w:val="003A4281"/>
    <w:rsid w:val="003B147C"/>
    <w:rsid w:val="003D5E84"/>
    <w:rsid w:val="003F079D"/>
    <w:rsid w:val="00405713"/>
    <w:rsid w:val="00410009"/>
    <w:rsid w:val="004310A7"/>
    <w:rsid w:val="00470A66"/>
    <w:rsid w:val="00471EF8"/>
    <w:rsid w:val="004872DA"/>
    <w:rsid w:val="00495CD1"/>
    <w:rsid w:val="004B2FE2"/>
    <w:rsid w:val="004B7BB2"/>
    <w:rsid w:val="00513934"/>
    <w:rsid w:val="00520699"/>
    <w:rsid w:val="005232AF"/>
    <w:rsid w:val="00531F67"/>
    <w:rsid w:val="00550E69"/>
    <w:rsid w:val="00570D0D"/>
    <w:rsid w:val="005A058C"/>
    <w:rsid w:val="005B485C"/>
    <w:rsid w:val="005B7E57"/>
    <w:rsid w:val="005C1FAF"/>
    <w:rsid w:val="005E0EAD"/>
    <w:rsid w:val="005E1EC7"/>
    <w:rsid w:val="005E5E91"/>
    <w:rsid w:val="00603FAB"/>
    <w:rsid w:val="006169D8"/>
    <w:rsid w:val="00627306"/>
    <w:rsid w:val="00631E88"/>
    <w:rsid w:val="006431A1"/>
    <w:rsid w:val="00647673"/>
    <w:rsid w:val="00650752"/>
    <w:rsid w:val="006552AA"/>
    <w:rsid w:val="00682C3C"/>
    <w:rsid w:val="00683F46"/>
    <w:rsid w:val="00691EAA"/>
    <w:rsid w:val="006A309C"/>
    <w:rsid w:val="006C3FEA"/>
    <w:rsid w:val="006D1272"/>
    <w:rsid w:val="006F373A"/>
    <w:rsid w:val="00707369"/>
    <w:rsid w:val="007351A7"/>
    <w:rsid w:val="00740827"/>
    <w:rsid w:val="0074154F"/>
    <w:rsid w:val="00753023"/>
    <w:rsid w:val="0076184D"/>
    <w:rsid w:val="0079774C"/>
    <w:rsid w:val="00797DF6"/>
    <w:rsid w:val="007A16DC"/>
    <w:rsid w:val="007A24B2"/>
    <w:rsid w:val="007A46C4"/>
    <w:rsid w:val="007C1647"/>
    <w:rsid w:val="007C1AF9"/>
    <w:rsid w:val="007C3389"/>
    <w:rsid w:val="007D38C7"/>
    <w:rsid w:val="007E2F10"/>
    <w:rsid w:val="007F4F77"/>
    <w:rsid w:val="00810A63"/>
    <w:rsid w:val="00823548"/>
    <w:rsid w:val="0082551A"/>
    <w:rsid w:val="00863CF2"/>
    <w:rsid w:val="00864348"/>
    <w:rsid w:val="008714C9"/>
    <w:rsid w:val="008823AD"/>
    <w:rsid w:val="008871C1"/>
    <w:rsid w:val="0089482B"/>
    <w:rsid w:val="008D46FC"/>
    <w:rsid w:val="008D4D59"/>
    <w:rsid w:val="008D54A7"/>
    <w:rsid w:val="008D57F5"/>
    <w:rsid w:val="008D65B6"/>
    <w:rsid w:val="008E10C6"/>
    <w:rsid w:val="008E1FBC"/>
    <w:rsid w:val="008F7CAC"/>
    <w:rsid w:val="008F7D92"/>
    <w:rsid w:val="0090427B"/>
    <w:rsid w:val="009275E0"/>
    <w:rsid w:val="0093064C"/>
    <w:rsid w:val="00936887"/>
    <w:rsid w:val="00946B32"/>
    <w:rsid w:val="00960FDD"/>
    <w:rsid w:val="00963DB3"/>
    <w:rsid w:val="00966EC4"/>
    <w:rsid w:val="0098657E"/>
    <w:rsid w:val="009911B9"/>
    <w:rsid w:val="00991702"/>
    <w:rsid w:val="00993BBB"/>
    <w:rsid w:val="009A1AAC"/>
    <w:rsid w:val="009B5D73"/>
    <w:rsid w:val="009C3957"/>
    <w:rsid w:val="009C3C32"/>
    <w:rsid w:val="009E4C7E"/>
    <w:rsid w:val="009F1591"/>
    <w:rsid w:val="009F2F1E"/>
    <w:rsid w:val="00A174A3"/>
    <w:rsid w:val="00A4039C"/>
    <w:rsid w:val="00A40990"/>
    <w:rsid w:val="00A60456"/>
    <w:rsid w:val="00A759E6"/>
    <w:rsid w:val="00A818C7"/>
    <w:rsid w:val="00A83E12"/>
    <w:rsid w:val="00A9065C"/>
    <w:rsid w:val="00A9202F"/>
    <w:rsid w:val="00A9477C"/>
    <w:rsid w:val="00A97D40"/>
    <w:rsid w:val="00AA471B"/>
    <w:rsid w:val="00AA5FDC"/>
    <w:rsid w:val="00AC284C"/>
    <w:rsid w:val="00AE58C7"/>
    <w:rsid w:val="00B607A5"/>
    <w:rsid w:val="00B65A08"/>
    <w:rsid w:val="00B73F72"/>
    <w:rsid w:val="00B84AE3"/>
    <w:rsid w:val="00B94C50"/>
    <w:rsid w:val="00BA1C4A"/>
    <w:rsid w:val="00BA7B6F"/>
    <w:rsid w:val="00BB0166"/>
    <w:rsid w:val="00BB61DA"/>
    <w:rsid w:val="00BC4B0B"/>
    <w:rsid w:val="00BD3C0D"/>
    <w:rsid w:val="00BE6771"/>
    <w:rsid w:val="00C119E4"/>
    <w:rsid w:val="00C2004A"/>
    <w:rsid w:val="00C35F09"/>
    <w:rsid w:val="00C45567"/>
    <w:rsid w:val="00C46E27"/>
    <w:rsid w:val="00C517FD"/>
    <w:rsid w:val="00C572FE"/>
    <w:rsid w:val="00C74AAE"/>
    <w:rsid w:val="00C8255E"/>
    <w:rsid w:val="00C9091C"/>
    <w:rsid w:val="00CA7B61"/>
    <w:rsid w:val="00CC4AB9"/>
    <w:rsid w:val="00CC7764"/>
    <w:rsid w:val="00CD36E1"/>
    <w:rsid w:val="00CE08DF"/>
    <w:rsid w:val="00D161EF"/>
    <w:rsid w:val="00D31AE6"/>
    <w:rsid w:val="00D329F2"/>
    <w:rsid w:val="00D3436D"/>
    <w:rsid w:val="00D3622A"/>
    <w:rsid w:val="00D41B29"/>
    <w:rsid w:val="00D41DEE"/>
    <w:rsid w:val="00D4484D"/>
    <w:rsid w:val="00D628FD"/>
    <w:rsid w:val="00D64015"/>
    <w:rsid w:val="00D64ED9"/>
    <w:rsid w:val="00D70BC8"/>
    <w:rsid w:val="00D8532D"/>
    <w:rsid w:val="00DB3B36"/>
    <w:rsid w:val="00DC20E3"/>
    <w:rsid w:val="00DC35D0"/>
    <w:rsid w:val="00DC6C67"/>
    <w:rsid w:val="00DE668C"/>
    <w:rsid w:val="00DF5EAE"/>
    <w:rsid w:val="00E00BF7"/>
    <w:rsid w:val="00E01542"/>
    <w:rsid w:val="00E16FD5"/>
    <w:rsid w:val="00E236DD"/>
    <w:rsid w:val="00E35378"/>
    <w:rsid w:val="00E42D22"/>
    <w:rsid w:val="00E47F40"/>
    <w:rsid w:val="00E6169F"/>
    <w:rsid w:val="00E62792"/>
    <w:rsid w:val="00EC22AF"/>
    <w:rsid w:val="00EE7642"/>
    <w:rsid w:val="00EF1FD5"/>
    <w:rsid w:val="00F0408B"/>
    <w:rsid w:val="00F057E9"/>
    <w:rsid w:val="00F14C92"/>
    <w:rsid w:val="00F24524"/>
    <w:rsid w:val="00F3509A"/>
    <w:rsid w:val="00F469EE"/>
    <w:rsid w:val="00F56FC3"/>
    <w:rsid w:val="00F614D1"/>
    <w:rsid w:val="00F62191"/>
    <w:rsid w:val="00F838D5"/>
    <w:rsid w:val="00F9730F"/>
    <w:rsid w:val="00F97689"/>
    <w:rsid w:val="00FC7F15"/>
    <w:rsid w:val="00FE6AE3"/>
    <w:rsid w:val="04B736E8"/>
    <w:rsid w:val="0A71587A"/>
    <w:rsid w:val="0D556D8D"/>
    <w:rsid w:val="0FAC0EA8"/>
    <w:rsid w:val="13AE71F7"/>
    <w:rsid w:val="161F618A"/>
    <w:rsid w:val="18564D60"/>
    <w:rsid w:val="1D126A49"/>
    <w:rsid w:val="1ED5405C"/>
    <w:rsid w:val="2D407F4C"/>
    <w:rsid w:val="2FBA14B0"/>
    <w:rsid w:val="356B2D42"/>
    <w:rsid w:val="390A2872"/>
    <w:rsid w:val="3E642366"/>
    <w:rsid w:val="3F5B7E6D"/>
    <w:rsid w:val="43B844A7"/>
    <w:rsid w:val="565B41B0"/>
    <w:rsid w:val="59DC0F38"/>
    <w:rsid w:val="5DB03139"/>
    <w:rsid w:val="5E4D5241"/>
    <w:rsid w:val="621D6292"/>
    <w:rsid w:val="6D747CDF"/>
    <w:rsid w:val="79DA5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6D3A0"/>
  <w15:docId w15:val="{B9070FFD-15A9-4F17-8D1A-B21061D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uiPriority w:val="99"/>
    <w:qFormat/>
    <w:pPr>
      <w:widowControl/>
      <w:spacing w:after="120" w:line="276" w:lineRule="auto"/>
      <w:jc w:val="left"/>
    </w:pPr>
    <w:rPr>
      <w:rFonts w:ascii="宋体" w:hAnsi="宋体"/>
      <w:kern w:val="0"/>
      <w:sz w:val="22"/>
      <w:lang w:eastAsia="en-US"/>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d">
    <w:name w:val="annotation subject"/>
    <w:basedOn w:val="a3"/>
    <w:next w:val="a3"/>
    <w:link w:val="ae"/>
    <w:uiPriority w:val="99"/>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qFormat/>
    <w:rPr>
      <w:b/>
    </w:rPr>
  </w:style>
  <w:style w:type="character" w:styleId="af1">
    <w:name w:val="annotation reference"/>
    <w:basedOn w:val="a0"/>
    <w:uiPriority w:val="99"/>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qFormat/>
    <w:rPr>
      <w:b/>
      <w:bCs/>
      <w:kern w:val="2"/>
      <w:sz w:val="21"/>
      <w:szCs w:val="22"/>
    </w:rPr>
  </w:style>
  <w:style w:type="character" w:customStyle="1" w:styleId="a8">
    <w:name w:val="批注框文本 字符"/>
    <w:basedOn w:val="a0"/>
    <w:link w:val="a7"/>
    <w:uiPriority w:val="99"/>
    <w:qFormat/>
    <w:rPr>
      <w:kern w:val="2"/>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qFormat/>
    <w:rPr>
      <w:b/>
      <w:bCs/>
      <w:kern w:val="2"/>
      <w:sz w:val="32"/>
      <w:szCs w:val="32"/>
    </w:rPr>
  </w:style>
  <w:style w:type="character" w:customStyle="1" w:styleId="HTML0">
    <w:name w:val="HTML 预设格式 字符"/>
    <w:basedOn w:val="a0"/>
    <w:link w:val="HTML"/>
    <w:qFormat/>
    <w:rPr>
      <w:rFonts w:ascii="宋体" w:eastAsia="宋体" w:hAnsi="宋体" w:cs="Times New Roman"/>
      <w:sz w:val="24"/>
      <w:szCs w:val="24"/>
    </w:rPr>
  </w:style>
  <w:style w:type="paragraph" w:customStyle="1" w:styleId="1">
    <w:name w:val="修订1"/>
    <w:uiPriority w:val="99"/>
    <w:qFormat/>
    <w:rPr>
      <w:rFonts w:ascii="Calibri" w:hAnsi="Calibri" w:cs="宋体"/>
      <w:kern w:val="2"/>
      <w:sz w:val="21"/>
      <w:szCs w:val="22"/>
    </w:rPr>
  </w:style>
  <w:style w:type="character" w:customStyle="1" w:styleId="a6">
    <w:name w:val="正文文本 字符"/>
    <w:basedOn w:val="a0"/>
    <w:link w:val="a5"/>
    <w:uiPriority w:val="99"/>
    <w:qFormat/>
    <w:rPr>
      <w:rFonts w:ascii="宋体" w:eastAsia="宋体" w:hAnsi="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5475-D79A-4060-9513-2A96E4A2920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1318</Words>
  <Characters>343</Characters>
  <Application>Microsoft Office Word</Application>
  <DocSecurity>0</DocSecurity>
  <Lines>2</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瞿苗</cp:lastModifiedBy>
  <cp:revision>36</cp:revision>
  <dcterms:created xsi:type="dcterms:W3CDTF">2023-09-21T09:06:00Z</dcterms:created>
  <dcterms:modified xsi:type="dcterms:W3CDTF">2025-01-20T08:38:00Z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639ECD8A719741E3A201D222DD6E177C_13</vt:lpwstr>
  </property>
</Properties>
</file>