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494F5">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688707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振华新材</w:t>
      </w:r>
    </w:p>
    <w:p w14:paraId="6383528C">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贵州振华新材料股份有限公司</w:t>
      </w:r>
    </w:p>
    <w:p w14:paraId="4B1403E3">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79969967">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BAC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F736423">
            <w:pPr>
              <w:spacing w:line="420" w:lineRule="exact"/>
              <w:rPr>
                <w:bCs/>
                <w:iCs/>
                <w:color w:val="000000"/>
                <w:kern w:val="0"/>
                <w:sz w:val="24"/>
              </w:rPr>
            </w:pPr>
            <w:r>
              <w:rPr>
                <w:rFonts w:hAnsi="宋体"/>
                <w:bCs/>
                <w:iCs/>
                <w:color w:val="000000"/>
                <w:kern w:val="0"/>
                <w:sz w:val="24"/>
              </w:rPr>
              <w:t>投资者关系活动类别</w:t>
            </w:r>
          </w:p>
          <w:p w14:paraId="2BE85FE1">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7A6B1660">
            <w:pPr>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BD5076F">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kern w:val="0"/>
                <w:sz w:val="24"/>
                <w:lang w:val="en-US" w:eastAsia="zh-CN"/>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C9A77D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551DE6F">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99A5341">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5415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D4F2C86">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6570C01">
            <w:pPr>
              <w:spacing w:line="420" w:lineRule="exact"/>
              <w:rPr>
                <w:rFonts w:hint="default"/>
                <w:bCs/>
                <w:iCs/>
                <w:color w:val="000000"/>
                <w:sz w:val="24"/>
                <w:lang w:val="en-US"/>
              </w:rPr>
            </w:pPr>
            <w:r>
              <w:rPr>
                <w:rFonts w:hint="eastAsia"/>
                <w:sz w:val="24"/>
                <w:lang w:val="en-US" w:eastAsia="zh-CN"/>
              </w:rPr>
              <w:t>详见附件</w:t>
            </w:r>
          </w:p>
        </w:tc>
      </w:tr>
      <w:tr w14:paraId="44C1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2530ABBD">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C169320">
            <w:pPr>
              <w:spacing w:line="420" w:lineRule="exact"/>
              <w:rPr>
                <w:bCs/>
                <w:iCs/>
                <w:color w:val="000000"/>
                <w:sz w:val="24"/>
              </w:rPr>
            </w:pPr>
            <w:r>
              <w:rPr>
                <w:rFonts w:hint="eastAsia"/>
                <w:sz w:val="24"/>
              </w:rPr>
              <w:t>202</w:t>
            </w:r>
            <w:r>
              <w:rPr>
                <w:rFonts w:hint="eastAsia"/>
                <w:sz w:val="24"/>
                <w:lang w:val="en-US" w:eastAsia="zh-CN"/>
              </w:rPr>
              <w:t>5</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20日15:00-16:00、21</w:t>
            </w:r>
            <w:r>
              <w:rPr>
                <w:rFonts w:hint="eastAsia"/>
                <w:sz w:val="24"/>
              </w:rPr>
              <w:t>日</w:t>
            </w:r>
            <w:r>
              <w:rPr>
                <w:rFonts w:hint="eastAsia"/>
                <w:sz w:val="24"/>
                <w:lang w:val="en-US" w:eastAsia="zh-CN"/>
              </w:rPr>
              <w:t>15</w:t>
            </w:r>
            <w:r>
              <w:rPr>
                <w:rFonts w:hint="eastAsia"/>
                <w:sz w:val="24"/>
              </w:rPr>
              <w:t>:30-1</w:t>
            </w:r>
            <w:r>
              <w:rPr>
                <w:rFonts w:hint="eastAsia"/>
                <w:sz w:val="24"/>
                <w:lang w:val="en-US" w:eastAsia="zh-CN"/>
              </w:rPr>
              <w:t>6</w:t>
            </w:r>
            <w:r>
              <w:rPr>
                <w:rFonts w:hint="eastAsia"/>
                <w:sz w:val="24"/>
              </w:rPr>
              <w:t>:</w:t>
            </w:r>
            <w:r>
              <w:rPr>
                <w:rFonts w:hint="eastAsia"/>
                <w:sz w:val="24"/>
                <w:lang w:val="en-US" w:eastAsia="zh-CN"/>
              </w:rPr>
              <w:t>3</w:t>
            </w:r>
            <w:r>
              <w:rPr>
                <w:rFonts w:hint="eastAsia"/>
                <w:sz w:val="24"/>
              </w:rPr>
              <w:t>0</w:t>
            </w:r>
          </w:p>
        </w:tc>
      </w:tr>
      <w:tr w14:paraId="27C1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3E0316F">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E5167FA">
            <w:pPr>
              <w:spacing w:line="420" w:lineRule="exact"/>
              <w:rPr>
                <w:bCs/>
                <w:iCs/>
                <w:color w:val="000000"/>
                <w:sz w:val="24"/>
              </w:rPr>
            </w:pPr>
            <w:r>
              <w:rPr>
                <w:rFonts w:hint="eastAsia" w:asciiTheme="minorEastAsia" w:hAnsiTheme="minorEastAsia" w:cstheme="minorEastAsia"/>
                <w:sz w:val="24"/>
                <w:szCs w:val="24"/>
                <w:lang w:val="en-US" w:eastAsia="zh-CN"/>
              </w:rPr>
              <w:t>线上</w:t>
            </w:r>
          </w:p>
        </w:tc>
      </w:tr>
      <w:tr w14:paraId="75F6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5AAAF38">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0231D074">
            <w:pP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王敬     副总经理/董事会秘书</w:t>
            </w:r>
          </w:p>
          <w:p w14:paraId="175D5E23">
            <w:pPr>
              <w:rPr>
                <w:rFonts w:hint="default" w:ascii="宋体" w:hAnsi="宋体"/>
                <w:bCs/>
                <w:sz w:val="24"/>
              </w:rPr>
            </w:pPr>
            <w:r>
              <w:rPr>
                <w:rFonts w:hint="eastAsia" w:cs="Times New Roman"/>
                <w:sz w:val="24"/>
                <w:lang w:val="en-US" w:eastAsia="zh-CN"/>
              </w:rPr>
              <w:t>刘进</w:t>
            </w:r>
            <w:r>
              <w:rPr>
                <w:rFonts w:hint="eastAsia" w:ascii="Times New Roman" w:hAnsi="Times New Roman" w:cs="Times New Roman"/>
                <w:sz w:val="24"/>
                <w:lang w:val="en-US" w:eastAsia="zh-CN"/>
              </w:rPr>
              <w:t xml:space="preserve">   </w:t>
            </w:r>
            <w:r>
              <w:rPr>
                <w:rFonts w:hint="eastAsia" w:cs="Times New Roman"/>
                <w:sz w:val="24"/>
                <w:lang w:val="en-US" w:eastAsia="zh-CN"/>
              </w:rPr>
              <w:t xml:space="preserve">  总会计师</w:t>
            </w:r>
          </w:p>
        </w:tc>
      </w:tr>
      <w:tr w14:paraId="496C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889A820">
            <w:pPr>
              <w:spacing w:line="420" w:lineRule="exact"/>
              <w:rPr>
                <w:bCs/>
                <w:iCs/>
                <w:color w:val="000000"/>
                <w:kern w:val="0"/>
                <w:sz w:val="24"/>
              </w:rPr>
            </w:pPr>
            <w:r>
              <w:rPr>
                <w:rFonts w:hAnsi="宋体"/>
                <w:bCs/>
                <w:iCs/>
                <w:color w:val="000000"/>
                <w:kern w:val="0"/>
                <w:sz w:val="24"/>
              </w:rPr>
              <w:t>投资者关系活动主要内容介绍</w:t>
            </w:r>
          </w:p>
          <w:p w14:paraId="08C9E7C0">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44A79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bidi="ar"/>
              </w:rPr>
            </w:pPr>
            <w:r>
              <w:rPr>
                <w:rFonts w:hint="eastAsia" w:ascii="宋体" w:hAnsi="宋体" w:eastAsia="宋体" w:cs="宋体"/>
                <w:b/>
                <w:bCs/>
                <w:color w:val="000000"/>
                <w:kern w:val="0"/>
                <w:sz w:val="24"/>
                <w:lang w:val="en-US" w:eastAsia="zh-CN" w:bidi="ar"/>
              </w:rPr>
              <w:t>问题1：</w:t>
            </w:r>
            <w:r>
              <w:rPr>
                <w:rFonts w:hint="eastAsia" w:ascii="宋体" w:hAnsi="宋体" w:cs="宋体"/>
                <w:b/>
                <w:bCs/>
                <w:color w:val="000000"/>
                <w:kern w:val="0"/>
                <w:sz w:val="24"/>
                <w:lang w:val="en-US" w:eastAsia="zh-CN" w:bidi="ar"/>
              </w:rPr>
              <w:t>简单介绍公司2024年业绩亏损的原因及2025年改善措施？</w:t>
            </w:r>
          </w:p>
          <w:p w14:paraId="07D64AD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rPr>
            </w:pPr>
            <w:r>
              <w:rPr>
                <w:rFonts w:hint="default" w:ascii="宋体" w:hAnsi="宋体" w:eastAsia="宋体" w:cs="宋体"/>
                <w:color w:val="000000"/>
                <w:kern w:val="0"/>
                <w:sz w:val="24"/>
                <w:lang w:val="en-US" w:bidi="ar"/>
              </w:rPr>
              <w:t>答：</w:t>
            </w:r>
            <w:r>
              <w:rPr>
                <w:rFonts w:hint="eastAsia" w:ascii="Times New Roman" w:hAnsi="Times New Roman" w:cs="Times New Roman"/>
                <w:sz w:val="24"/>
              </w:rPr>
              <w:t>2024年公司主要产品销量和收入同比大幅下滑，主要是三元正极材料出现“量价齐跌”的情况。</w:t>
            </w:r>
          </w:p>
          <w:p w14:paraId="39CA6E2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lang w:val="en-US" w:eastAsia="zh-CN" w:bidi="ar"/>
              </w:rPr>
            </w:pPr>
            <w:r>
              <w:rPr>
                <w:rFonts w:hint="eastAsia" w:ascii="Times New Roman" w:hAnsi="Times New Roman" w:cs="Times New Roman"/>
                <w:sz w:val="24"/>
                <w:lang w:val="en-US" w:eastAsia="zh-CN"/>
              </w:rPr>
              <w:t>销量方面，</w:t>
            </w:r>
            <w:r>
              <w:rPr>
                <w:rFonts w:hint="eastAsia" w:ascii="宋体" w:hAnsi="宋体" w:cs="宋体"/>
                <w:color w:val="000000"/>
                <w:kern w:val="0"/>
                <w:sz w:val="24"/>
                <w:lang w:val="en-US" w:eastAsia="zh-CN" w:bidi="ar"/>
              </w:rPr>
              <w:t>受宏观环境、市场结构和需求影响，近年来汽车行业竞争激烈，新能源汽车价格持续下探，降本诉求强烈，由于三元锂电池成本较高，导致近年来国内装车占比逐年下降。2024年6系三元材料由于具备性价比优势，增长较快，取代5系三元材料，成为主流材料之一。公司的 6系材料在主要客户处导入时间较晚，所以</w:t>
            </w:r>
            <w:r>
              <w:rPr>
                <w:rFonts w:hint="eastAsia" w:ascii="Times New Roman" w:hAnsi="Times New Roman" w:cs="Times New Roman"/>
                <w:color w:val="000000"/>
                <w:kern w:val="0"/>
                <w:sz w:val="24"/>
                <w:szCs w:val="24"/>
                <w:lang w:val="en-US" w:eastAsia="zh-CN"/>
              </w:rPr>
              <w:t>2024年</w:t>
            </w:r>
            <w:r>
              <w:rPr>
                <w:rFonts w:hint="eastAsia" w:ascii="Times New Roman" w:hAnsi="Times New Roman" w:eastAsia="宋体" w:cs="Times New Roman"/>
                <w:color w:val="000000"/>
                <w:kern w:val="0"/>
                <w:sz w:val="24"/>
                <w:szCs w:val="24"/>
                <w:lang w:val="en-US" w:eastAsia="zh-CN"/>
              </w:rPr>
              <w:t>公司的三元材料主要以8系、5系为主，6系较少。</w:t>
            </w:r>
            <w:r>
              <w:rPr>
                <w:rFonts w:hint="eastAsia" w:ascii="宋体" w:hAnsi="宋体" w:cs="宋体"/>
                <w:color w:val="000000"/>
                <w:kern w:val="0"/>
                <w:sz w:val="24"/>
                <w:lang w:val="en-US" w:eastAsia="zh-CN" w:bidi="ar"/>
              </w:rPr>
              <w:t>2024年度公司产品销量出现明显下滑，产能利用率较低，导致成本和停工损失增加。</w:t>
            </w:r>
          </w:p>
          <w:p w14:paraId="546B7E3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售价方面，</w:t>
            </w:r>
            <w:r>
              <w:rPr>
                <w:rFonts w:hint="eastAsia" w:ascii="宋体" w:hAnsi="宋体" w:cs="宋体"/>
                <w:color w:val="000000"/>
                <w:kern w:val="0"/>
                <w:sz w:val="24"/>
                <w:lang w:bidi="ar"/>
              </w:rPr>
              <w:t>由于碳酸锂等原材料价格下降，公司产品价格相应调整，导致营业收入同比下降</w:t>
            </w:r>
            <w:r>
              <w:rPr>
                <w:rFonts w:hint="eastAsia" w:ascii="宋体" w:hAnsi="宋体" w:cs="宋体"/>
                <w:color w:val="000000"/>
                <w:kern w:val="0"/>
                <w:sz w:val="24"/>
                <w:lang w:eastAsia="zh-CN" w:bidi="ar"/>
              </w:rPr>
              <w:t>。</w:t>
            </w:r>
          </w:p>
          <w:p w14:paraId="5DDE199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综上，受行业竞争加剧、销量下降、原材料价格下跌等影响，公司报告期业绩出现亏损。</w:t>
            </w:r>
          </w:p>
          <w:p w14:paraId="2E84E8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改善措施：2025年，公司重点加快推进完成6系三元材料在主要客户需求计划的同时，在钠电、磷酸锰铁锂方面加速推进产业化，紧密围绕固态电池、低空经济等领域所需材料加大研发力度，持续降本，生产高附加值产品，提升公司的核心竞争力。</w:t>
            </w:r>
          </w:p>
          <w:p w14:paraId="4F5005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2</w:t>
            </w:r>
            <w:r>
              <w:rPr>
                <w:rFonts w:hint="eastAsia" w:ascii="宋体" w:hAnsi="宋体" w:eastAsia="宋体" w:cs="宋体"/>
                <w:b/>
                <w:bCs/>
                <w:color w:val="000000"/>
                <w:kern w:val="0"/>
                <w:sz w:val="24"/>
                <w:lang w:val="en-US" w:eastAsia="zh-CN" w:bidi="ar"/>
              </w:rPr>
              <w:t>：请问如何看待三元材料明年市场需求情况</w:t>
            </w:r>
            <w:r>
              <w:rPr>
                <w:rFonts w:hint="eastAsia" w:ascii="宋体" w:hAnsi="宋体" w:cs="宋体"/>
                <w:b/>
                <w:bCs/>
                <w:color w:val="000000"/>
                <w:kern w:val="0"/>
                <w:sz w:val="24"/>
                <w:lang w:val="en-US" w:eastAsia="zh-CN" w:bidi="ar"/>
              </w:rPr>
              <w:t>？</w:t>
            </w:r>
          </w:p>
          <w:p w14:paraId="5D98B8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 xml:space="preserve"> </w:t>
            </w:r>
            <w:r>
              <w:rPr>
                <w:rFonts w:hint="eastAsia" w:ascii="宋体" w:hAnsi="宋体" w:eastAsia="宋体" w:cs="宋体"/>
                <w:b w:val="0"/>
                <w:bCs w:val="0"/>
                <w:color w:val="000000"/>
                <w:kern w:val="0"/>
                <w:sz w:val="24"/>
                <w:lang w:val="en-US" w:eastAsia="zh-CN" w:bidi="ar"/>
              </w:rPr>
              <w:t xml:space="preserve">   答：结合应用场景来看，在车端，今年推出的大增程电池，其纯电续航提升至400公里以上，基本可覆盖日常出行，同时辅以油箱缓解里程焦虑。目前众多车企纷纷推出搭载大电池的增程式车型或计划加大增程式车型的研发投入。基于能量密度和循环要求，大增程电池目前主要使用三元电池。因此，大增程技术的发展有利于三元材料。此外，从固态电池、低空等高能量密度应用场景来看，也有利于三元材料，预计明年</w:t>
            </w:r>
            <w:r>
              <w:rPr>
                <w:rFonts w:hint="eastAsia" w:ascii="宋体" w:hAnsi="宋体" w:eastAsia="宋体" w:cs="宋体"/>
                <w:color w:val="000000"/>
                <w:kern w:val="0"/>
                <w:sz w:val="24"/>
                <w:lang w:bidi="ar"/>
              </w:rPr>
              <w:t>三元材料的装机量市占率会</w:t>
            </w:r>
            <w:r>
              <w:rPr>
                <w:rFonts w:hint="eastAsia" w:ascii="宋体" w:hAnsi="宋体" w:eastAsia="宋体" w:cs="宋体"/>
                <w:color w:val="000000"/>
                <w:kern w:val="0"/>
                <w:sz w:val="24"/>
                <w:lang w:val="en-US" w:eastAsia="zh-CN" w:bidi="ar"/>
              </w:rPr>
              <w:t>增加</w:t>
            </w:r>
            <w:r>
              <w:rPr>
                <w:rFonts w:hint="eastAsia" w:ascii="宋体" w:hAnsi="宋体" w:eastAsia="宋体" w:cs="宋体"/>
                <w:color w:val="000000"/>
                <w:kern w:val="0"/>
                <w:sz w:val="24"/>
                <w:lang w:eastAsia="zh-CN" w:bidi="ar"/>
              </w:rPr>
              <w:t>。</w:t>
            </w:r>
          </w:p>
          <w:p w14:paraId="0DF4CF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3</w:t>
            </w:r>
            <w:r>
              <w:rPr>
                <w:rFonts w:hint="eastAsia" w:ascii="宋体" w:hAnsi="宋体" w:eastAsia="宋体" w:cs="宋体"/>
                <w:b/>
                <w:bCs/>
                <w:color w:val="000000"/>
                <w:kern w:val="0"/>
                <w:sz w:val="24"/>
                <w:lang w:val="en-US" w:eastAsia="zh-CN" w:bidi="ar"/>
              </w:rPr>
              <w:t>：请问公司</w:t>
            </w:r>
            <w:r>
              <w:rPr>
                <w:rFonts w:hint="eastAsia" w:ascii="宋体" w:hAnsi="宋体" w:cs="宋体"/>
                <w:b/>
                <w:bCs/>
                <w:color w:val="000000"/>
                <w:kern w:val="0"/>
                <w:sz w:val="24"/>
                <w:lang w:val="en-US" w:eastAsia="zh-CN" w:bidi="ar"/>
              </w:rPr>
              <w:t>钠电正极产品储备及研发情况？</w:t>
            </w:r>
          </w:p>
          <w:p w14:paraId="55D2D5C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lang w:val="en-US" w:eastAsia="zh-CN" w:bidi="ar"/>
              </w:rPr>
            </w:pPr>
            <w:r>
              <w:rPr>
                <w:rFonts w:hint="default" w:ascii="宋体" w:hAnsi="宋体" w:eastAsia="宋体" w:cs="宋体"/>
                <w:color w:val="000000"/>
                <w:kern w:val="0"/>
                <w:sz w:val="24"/>
                <w:lang w:val="en-US" w:bidi="ar"/>
              </w:rPr>
              <w:t>答：</w:t>
            </w:r>
            <w:r>
              <w:rPr>
                <w:rFonts w:hint="eastAsia" w:ascii="宋体" w:hAnsi="宋体" w:cs="宋体"/>
                <w:color w:val="000000"/>
                <w:kern w:val="0"/>
                <w:sz w:val="24"/>
                <w:lang w:val="en-US" w:eastAsia="zh-CN" w:bidi="ar"/>
              </w:rPr>
              <w:t>公司在层状氧化物、聚阴离子及普鲁士蓝/白体系上都在进行研发。</w:t>
            </w:r>
          </w:p>
          <w:p w14:paraId="061B671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1、层状氧化物体系：重点改善结构及界面稳定性，提升产品性能。截止目前，公司该体系材料已率先实现车端应用及百吨级出货。</w:t>
            </w:r>
          </w:p>
          <w:p w14:paraId="3B55C03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2、聚阴离子体系：产业化进程加速，基于其高温稳定性优秀、倍率性能好、价格便宜，未来在启停电池、两轮车、储能等领域会有很大的发展空间。近期公司与中伟合作的千吨级钠电正极订单，主要产品就是聚阴离子体系。</w:t>
            </w:r>
          </w:p>
          <w:p w14:paraId="62AF97D9">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lang w:val="en-US" w:eastAsia="zh-CN" w:bidi="ar"/>
              </w:rPr>
            </w:pPr>
            <w:r>
              <w:rPr>
                <w:rFonts w:hint="eastAsia" w:ascii="宋体" w:hAnsi="宋体" w:cs="宋体"/>
                <w:color w:val="000000"/>
                <w:kern w:val="0"/>
                <w:sz w:val="24"/>
                <w:lang w:val="en-US" w:eastAsia="zh-CN" w:bidi="ar"/>
              </w:rPr>
              <w:t>3、</w:t>
            </w:r>
            <w:r>
              <w:rPr>
                <w:rFonts w:hint="eastAsia" w:ascii="宋体" w:hAnsi="宋体" w:cs="宋体"/>
                <w:color w:val="auto"/>
                <w:kern w:val="0"/>
                <w:sz w:val="24"/>
                <w:lang w:val="en-US" w:eastAsia="zh-CN" w:bidi="ar"/>
              </w:rPr>
              <w:t>普鲁士蓝/白体系：现阶段，大多数普鲁士体系材料合成条件温和，导致材料结构稳定性一般、循环性能不好，以及结晶水等问题存在，公司正在尝试其他合成方式，改善以上问题。</w:t>
            </w:r>
          </w:p>
          <w:p w14:paraId="2FDE26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4</w:t>
            </w:r>
            <w:r>
              <w:rPr>
                <w:rFonts w:hint="eastAsia" w:ascii="宋体" w:hAnsi="宋体" w:eastAsia="宋体" w:cs="宋体"/>
                <w:b/>
                <w:bCs/>
                <w:color w:val="000000"/>
                <w:kern w:val="0"/>
                <w:sz w:val="24"/>
                <w:lang w:val="en-US" w:eastAsia="zh-CN" w:bidi="ar"/>
              </w:rPr>
              <w:t>：请问公司钠电正极产能现状？</w:t>
            </w:r>
          </w:p>
          <w:p w14:paraId="463C266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lang w:val="en-US" w:eastAsia="zh-CN" w:bidi="ar"/>
              </w:rPr>
            </w:pPr>
            <w:r>
              <w:rPr>
                <w:rFonts w:hint="default" w:ascii="宋体" w:hAnsi="宋体" w:eastAsia="宋体" w:cs="宋体"/>
                <w:color w:val="000000"/>
                <w:kern w:val="0"/>
                <w:sz w:val="24"/>
                <w:lang w:val="en-US" w:eastAsia="zh-CN" w:bidi="ar"/>
              </w:rPr>
              <w:t>答：</w:t>
            </w:r>
            <w:r>
              <w:rPr>
                <w:rFonts w:hint="eastAsia" w:ascii="宋体" w:hAnsi="宋体" w:eastAsia="宋体" w:cs="宋体"/>
                <w:color w:val="000000"/>
                <w:kern w:val="0"/>
                <w:sz w:val="24"/>
                <w:lang w:val="en-US" w:eastAsia="zh-CN" w:bidi="ar"/>
              </w:rPr>
              <w:t xml:space="preserve">公司现有钠电正极专线产能大约有5000吨/年左右。除此之外，公司现有的4万吨/年为中镍及中高镍三元产线也可兼容生产。 </w:t>
            </w:r>
          </w:p>
          <w:p w14:paraId="449CB6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5</w:t>
            </w:r>
            <w:r>
              <w:rPr>
                <w:rFonts w:hint="eastAsia" w:ascii="宋体" w:hAnsi="宋体" w:eastAsia="宋体" w:cs="宋体"/>
                <w:b/>
                <w:bCs/>
                <w:color w:val="000000"/>
                <w:kern w:val="0"/>
                <w:sz w:val="24"/>
                <w:lang w:val="en-US" w:eastAsia="zh-CN" w:bidi="ar"/>
              </w:rPr>
              <w:t>：请问公司目前重点研发方向</w:t>
            </w:r>
            <w:r>
              <w:rPr>
                <w:rFonts w:hint="default" w:ascii="宋体" w:hAnsi="宋体" w:eastAsia="宋体" w:cs="宋体"/>
                <w:b/>
                <w:bCs/>
                <w:color w:val="000000"/>
                <w:kern w:val="0"/>
                <w:sz w:val="24"/>
                <w:lang w:val="en-US" w:eastAsia="zh-CN" w:bidi="ar"/>
              </w:rPr>
              <w:t>？</w:t>
            </w:r>
          </w:p>
          <w:p w14:paraId="614BA58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lang w:val="en-US" w:eastAsia="zh-CN" w:bidi="ar"/>
              </w:rPr>
            </w:pPr>
            <w:r>
              <w:rPr>
                <w:rFonts w:hint="default" w:ascii="宋体" w:hAnsi="宋体" w:eastAsia="宋体" w:cs="宋体"/>
                <w:color w:val="000000"/>
                <w:kern w:val="0"/>
                <w:sz w:val="24"/>
                <w:lang w:val="en-US" w:eastAsia="zh-CN" w:bidi="ar"/>
              </w:rPr>
              <w:t>答：</w:t>
            </w:r>
            <w:r>
              <w:rPr>
                <w:rFonts w:hint="eastAsia" w:ascii="宋体" w:hAnsi="宋体" w:eastAsia="宋体" w:cs="宋体"/>
                <w:color w:val="000000"/>
                <w:kern w:val="0"/>
                <w:sz w:val="24"/>
                <w:lang w:val="en-US" w:eastAsia="zh-CN" w:bidi="ar"/>
              </w:rPr>
              <w:t>公司持续深耕锂离子电池三元正极材料，同时在钠电、磷酸锰铁锂方面加速推进产业化，紧密围绕固态电池、低空经济等领域所需材料进行研发。</w:t>
            </w:r>
          </w:p>
          <w:p w14:paraId="1DBC79E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三元材料方面：公司的新一代6系高电压快充三元材料进展顺利，已经在部分客户批量供货。公司利用固体电解质改性三元材料，电化学性能和安全性能得到较明显改善，可实现不同尺寸粒径的材料合成，根据客户要求进行定制化开发设计，其中适用该体系的超高镍9系已实现百吨级出货。针对固态电池体系的超大单晶高镍正极材料，根据客户要求进行的定制化样品制备，目前已成功送样。</w:t>
            </w:r>
          </w:p>
          <w:p w14:paraId="0A0B1D6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钠电材料方面：公司的聚阴离子体系产业化进程加速</w:t>
            </w:r>
            <w:r>
              <w:rPr>
                <w:rFonts w:hint="eastAsia" w:ascii="宋体" w:hAnsi="宋体" w:cs="宋体"/>
                <w:color w:val="000000"/>
                <w:kern w:val="0"/>
                <w:sz w:val="24"/>
                <w:lang w:val="en-US" w:eastAsia="zh-CN" w:bidi="ar"/>
              </w:rPr>
              <w:t>，</w:t>
            </w:r>
            <w:r>
              <w:rPr>
                <w:rFonts w:hint="eastAsia" w:ascii="宋体" w:hAnsi="宋体" w:eastAsia="宋体" w:cs="宋体"/>
                <w:color w:val="000000"/>
                <w:kern w:val="0"/>
                <w:sz w:val="24"/>
                <w:lang w:val="en-US" w:eastAsia="zh-CN" w:bidi="ar"/>
              </w:rPr>
              <w:t xml:space="preserve">层状氧化物体系产品性能提升及市场推广进展顺利。 </w:t>
            </w:r>
          </w:p>
          <w:p w14:paraId="4EEE23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针对半固态/凝聚态/固态电池等高能量密度的应用场景，公司自主研发的固体电解质氧化物具有粒径小（纳米级）、空气稳定性好、离子电导率高、分散性好的特点，目前已成功送样下游头部客户。</w:t>
            </w:r>
          </w:p>
          <w:p w14:paraId="24357B2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同时，为满足不同固态电池应用要求，公司的富锂锰基正极材料开发了多晶及不同尺寸的单晶正极材料，材料的结构稳定性好，首效高，容量高，已实现吨级批量生产。</w:t>
            </w:r>
          </w:p>
          <w:p w14:paraId="0BD4CCE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针对低空经济领域，公司开发了适用于不同应用场景的高能量密度、高功率、长循环和安全可靠的正极材料，目前已实现百吨级生产销售。</w:t>
            </w:r>
          </w:p>
          <w:p w14:paraId="2B8103B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公司的磷酸锰铁锂正极材料已完成中试验证。</w:t>
            </w:r>
          </w:p>
          <w:p w14:paraId="4CAF3F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6</w:t>
            </w:r>
            <w:r>
              <w:rPr>
                <w:rFonts w:hint="eastAsia" w:ascii="宋体" w:hAnsi="宋体" w:eastAsia="宋体" w:cs="宋体"/>
                <w:b/>
                <w:bCs/>
                <w:color w:val="000000"/>
                <w:kern w:val="0"/>
                <w:sz w:val="24"/>
                <w:lang w:val="en-US" w:eastAsia="zh-CN" w:bidi="ar"/>
              </w:rPr>
              <w:t>：</w:t>
            </w:r>
            <w:r>
              <w:rPr>
                <w:rFonts w:hint="eastAsia" w:ascii="宋体" w:hAnsi="宋体" w:cs="宋体"/>
                <w:b/>
                <w:bCs/>
                <w:color w:val="000000"/>
                <w:kern w:val="0"/>
                <w:sz w:val="24"/>
                <w:lang w:val="en-US" w:eastAsia="zh-CN" w:bidi="ar"/>
              </w:rPr>
              <w:t>参股公司红星电子供给的原材料占比情况</w:t>
            </w:r>
            <w:r>
              <w:rPr>
                <w:rFonts w:hint="eastAsia" w:ascii="宋体" w:hAnsi="宋体" w:eastAsia="宋体" w:cs="宋体"/>
                <w:b/>
                <w:bCs/>
                <w:color w:val="000000"/>
                <w:kern w:val="0"/>
                <w:sz w:val="24"/>
                <w:lang w:val="en-US" w:eastAsia="zh-CN" w:bidi="ar"/>
              </w:rPr>
              <w:t>？</w:t>
            </w:r>
          </w:p>
          <w:p w14:paraId="045EA1B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答：因现阶段动力电池回收行业仍在面临“僧多粥少”及回收渠道不通畅等困难，红星电子年产量有限，占公司原材料比重不高</w:t>
            </w:r>
            <w:r>
              <w:rPr>
                <w:rFonts w:hint="eastAsia" w:ascii="宋体" w:hAnsi="宋体" w:eastAsia="宋体" w:cs="宋体"/>
                <w:color w:val="000000"/>
                <w:kern w:val="0"/>
                <w:sz w:val="24"/>
                <w:lang w:val="en-US" w:eastAsia="zh-CN" w:bidi="ar"/>
              </w:rPr>
              <w:t>。</w:t>
            </w:r>
          </w:p>
          <w:p w14:paraId="16C1EE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7</w:t>
            </w:r>
            <w:r>
              <w:rPr>
                <w:rFonts w:hint="eastAsia" w:ascii="宋体" w:hAnsi="宋体" w:eastAsia="宋体" w:cs="宋体"/>
                <w:b/>
                <w:bCs/>
                <w:color w:val="000000"/>
                <w:kern w:val="0"/>
                <w:sz w:val="24"/>
                <w:lang w:val="en-US" w:eastAsia="zh-CN" w:bidi="ar"/>
              </w:rPr>
              <w:t>：今年</w:t>
            </w:r>
            <w:r>
              <w:rPr>
                <w:rFonts w:hint="eastAsia" w:ascii="宋体" w:hAnsi="宋体" w:cs="宋体"/>
                <w:b/>
                <w:bCs/>
                <w:color w:val="000000"/>
                <w:kern w:val="0"/>
                <w:sz w:val="24"/>
                <w:lang w:val="en-US" w:eastAsia="zh-CN" w:bidi="ar"/>
              </w:rPr>
              <w:t>有</w:t>
            </w:r>
            <w:r>
              <w:rPr>
                <w:rFonts w:hint="eastAsia" w:ascii="宋体" w:hAnsi="宋体" w:eastAsia="宋体" w:cs="宋体"/>
                <w:b/>
                <w:bCs/>
                <w:color w:val="000000"/>
                <w:kern w:val="0"/>
                <w:sz w:val="24"/>
                <w:lang w:val="en-US" w:eastAsia="zh-CN" w:bidi="ar"/>
              </w:rPr>
              <w:t>股权激励、</w:t>
            </w:r>
            <w:r>
              <w:rPr>
                <w:rFonts w:hint="eastAsia" w:ascii="宋体" w:hAnsi="宋体" w:cs="宋体"/>
                <w:b/>
                <w:bCs/>
                <w:color w:val="000000"/>
                <w:kern w:val="0"/>
                <w:sz w:val="24"/>
                <w:lang w:val="en-US" w:eastAsia="zh-CN" w:bidi="ar"/>
              </w:rPr>
              <w:t>发行</w:t>
            </w:r>
            <w:r>
              <w:rPr>
                <w:rFonts w:hint="eastAsia" w:ascii="宋体" w:hAnsi="宋体" w:eastAsia="宋体" w:cs="宋体"/>
                <w:b/>
                <w:bCs/>
                <w:color w:val="000000"/>
                <w:kern w:val="0"/>
                <w:sz w:val="24"/>
                <w:lang w:val="en-US" w:eastAsia="zh-CN" w:bidi="ar"/>
              </w:rPr>
              <w:t>可转债</w:t>
            </w:r>
            <w:r>
              <w:rPr>
                <w:rFonts w:hint="eastAsia" w:ascii="宋体" w:hAnsi="宋体" w:cs="宋体"/>
                <w:b/>
                <w:bCs/>
                <w:color w:val="000000"/>
                <w:kern w:val="0"/>
                <w:sz w:val="24"/>
                <w:lang w:val="en-US" w:eastAsia="zh-CN" w:bidi="ar"/>
              </w:rPr>
              <w:t>、并购重组</w:t>
            </w:r>
            <w:r>
              <w:rPr>
                <w:rFonts w:hint="eastAsia" w:ascii="宋体" w:hAnsi="宋体" w:eastAsia="宋体" w:cs="宋体"/>
                <w:b/>
                <w:bCs/>
                <w:color w:val="000000"/>
                <w:kern w:val="0"/>
                <w:sz w:val="24"/>
                <w:lang w:val="en-US" w:eastAsia="zh-CN" w:bidi="ar"/>
              </w:rPr>
              <w:t>之类的</w:t>
            </w:r>
            <w:r>
              <w:rPr>
                <w:rFonts w:hint="eastAsia" w:ascii="宋体" w:hAnsi="宋体" w:cs="宋体"/>
                <w:b/>
                <w:bCs/>
                <w:color w:val="000000"/>
                <w:kern w:val="0"/>
                <w:sz w:val="24"/>
                <w:lang w:val="en-US" w:eastAsia="zh-CN" w:bidi="ar"/>
              </w:rPr>
              <w:t>计划吗</w:t>
            </w:r>
            <w:r>
              <w:rPr>
                <w:rFonts w:hint="eastAsia" w:ascii="宋体" w:hAnsi="宋体" w:eastAsia="宋体" w:cs="宋体"/>
                <w:b/>
                <w:bCs/>
                <w:color w:val="000000"/>
                <w:kern w:val="0"/>
                <w:sz w:val="24"/>
                <w:lang w:val="en-US" w:eastAsia="zh-CN" w:bidi="ar"/>
              </w:rPr>
              <w:t>？</w:t>
            </w:r>
          </w:p>
          <w:p w14:paraId="24904E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答：</w:t>
            </w:r>
            <w:r>
              <w:rPr>
                <w:rFonts w:hint="eastAsia" w:ascii="宋体" w:hAnsi="宋体" w:eastAsia="宋体" w:cs="宋体"/>
                <w:color w:val="000000"/>
                <w:kern w:val="0"/>
                <w:sz w:val="24"/>
                <w:lang w:val="en-US" w:eastAsia="zh-CN" w:bidi="ar"/>
              </w:rPr>
              <w:t>暂时没</w:t>
            </w:r>
            <w:r>
              <w:rPr>
                <w:rFonts w:hint="eastAsia" w:ascii="宋体" w:hAnsi="宋体" w:cs="宋体"/>
                <w:color w:val="000000"/>
                <w:kern w:val="0"/>
                <w:sz w:val="24"/>
                <w:lang w:val="en-US" w:eastAsia="zh-CN" w:bidi="ar"/>
              </w:rPr>
              <w:t>有</w:t>
            </w:r>
            <w:r>
              <w:rPr>
                <w:rFonts w:hint="eastAsia" w:ascii="宋体" w:hAnsi="宋体" w:eastAsia="宋体" w:cs="宋体"/>
                <w:color w:val="000000"/>
                <w:kern w:val="0"/>
                <w:sz w:val="24"/>
                <w:lang w:val="en-US" w:eastAsia="zh-CN" w:bidi="ar"/>
              </w:rPr>
              <w:t>相关计划，未来如涉及相关重大事项，公司会严格按规定</w:t>
            </w:r>
            <w:r>
              <w:rPr>
                <w:rFonts w:hint="eastAsia" w:ascii="宋体" w:hAnsi="宋体" w:cs="宋体"/>
                <w:color w:val="000000"/>
                <w:kern w:val="0"/>
                <w:sz w:val="24"/>
                <w:lang w:val="en-US" w:eastAsia="zh-CN" w:bidi="ar"/>
              </w:rPr>
              <w:t>进行</w:t>
            </w:r>
            <w:r>
              <w:rPr>
                <w:rFonts w:hint="eastAsia" w:ascii="宋体" w:hAnsi="宋体" w:eastAsia="宋体" w:cs="宋体"/>
                <w:color w:val="000000"/>
                <w:kern w:val="0"/>
                <w:sz w:val="24"/>
                <w:lang w:val="en-US" w:eastAsia="zh-CN" w:bidi="ar"/>
              </w:rPr>
              <w:t>披露。</w:t>
            </w:r>
          </w:p>
        </w:tc>
      </w:tr>
      <w:tr w14:paraId="4C6B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0F06E62">
            <w:pPr>
              <w:spacing w:line="420" w:lineRule="exact"/>
              <w:rPr>
                <w:rFonts w:hint="default" w:eastAsia="宋体"/>
                <w:bCs/>
                <w:iCs/>
                <w:color w:val="000000"/>
                <w:sz w:val="24"/>
                <w:lang w:val="en-US" w:eastAsia="zh-CN"/>
              </w:rPr>
            </w:pPr>
            <w:r>
              <w:rPr>
                <w:rFonts w:hint="eastAsia"/>
                <w:b/>
                <w:bCs w:val="0"/>
                <w:iCs/>
                <w:color w:val="000000"/>
                <w:sz w:val="24"/>
                <w:lang w:val="en-US" w:eastAsia="zh-CN"/>
              </w:rPr>
              <w:t>风险提示</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0B19CD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000000"/>
                <w:kern w:val="0"/>
                <w:sz w:val="24"/>
                <w:lang w:val="en-US" w:eastAsia="zh-CN" w:bidi="ar"/>
              </w:rPr>
            </w:pPr>
            <w:r>
              <w:rPr>
                <w:rFonts w:hint="eastAsia" w:ascii="宋体" w:hAnsi="宋体" w:cs="宋体"/>
                <w:b/>
                <w:bCs/>
                <w:color w:val="000000"/>
                <w:kern w:val="0"/>
                <w:sz w:val="24"/>
                <w:lang w:bidi="ar"/>
              </w:rPr>
              <w:t>以上如涉及对行业的预测、公司发展战略规划等相关内容，不能视作公司或公司管理层对行业、公司发展的承诺和保证；敬请广大投资者注意投资风险。</w:t>
            </w:r>
          </w:p>
        </w:tc>
      </w:tr>
    </w:tbl>
    <w:p w14:paraId="21F1B2C7">
      <w:pPr>
        <w:rPr>
          <w:rFonts w:hint="eastAsia" w:asciiTheme="minorEastAsia" w:hAnsiTheme="minorEastAsia" w:cstheme="minorEastAsia"/>
          <w:sz w:val="24"/>
          <w:lang w:val="en-US" w:eastAsia="zh-CN"/>
        </w:rPr>
        <w:sectPr>
          <w:headerReference r:id="rId3" w:type="default"/>
          <w:pgSz w:w="11906" w:h="16838"/>
          <w:pgMar w:top="1440" w:right="1800" w:bottom="1440" w:left="1800" w:header="851" w:footer="992" w:gutter="0"/>
          <w:cols w:space="720" w:num="1"/>
          <w:docGrid w:type="lines" w:linePitch="312" w:charSpace="0"/>
        </w:sectPr>
      </w:pPr>
    </w:p>
    <w:p w14:paraId="60049191">
      <w:pPr>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附件：</w:t>
      </w:r>
    </w:p>
    <w:p w14:paraId="01D78EBA">
      <w:pPr>
        <w:jc w:val="center"/>
        <w:rPr>
          <w:rFonts w:hint="eastAsia" w:asciiTheme="minorEastAsia" w:hAnsiTheme="minorEastAsia" w:cstheme="minorEastAsia"/>
          <w:sz w:val="24"/>
          <w:lang w:val="en-US" w:eastAsia="zh-CN"/>
        </w:rPr>
      </w:pPr>
      <w:r>
        <w:rPr>
          <w:rFonts w:hint="eastAsia" w:asciiTheme="minorEastAsia" w:hAnsiTheme="minorEastAsia" w:cstheme="minorEastAsia"/>
          <w:b/>
          <w:bCs/>
          <w:sz w:val="32"/>
          <w:szCs w:val="32"/>
          <w:lang w:val="en-US" w:eastAsia="zh-CN"/>
        </w:rPr>
        <w:t>参会人员名单</w:t>
      </w:r>
      <w:bookmarkStart w:id="0" w:name="_GoBack"/>
      <w:bookmarkEnd w:id="0"/>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4595"/>
        <w:gridCol w:w="3121"/>
      </w:tblGrid>
      <w:tr w14:paraId="2BA5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72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5"/>
                <w:lang w:val="en-US" w:eastAsia="zh-CN" w:bidi="ar"/>
              </w:rPr>
              <w:t>序号</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4E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5"/>
                <w:lang w:val="en-US" w:eastAsia="zh-CN" w:bidi="ar"/>
              </w:rPr>
              <w:t>参会人单位</w:t>
            </w:r>
          </w:p>
        </w:tc>
        <w:tc>
          <w:tcPr>
            <w:tcW w:w="1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0B78">
            <w:pPr>
              <w:keepNext w:val="0"/>
              <w:keepLines w:val="0"/>
              <w:widowControl/>
              <w:suppressLineNumbers w:val="0"/>
              <w:jc w:val="center"/>
              <w:textAlignment w:val="center"/>
              <w:rPr>
                <w:rStyle w:val="15"/>
                <w:rFonts w:hint="default"/>
                <w:lang w:val="en-US" w:eastAsia="zh-CN" w:bidi="ar"/>
              </w:rPr>
            </w:pPr>
            <w:r>
              <w:rPr>
                <w:rStyle w:val="15"/>
                <w:rFonts w:hint="eastAsia"/>
                <w:lang w:val="en-US" w:eastAsia="zh-CN" w:bidi="ar"/>
              </w:rPr>
              <w:t>参会人名称</w:t>
            </w:r>
          </w:p>
        </w:tc>
      </w:tr>
      <w:tr w14:paraId="5BE1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03BF29A7">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top"/>
          </w:tcPr>
          <w:p w14:paraId="2744DBF0">
            <w:pPr>
              <w:keepNext w:val="0"/>
              <w:keepLines w:val="0"/>
              <w:widowControl/>
              <w:suppressLineNumbers w:val="0"/>
              <w:jc w:val="both"/>
              <w:textAlignment w:val="top"/>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天风证券</w:t>
            </w:r>
          </w:p>
        </w:tc>
        <w:tc>
          <w:tcPr>
            <w:tcW w:w="1831" w:type="pct"/>
            <w:tcBorders>
              <w:top w:val="single" w:color="000000" w:sz="4" w:space="0"/>
              <w:left w:val="single" w:color="000000" w:sz="4" w:space="0"/>
              <w:bottom w:val="single" w:color="000000" w:sz="4" w:space="0"/>
              <w:right w:val="single" w:color="000000" w:sz="4" w:space="0"/>
            </w:tcBorders>
            <w:shd w:val="clear" w:color="auto" w:fill="auto"/>
            <w:vAlign w:val="top"/>
          </w:tcPr>
          <w:p w14:paraId="77E62816">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刘尊钰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孙潇雅</w:t>
            </w:r>
            <w:r>
              <w:rPr>
                <w:rFonts w:hint="eastAsia" w:ascii="宋体" w:hAnsi="宋体" w:cs="宋体"/>
                <w:i w:val="0"/>
                <w:iCs w:val="0"/>
                <w:color w:val="000000"/>
                <w:kern w:val="0"/>
                <w:sz w:val="24"/>
                <w:szCs w:val="24"/>
                <w:u w:val="none"/>
                <w:lang w:val="en-US" w:eastAsia="zh-CN" w:bidi="ar"/>
              </w:rPr>
              <w:t>、吴伟</w:t>
            </w:r>
          </w:p>
        </w:tc>
      </w:tr>
      <w:tr w14:paraId="01D3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2DBBCB57">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top"/>
          </w:tcPr>
          <w:p w14:paraId="34510D5A">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汇泉基金</w:t>
            </w:r>
          </w:p>
        </w:tc>
        <w:tc>
          <w:tcPr>
            <w:tcW w:w="1831" w:type="pct"/>
            <w:tcBorders>
              <w:top w:val="single" w:color="000000" w:sz="4" w:space="0"/>
              <w:left w:val="single" w:color="000000" w:sz="4" w:space="0"/>
              <w:bottom w:val="single" w:color="000000" w:sz="4" w:space="0"/>
              <w:right w:val="single" w:color="000000" w:sz="4" w:space="0"/>
            </w:tcBorders>
            <w:shd w:val="clear" w:color="auto" w:fill="auto"/>
            <w:vAlign w:val="top"/>
          </w:tcPr>
          <w:p w14:paraId="7E64ACC5">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陈谦</w:t>
            </w:r>
          </w:p>
        </w:tc>
      </w:tr>
      <w:tr w14:paraId="37DD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448B4177">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top"/>
          </w:tcPr>
          <w:p w14:paraId="0C290205">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国信证券</w:t>
            </w:r>
          </w:p>
        </w:tc>
        <w:tc>
          <w:tcPr>
            <w:tcW w:w="1831" w:type="pct"/>
            <w:tcBorders>
              <w:top w:val="single" w:color="000000" w:sz="4" w:space="0"/>
              <w:left w:val="single" w:color="000000" w:sz="4" w:space="0"/>
              <w:bottom w:val="single" w:color="000000" w:sz="4" w:space="0"/>
              <w:right w:val="single" w:color="000000" w:sz="4" w:space="0"/>
            </w:tcBorders>
            <w:shd w:val="clear" w:color="auto" w:fill="auto"/>
            <w:vAlign w:val="top"/>
          </w:tcPr>
          <w:p w14:paraId="18511256">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闵晓平</w:t>
            </w:r>
          </w:p>
        </w:tc>
      </w:tr>
      <w:tr w14:paraId="52CA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092251A5">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1CB0">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东兴基金</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2AEA">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孙义丽、周昊</w:t>
            </w:r>
          </w:p>
        </w:tc>
      </w:tr>
      <w:tr w14:paraId="3E1B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3C3BA4E">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105B">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大家资产</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1FBD">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孙恒志</w:t>
            </w:r>
          </w:p>
        </w:tc>
      </w:tr>
      <w:tr w14:paraId="6299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C184243">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3B14">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LCRICH CAPITAL MANAGEMENT</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67A3">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闫慧辰</w:t>
            </w:r>
          </w:p>
        </w:tc>
      </w:tr>
      <w:tr w14:paraId="3F09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4C064D8A">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5F24">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Pleiad Investment Advisors Limited</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B300">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Simon Sun</w:t>
            </w:r>
          </w:p>
        </w:tc>
      </w:tr>
      <w:tr w14:paraId="3FEF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3C2C1D72">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9CBC">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广东正圆投资</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B154">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黄志豪</w:t>
            </w:r>
          </w:p>
        </w:tc>
      </w:tr>
      <w:tr w14:paraId="69F5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2EE10949">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3D63">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华泰证券</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869B">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冯瑞齐</w:t>
            </w:r>
          </w:p>
        </w:tc>
      </w:tr>
      <w:tr w14:paraId="5D10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0588FF6C">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164F">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宁波嘉富行远私募</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407D">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金春燕</w:t>
            </w:r>
          </w:p>
        </w:tc>
      </w:tr>
      <w:tr w14:paraId="14C6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5951F649">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DFF19">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上海混沌投资</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376FA">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黎晓楠</w:t>
            </w:r>
          </w:p>
        </w:tc>
      </w:tr>
      <w:tr w14:paraId="5C499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60E6211A">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EB80E">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长生人寿保险</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068E3">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王新元</w:t>
            </w:r>
          </w:p>
        </w:tc>
      </w:tr>
      <w:tr w14:paraId="269C9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4914DF9B">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1E4A8">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上海循理</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01BEB">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安倩</w:t>
            </w:r>
          </w:p>
        </w:tc>
      </w:tr>
      <w:tr w14:paraId="0671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58A25F00">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5AFF0">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长江证券</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9D62F">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胡加琪</w:t>
            </w:r>
          </w:p>
        </w:tc>
      </w:tr>
      <w:tr w14:paraId="37CB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74FA05A">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841EE">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上海和谐汇一</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BEB44">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林钰婷</w:t>
            </w:r>
          </w:p>
        </w:tc>
      </w:tr>
      <w:tr w14:paraId="403E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6B1A5F0B">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F67F5">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泉果基金</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7CB3B">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罗开澜</w:t>
            </w:r>
          </w:p>
        </w:tc>
      </w:tr>
      <w:tr w14:paraId="2A70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3DEBC56B">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A2526">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中兵投资</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85276">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巩显峰</w:t>
            </w:r>
          </w:p>
        </w:tc>
      </w:tr>
      <w:tr w14:paraId="2E2F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38F6F80">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963FF">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长信基金</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285BA">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祝昱丰</w:t>
            </w:r>
          </w:p>
        </w:tc>
      </w:tr>
      <w:tr w14:paraId="596E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22CBDCB2">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57161">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玄卜投资</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ACDE7">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韦琦</w:t>
            </w:r>
          </w:p>
        </w:tc>
      </w:tr>
      <w:tr w14:paraId="6A6E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1647E263">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7CD56">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宁波盛世知己投资</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83BD4">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张杨进</w:t>
            </w:r>
          </w:p>
        </w:tc>
      </w:tr>
      <w:tr w14:paraId="22AC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8D11109">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6B1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深圳创富兆业</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981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吴赟宇</w:t>
            </w:r>
          </w:p>
        </w:tc>
      </w:tr>
      <w:tr w14:paraId="69D2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751C767D">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D90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天风证券</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F90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周春林</w:t>
            </w:r>
          </w:p>
        </w:tc>
      </w:tr>
      <w:tr w14:paraId="5AFF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130F6BFC">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23</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D8A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中信证券</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D3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肖亚宇</w:t>
            </w:r>
          </w:p>
        </w:tc>
      </w:tr>
      <w:tr w14:paraId="4818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10180D85">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43A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上海肇万</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EA9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李大瑞</w:t>
            </w:r>
          </w:p>
        </w:tc>
      </w:tr>
      <w:tr w14:paraId="49D4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46D4E556">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108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上海勤辰</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F65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张航</w:t>
            </w:r>
          </w:p>
        </w:tc>
      </w:tr>
      <w:tr w14:paraId="71B7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086BE335">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FC6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中国人保</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CDD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蔡春根</w:t>
            </w:r>
          </w:p>
        </w:tc>
      </w:tr>
      <w:tr w14:paraId="7A0E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3627F95F">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91A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睿亿投资</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37B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于航</w:t>
            </w:r>
          </w:p>
        </w:tc>
      </w:tr>
      <w:tr w14:paraId="6B0F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30221C3D">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28</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1DB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浙江臻远投资</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859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甘成府</w:t>
            </w:r>
          </w:p>
        </w:tc>
      </w:tr>
      <w:tr w14:paraId="0B7B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2A94E64A">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29</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54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西藏中平私募</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E55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乐梦琦</w:t>
            </w:r>
          </w:p>
        </w:tc>
      </w:tr>
      <w:tr w14:paraId="5F02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44616C15">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432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中邮人寿保险</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8B0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张文鹏</w:t>
            </w:r>
          </w:p>
        </w:tc>
      </w:tr>
      <w:tr w14:paraId="3D04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1F183C35">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31</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34A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浙江米仓</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E6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管晶鑫</w:t>
            </w:r>
          </w:p>
        </w:tc>
      </w:tr>
      <w:tr w14:paraId="468FB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23E6400A">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32</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C1C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上海复胜</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6DA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杨郭浩</w:t>
            </w:r>
          </w:p>
        </w:tc>
      </w:tr>
      <w:tr w14:paraId="2A8F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227E7BD8">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33</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DAD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上海盘京</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43909">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高凯</w:t>
            </w:r>
          </w:p>
        </w:tc>
      </w:tr>
      <w:tr w14:paraId="13A4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51CD9A85">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34</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6EC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上海利幄私募</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2CC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向遥</w:t>
            </w:r>
          </w:p>
        </w:tc>
      </w:tr>
      <w:tr w14:paraId="6B79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382C472A">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35</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EEE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中国人寿养老保险</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1CC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刘统</w:t>
            </w:r>
          </w:p>
        </w:tc>
      </w:tr>
      <w:tr w14:paraId="7937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51A33246">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36</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40F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深圳宏鼎财富</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582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李先明</w:t>
            </w:r>
          </w:p>
        </w:tc>
      </w:tr>
      <w:tr w14:paraId="7D9D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24AA4554">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37</w:t>
            </w:r>
          </w:p>
        </w:tc>
        <w:tc>
          <w:tcPr>
            <w:tcW w:w="2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91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国海证券</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AD644">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李航、谢培风</w:t>
            </w:r>
          </w:p>
        </w:tc>
      </w:tr>
    </w:tbl>
    <w:p w14:paraId="7154158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7326">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YmEyMmNhYmVhNGY3YTJjYTNmMzc5MDAzMmViMm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2990EAA"/>
    <w:rsid w:val="049C787F"/>
    <w:rsid w:val="101C61BF"/>
    <w:rsid w:val="1B2418A5"/>
    <w:rsid w:val="1D667883"/>
    <w:rsid w:val="1FBFC074"/>
    <w:rsid w:val="2E5C3FC8"/>
    <w:rsid w:val="36FB9E1F"/>
    <w:rsid w:val="3B96528D"/>
    <w:rsid w:val="3BFA3B96"/>
    <w:rsid w:val="3CEF3472"/>
    <w:rsid w:val="3EFF16E9"/>
    <w:rsid w:val="4336674E"/>
    <w:rsid w:val="56A80582"/>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6"/>
    <w:basedOn w:val="1"/>
    <w:autoRedefine/>
    <w:qFormat/>
    <w:uiPriority w:val="34"/>
    <w:pPr>
      <w:ind w:firstLine="420" w:firstLineChars="200"/>
    </w:pPr>
    <w:rPr>
      <w:rFonts w:ascii="Calibri" w:hAnsi="Calibri" w:eastAsia="宋体" w:cs="Times New Roman"/>
      <w:szCs w:val="22"/>
    </w:rPr>
  </w:style>
  <w:style w:type="paragraph" w:customStyle="1" w:styleId="9">
    <w:name w:val="Char Char Char"/>
    <w:basedOn w:val="1"/>
    <w:autoRedefine/>
    <w:qFormat/>
    <w:uiPriority w:val="0"/>
    <w:rPr>
      <w:szCs w:val="21"/>
    </w:rPr>
  </w:style>
  <w:style w:type="paragraph" w:customStyle="1" w:styleId="10">
    <w:name w:val="Char Char Char Char Char Char Char Char Char Char Char Char Char Char Char Char"/>
    <w:basedOn w:val="1"/>
    <w:autoRedefine/>
    <w:qFormat/>
    <w:uiPriority w:val="0"/>
  </w:style>
  <w:style w:type="paragraph" w:customStyle="1" w:styleId="11">
    <w:name w:val=" Char Char Char"/>
    <w:basedOn w:val="1"/>
    <w:autoRedefine/>
    <w:qFormat/>
    <w:uiPriority w:val="0"/>
  </w:style>
  <w:style w:type="character" w:customStyle="1" w:styleId="12">
    <w:name w:val="页脚 Char"/>
    <w:basedOn w:val="7"/>
    <w:link w:val="2"/>
    <w:autoRedefine/>
    <w:qFormat/>
    <w:uiPriority w:val="0"/>
    <w:rPr>
      <w:kern w:val="2"/>
      <w:sz w:val="18"/>
      <w:szCs w:val="18"/>
    </w:rPr>
  </w:style>
  <w:style w:type="character" w:customStyle="1" w:styleId="13">
    <w:name w:val="页眉 Char"/>
    <w:basedOn w:val="7"/>
    <w:link w:val="3"/>
    <w:autoRedefine/>
    <w:qFormat/>
    <w:uiPriority w:val="0"/>
    <w:rPr>
      <w:kern w:val="2"/>
      <w:sz w:val="18"/>
      <w:szCs w:val="18"/>
    </w:rPr>
  </w:style>
  <w:style w:type="table" w:customStyle="1" w:styleId="14">
    <w:name w:val="TableGrid"/>
    <w:autoRedefine/>
    <w:qFormat/>
    <w:uiPriority w:val="0"/>
    <w:tblPr>
      <w:tblCellMar>
        <w:top w:w="0" w:type="dxa"/>
        <w:left w:w="0" w:type="dxa"/>
        <w:bottom w:w="0" w:type="dxa"/>
        <w:right w:w="0" w:type="dxa"/>
      </w:tblCellMar>
    </w:tblPr>
  </w:style>
  <w:style w:type="character" w:customStyle="1" w:styleId="15">
    <w:name w:val="font1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2029</Words>
  <Characters>2085</Characters>
  <Lines>60</Lines>
  <Paragraphs>17</Paragraphs>
  <TotalTime>6</TotalTime>
  <ScaleCrop>false</ScaleCrop>
  <LinksUpToDate>false</LinksUpToDate>
  <CharactersWithSpaces>2232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刘晨</cp:lastModifiedBy>
  <cp:lastPrinted>2014-02-21T05:34:00Z</cp:lastPrinted>
  <dcterms:modified xsi:type="dcterms:W3CDTF">2025-01-22T07:39:54Z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3378DF92D5494EA79182626F58817F75</vt:lpwstr>
  </property>
  <property fmtid="{D5CDD505-2E9C-101B-9397-08002B2CF9AE}" pid="4" name="KSOTemplateDocerSaveRecord">
    <vt:lpwstr>eyJoZGlkIjoiZWYzMDYyNzdhZmYzYzgwZGE1MWM3ZmMwZTkyOGZhOTciLCJ1c2VySWQiOiIzNzUwMzQ4OTYifQ==</vt:lpwstr>
  </property>
</Properties>
</file>