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ascii="宋体" w:hAnsi="宋体"/>
          <w:iCs/>
          <w:color w:val="000000"/>
          <w:sz w:val="24"/>
        </w:rPr>
      </w:pPr>
      <w:r>
        <w:rPr>
          <w:rFonts w:hint="eastAsia" w:ascii="宋体" w:hAnsi="宋体"/>
          <w:iCs/>
          <w:color w:val="000000"/>
          <w:sz w:val="24"/>
        </w:rPr>
        <w:t>证券代码：601058                                         证券简称：赛轮轮胎</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赛轮集团</w:t>
      </w:r>
      <w:r>
        <w:rPr>
          <w:rFonts w:ascii="宋体" w:hAnsi="宋体"/>
          <w:b/>
          <w:bCs/>
          <w:iCs/>
          <w:color w:val="000000"/>
          <w:sz w:val="32"/>
          <w:szCs w:val="32"/>
        </w:rPr>
        <w:t>股份有限公司</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sz w:val="24"/>
              </w:rPr>
            </w:pPr>
            <w:r>
              <w:rPr>
                <w:rFonts w:hint="eastAsia" w:ascii="宋体" w:hAnsi="宋体" w:cs="宋体"/>
                <w:sz w:val="24"/>
              </w:rPr>
              <w:t>投资者关系活动类别</w:t>
            </w:r>
          </w:p>
        </w:tc>
        <w:tc>
          <w:tcPr>
            <w:tcW w:w="7159"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 特定对象调研        □ 分析师会议</w:t>
            </w:r>
          </w:p>
          <w:p>
            <w:pPr>
              <w:rPr>
                <w:rFonts w:ascii="宋体" w:hAnsi="宋体" w:cs="宋体"/>
                <w:sz w:val="24"/>
              </w:rPr>
            </w:pPr>
            <w:r>
              <w:rPr>
                <w:rFonts w:hint="eastAsia" w:ascii="宋体" w:hAnsi="宋体" w:cs="宋体"/>
                <w:sz w:val="24"/>
              </w:rPr>
              <w:t>□ 媒体采访            □ 业绩说明会</w:t>
            </w:r>
          </w:p>
          <w:p>
            <w:pPr>
              <w:rPr>
                <w:rFonts w:ascii="宋体" w:hAnsi="宋体" w:cs="宋体"/>
                <w:sz w:val="24"/>
              </w:rPr>
            </w:pPr>
            <w:r>
              <w:rPr>
                <w:rFonts w:hint="eastAsia" w:ascii="宋体" w:hAnsi="宋体" w:cs="宋体"/>
                <w:sz w:val="24"/>
              </w:rPr>
              <w:t>□ 新闻发布会          □ 路演活动</w:t>
            </w:r>
          </w:p>
          <w:p>
            <w:pPr>
              <w:rPr>
                <w:rFonts w:ascii="宋体" w:hAnsi="宋体" w:cs="宋体"/>
                <w:sz w:val="24"/>
              </w:rPr>
            </w:pPr>
            <w:r>
              <w:rPr>
                <w:rFonts w:hint="eastAsia" w:ascii="宋体" w:hAnsi="宋体" w:cs="宋体"/>
                <w:sz w:val="24"/>
              </w:rPr>
              <w:t>√ 现场参观</w:t>
            </w:r>
            <w:r>
              <w:rPr>
                <w:rFonts w:hint="eastAsia" w:ascii="宋体" w:hAnsi="宋体" w:cs="宋体"/>
                <w:sz w:val="24"/>
              </w:rPr>
              <w:tab/>
            </w:r>
          </w:p>
          <w:p>
            <w:pPr>
              <w:rPr>
                <w:bCs/>
                <w:iCs/>
                <w:color w:val="000000"/>
                <w:sz w:val="24"/>
              </w:rPr>
            </w:pPr>
            <w:r>
              <w:rPr>
                <w:rFonts w:hint="eastAsia" w:ascii="宋体" w:hAnsi="宋体" w:cs="宋体"/>
                <w:sz w:val="24"/>
              </w:rPr>
              <w:t>√ 其他</w:t>
            </w:r>
            <w:r>
              <w:rPr>
                <w:rFonts w:hint="eastAsia" w:ascii="宋体" w:hAnsi="宋体" w:cs="宋体"/>
                <w:sz w:val="24"/>
                <w:u w:val="single"/>
              </w:rPr>
              <w:t xml:space="preserve">   线上会议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参与单位名称及人员姓名</w:t>
            </w:r>
          </w:p>
        </w:tc>
        <w:tc>
          <w:tcPr>
            <w:tcW w:w="7159" w:type="dxa"/>
            <w:tcBorders>
              <w:top w:val="single" w:color="auto" w:sz="4" w:space="0"/>
              <w:left w:val="single" w:color="auto" w:sz="4" w:space="0"/>
              <w:bottom w:val="single" w:color="auto" w:sz="4" w:space="0"/>
              <w:right w:val="single" w:color="auto" w:sz="4" w:space="0"/>
            </w:tcBorders>
            <w:vAlign w:val="center"/>
          </w:tcPr>
          <w:p>
            <w:pPr>
              <w:rPr>
                <w:bCs/>
                <w:iCs/>
                <w:color w:val="000000"/>
                <w:sz w:val="24"/>
              </w:rPr>
            </w:pPr>
            <w:r>
              <w:rPr>
                <w:rFonts w:hint="eastAsia" w:ascii="宋体" w:hAnsi="宋体" w:cs="宋体"/>
                <w:sz w:val="24"/>
              </w:rPr>
              <w:t>大成基金、永赢基金、圆信永丰基金、华福证券、首域盈信资产管理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时间</w:t>
            </w:r>
          </w:p>
        </w:tc>
        <w:tc>
          <w:tcPr>
            <w:tcW w:w="7159" w:type="dxa"/>
            <w:tcBorders>
              <w:top w:val="single" w:color="auto" w:sz="4" w:space="0"/>
              <w:left w:val="single" w:color="auto" w:sz="4" w:space="0"/>
              <w:bottom w:val="single" w:color="auto" w:sz="4" w:space="0"/>
              <w:right w:val="single" w:color="auto" w:sz="4" w:space="0"/>
            </w:tcBorders>
          </w:tcPr>
          <w:p>
            <w:pPr>
              <w:rPr>
                <w:bCs/>
                <w:iCs/>
                <w:color w:val="000000"/>
                <w:sz w:val="24"/>
              </w:rPr>
            </w:pPr>
            <w:r>
              <w:rPr>
                <w:rFonts w:hint="eastAsia" w:ascii="宋体" w:hAnsi="宋体" w:cs="宋体"/>
                <w:sz w:val="24"/>
              </w:rPr>
              <w:t>2025年1月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地点</w:t>
            </w:r>
          </w:p>
        </w:tc>
        <w:tc>
          <w:tcPr>
            <w:tcW w:w="7159" w:type="dxa"/>
            <w:tcBorders>
              <w:top w:val="single" w:color="auto" w:sz="4" w:space="0"/>
              <w:left w:val="single" w:color="auto" w:sz="4" w:space="0"/>
              <w:bottom w:val="single" w:color="auto" w:sz="4" w:space="0"/>
              <w:right w:val="single" w:color="auto" w:sz="4" w:space="0"/>
            </w:tcBorders>
          </w:tcPr>
          <w:p>
            <w:pPr>
              <w:rPr>
                <w:bCs/>
                <w:iCs/>
                <w:color w:val="000000"/>
                <w:sz w:val="24"/>
              </w:rPr>
            </w:pPr>
            <w:r>
              <w:rPr>
                <w:rFonts w:hint="eastAsia" w:ascii="宋体" w:hAnsi="宋体" w:cs="宋体"/>
                <w:sz w:val="24"/>
              </w:rPr>
              <w:t>青岛市市北区郑州路43号赛轮集团总部会议室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上市公司接待人员姓名</w:t>
            </w:r>
          </w:p>
        </w:tc>
        <w:tc>
          <w:tcPr>
            <w:tcW w:w="71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董事、董事会秘书 李吉庆</w:t>
            </w:r>
          </w:p>
          <w:p>
            <w:pPr>
              <w:rPr>
                <w:rFonts w:ascii="宋体" w:hAnsi="宋体" w:cs="宋体"/>
                <w:sz w:val="24"/>
              </w:rPr>
            </w:pPr>
            <w:r>
              <w:rPr>
                <w:rFonts w:hint="eastAsia" w:ascii="宋体" w:hAnsi="宋体" w:cs="宋体"/>
                <w:sz w:val="24"/>
              </w:rPr>
              <w:t>投资者关系主管 曲蕾</w:t>
            </w:r>
          </w:p>
          <w:p>
            <w:pPr>
              <w:rPr>
                <w:rFonts w:ascii="宋体" w:hAnsi="宋体"/>
                <w:bCs/>
                <w:sz w:val="24"/>
              </w:rPr>
            </w:pPr>
            <w:r>
              <w:rPr>
                <w:rFonts w:hint="eastAsia" w:ascii="宋体" w:hAnsi="宋体" w:cs="宋体"/>
                <w:sz w:val="24"/>
              </w:rPr>
              <w:t>监事会主席  闫凯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sz w:val="24"/>
              </w:rPr>
            </w:pPr>
            <w:r>
              <w:rPr>
                <w:rFonts w:hAnsi="宋体"/>
                <w:bCs/>
                <w:iCs/>
                <w:color w:val="000000"/>
                <w:kern w:val="0"/>
                <w:sz w:val="24"/>
              </w:rPr>
              <w:t>投资者关系活动主要内容介绍</w:t>
            </w:r>
          </w:p>
        </w:tc>
        <w:tc>
          <w:tcPr>
            <w:tcW w:w="7159" w:type="dxa"/>
            <w:tcBorders>
              <w:top w:val="single" w:color="auto" w:sz="4" w:space="0"/>
              <w:left w:val="single" w:color="auto" w:sz="4" w:space="0"/>
              <w:bottom w:val="single" w:color="auto" w:sz="4" w:space="0"/>
              <w:right w:val="single" w:color="auto" w:sz="4" w:space="0"/>
            </w:tcBorders>
          </w:tcPr>
          <w:p>
            <w:pPr>
              <w:pStyle w:val="13"/>
              <w:spacing w:line="460" w:lineRule="exact"/>
              <w:ind w:firstLine="482"/>
              <w:rPr>
                <w:rFonts w:ascii="宋体" w:hAnsi="宋体"/>
                <w:b/>
                <w:sz w:val="24"/>
              </w:rPr>
            </w:pPr>
            <w:r>
              <w:rPr>
                <w:rFonts w:hint="eastAsia" w:ascii="宋体" w:hAnsi="宋体"/>
                <w:b/>
                <w:sz w:val="24"/>
              </w:rPr>
              <w:t>投资者提出的问题及公司回复情况:</w:t>
            </w:r>
          </w:p>
          <w:p>
            <w:pPr>
              <w:pStyle w:val="13"/>
              <w:spacing w:line="460" w:lineRule="exact"/>
              <w:ind w:left="-2" w:leftChars="-1" w:firstLine="482"/>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美国新总统</w:t>
            </w:r>
            <w:r>
              <w:rPr>
                <w:rFonts w:hint="eastAsia" w:ascii="宋体" w:hAnsi="宋体"/>
                <w:b/>
                <w:bCs/>
                <w:sz w:val="24"/>
                <w:szCs w:val="24"/>
              </w:rPr>
              <w:t>上任，公司墨西哥工厂还会继续建设？</w:t>
            </w:r>
          </w:p>
          <w:p>
            <w:pPr>
              <w:pStyle w:val="13"/>
              <w:spacing w:line="460" w:lineRule="exact"/>
              <w:ind w:left="-2" w:leftChars="-1" w:firstLine="480"/>
              <w:rPr>
                <w:rFonts w:ascii="宋体" w:hAnsi="宋体"/>
                <w:sz w:val="24"/>
                <w:szCs w:val="24"/>
              </w:rPr>
            </w:pPr>
            <w:r>
              <w:rPr>
                <w:rFonts w:hint="eastAsia" w:ascii="宋体" w:hAnsi="宋体"/>
                <w:sz w:val="24"/>
                <w:szCs w:val="24"/>
              </w:rPr>
              <w:t>答：公司墨西哥工厂在建600万条半钢产能，目前正按计划建设中，且该工厂为公司与当地轮胎经销商的合资工厂。2025年公司墨西哥工厂投产后，将根</w:t>
            </w:r>
            <w:bookmarkStart w:id="0" w:name="_GoBack"/>
            <w:bookmarkEnd w:id="0"/>
            <w:r>
              <w:rPr>
                <w:rFonts w:hint="eastAsia" w:ascii="宋体" w:hAnsi="宋体"/>
                <w:sz w:val="24"/>
                <w:szCs w:val="24"/>
              </w:rPr>
              <w:t>据届时的关税政策，以及运输距离、产品需求等因素综合评判，确定相关产品销售区域。公司已在海外布局多个工厂，还将不断推进其他基地的选址、论证等工作，以不断提升公司的国际竞争力，通过海外布局有效分散可能的关税风险。</w:t>
            </w:r>
          </w:p>
          <w:p>
            <w:pPr>
              <w:pStyle w:val="13"/>
              <w:spacing w:line="460" w:lineRule="exact"/>
              <w:ind w:left="-2" w:leftChars="-1" w:firstLine="482"/>
              <w:rPr>
                <w:rFonts w:ascii="宋体" w:hAnsi="宋体"/>
                <w:b/>
                <w:bCs/>
                <w:sz w:val="24"/>
                <w:szCs w:val="24"/>
              </w:rPr>
            </w:pPr>
            <w:r>
              <w:rPr>
                <w:rFonts w:hint="eastAsia" w:ascii="宋体" w:hAnsi="宋体"/>
                <w:b/>
                <w:bCs/>
                <w:sz w:val="24"/>
                <w:szCs w:val="24"/>
              </w:rPr>
              <w:t>2</w:t>
            </w:r>
            <w:r>
              <w:rPr>
                <w:rFonts w:ascii="宋体" w:hAnsi="宋体"/>
                <w:b/>
                <w:bCs/>
                <w:sz w:val="24"/>
                <w:szCs w:val="24"/>
              </w:rPr>
              <w:t>、</w:t>
            </w:r>
            <w:r>
              <w:rPr>
                <w:rFonts w:hint="eastAsia" w:ascii="宋体" w:hAnsi="宋体"/>
                <w:b/>
                <w:bCs/>
                <w:sz w:val="24"/>
                <w:szCs w:val="24"/>
              </w:rPr>
              <w:t>墨西哥工厂投产时间</w:t>
            </w:r>
            <w:r>
              <w:rPr>
                <w:rFonts w:ascii="宋体" w:hAnsi="宋体"/>
                <w:b/>
                <w:bCs/>
                <w:sz w:val="24"/>
                <w:szCs w:val="24"/>
              </w:rPr>
              <w:t>？</w:t>
            </w:r>
          </w:p>
          <w:p>
            <w:pPr>
              <w:pStyle w:val="13"/>
              <w:spacing w:line="460" w:lineRule="exact"/>
              <w:ind w:left="-2" w:leftChars="-1" w:firstLine="480"/>
              <w:rPr>
                <w:rFonts w:ascii="宋体" w:hAnsi="宋体"/>
                <w:sz w:val="24"/>
                <w:szCs w:val="24"/>
              </w:rPr>
            </w:pPr>
            <w:r>
              <w:rPr>
                <w:rFonts w:hint="eastAsia" w:ascii="宋体" w:hAnsi="宋体"/>
                <w:sz w:val="24"/>
                <w:szCs w:val="24"/>
              </w:rPr>
              <w:t>答：公司墨西哥工厂已于2</w:t>
            </w:r>
            <w:r>
              <w:rPr>
                <w:rFonts w:ascii="宋体" w:hAnsi="宋体"/>
                <w:sz w:val="24"/>
                <w:szCs w:val="24"/>
              </w:rPr>
              <w:t>4</w:t>
            </w:r>
            <w:r>
              <w:rPr>
                <w:rFonts w:hint="eastAsia" w:ascii="宋体" w:hAnsi="宋体"/>
                <w:sz w:val="24"/>
                <w:szCs w:val="24"/>
              </w:rPr>
              <w:t>年5月份奠基，根据项目推进计划，预计在2</w:t>
            </w:r>
            <w:r>
              <w:rPr>
                <w:rFonts w:ascii="宋体" w:hAnsi="宋体"/>
                <w:sz w:val="24"/>
                <w:szCs w:val="24"/>
              </w:rPr>
              <w:t>5</w:t>
            </w:r>
            <w:r>
              <w:rPr>
                <w:rFonts w:hint="eastAsia" w:ascii="宋体" w:hAnsi="宋体"/>
                <w:sz w:val="24"/>
                <w:szCs w:val="24"/>
              </w:rPr>
              <w:t>年上半年投产。</w:t>
            </w:r>
          </w:p>
          <w:p>
            <w:pPr>
              <w:pStyle w:val="13"/>
              <w:spacing w:line="460" w:lineRule="exact"/>
              <w:ind w:left="-2" w:leftChars="-1" w:firstLine="482"/>
              <w:rPr>
                <w:rFonts w:ascii="宋体" w:hAnsi="宋体"/>
                <w:b/>
                <w:bCs/>
                <w:sz w:val="24"/>
                <w:szCs w:val="24"/>
              </w:rPr>
            </w:pPr>
            <w:r>
              <w:rPr>
                <w:rFonts w:hint="eastAsia" w:ascii="宋体" w:hAnsi="宋体"/>
                <w:b/>
                <w:bCs/>
                <w:sz w:val="24"/>
                <w:szCs w:val="24"/>
              </w:rPr>
              <w:t>3、原材料价格还有上涨趋势，公司是否会在2025年提价？</w:t>
            </w:r>
          </w:p>
          <w:p>
            <w:pPr>
              <w:pStyle w:val="13"/>
              <w:spacing w:line="460" w:lineRule="exact"/>
              <w:ind w:left="-2" w:leftChars="-1" w:firstLine="480"/>
              <w:rPr>
                <w:rFonts w:ascii="宋体" w:hAnsi="宋体"/>
                <w:sz w:val="24"/>
                <w:szCs w:val="24"/>
              </w:rPr>
            </w:pPr>
            <w:r>
              <w:rPr>
                <w:rFonts w:hint="eastAsia" w:ascii="宋体" w:hAnsi="宋体"/>
                <w:sz w:val="24"/>
                <w:szCs w:val="24"/>
              </w:rPr>
              <w:t>答：如原材料价格持续大幅上涨，将增加公司生产成本。公司日常会根据原材料价格波动、市场战略等因素进行产品价格调整。针对原材料价格波动，公司会结合各类原材料的市场情况以及需求计划制定具体采购策略，以尽量降低因原材料价格上升而对公司带来的不利影响。另外，公司将围绕公司战略，持续推进全球化战略，不断加强技术研发与品牌推广力度，进而提升公司产品盈利能力。</w:t>
            </w:r>
          </w:p>
          <w:p>
            <w:pPr>
              <w:pStyle w:val="13"/>
              <w:spacing w:line="460" w:lineRule="exact"/>
              <w:ind w:left="-2" w:leftChars="-1" w:firstLine="482"/>
              <w:rPr>
                <w:rFonts w:ascii="宋体" w:hAnsi="宋体"/>
                <w:b/>
                <w:bCs/>
                <w:sz w:val="24"/>
                <w:szCs w:val="24"/>
              </w:rPr>
            </w:pPr>
            <w:r>
              <w:rPr>
                <w:rFonts w:hint="eastAsia" w:ascii="宋体" w:hAnsi="宋体"/>
                <w:b/>
                <w:bCs/>
                <w:sz w:val="24"/>
                <w:szCs w:val="24"/>
              </w:rPr>
              <w:t>4、2025年公司在销售费用的支出有何规划？</w:t>
            </w:r>
          </w:p>
          <w:p>
            <w:pPr>
              <w:pStyle w:val="13"/>
              <w:spacing w:line="460" w:lineRule="exact"/>
              <w:ind w:left="-2" w:leftChars="-1" w:firstLine="480"/>
              <w:rPr>
                <w:rFonts w:ascii="宋体" w:hAnsi="宋体"/>
                <w:sz w:val="24"/>
                <w:szCs w:val="24"/>
              </w:rPr>
            </w:pPr>
            <w:r>
              <w:rPr>
                <w:rFonts w:hint="eastAsia" w:ascii="宋体" w:hAnsi="宋体"/>
                <w:sz w:val="24"/>
                <w:szCs w:val="24"/>
              </w:rPr>
              <w:t>答：公司2024年前三季度公司销售费用增长主要是人工及宣传费用增加所致，且销售费用占营业收入比例环比有所下降。根据公司市场推广战略，公司近几年加大了宣传力度，对提升品牌形象及促进产品销售发挥了重要作用。公司通过媒体投放、参与国际展会、赞助体育赛事等方式赋能品牌建设，提升品牌价值，并持续加大在主流媒体平台上的品牌宣传投放力度，围绕热点体育赛事、节庆活动等提升公司品牌的知名度。公司通过冠名凤凰卫视黄金档新闻栏目；在全国两会、欧洲杯、巴黎奥运会期间，通过央视相关频道播放公司宣传片；联合中央广播电视总台推出《国潮赛轮“金”彩绽放》特别直播节目；联合小红书官方推出“City青岛Walk一夏”活动等多种宣传活动形式，提升公司品牌的市场认知度与影响力。</w:t>
            </w:r>
          </w:p>
          <w:p>
            <w:pPr>
              <w:pStyle w:val="13"/>
              <w:spacing w:line="460" w:lineRule="exact"/>
              <w:ind w:left="-2" w:leftChars="-1" w:firstLine="482"/>
              <w:rPr>
                <w:rFonts w:ascii="宋体" w:hAnsi="宋体"/>
                <w:b/>
                <w:bCs/>
                <w:sz w:val="24"/>
                <w:szCs w:val="24"/>
              </w:rPr>
            </w:pPr>
            <w:r>
              <w:rPr>
                <w:rFonts w:hint="eastAsia" w:ascii="宋体" w:hAnsi="宋体"/>
                <w:b/>
                <w:bCs/>
                <w:sz w:val="24"/>
                <w:szCs w:val="24"/>
              </w:rPr>
              <w:t>5、公司未来现金分红会考虑每年多次分红吗？</w:t>
            </w:r>
          </w:p>
          <w:p>
            <w:pPr>
              <w:pStyle w:val="13"/>
              <w:spacing w:line="460" w:lineRule="exact"/>
              <w:ind w:left="-2" w:leftChars="-1" w:firstLine="480"/>
              <w:rPr>
                <w:rFonts w:ascii="宋体" w:hAnsi="宋体"/>
                <w:sz w:val="24"/>
                <w:szCs w:val="24"/>
              </w:rPr>
            </w:pPr>
            <w:r>
              <w:rPr>
                <w:rFonts w:hint="eastAsia" w:ascii="宋体" w:hAnsi="宋体"/>
                <w:sz w:val="24"/>
                <w:szCs w:val="24"/>
              </w:rPr>
              <w:t>答：公司一直重视对投资者的回报，上市以来每年均进行现金红利分配，2</w:t>
            </w:r>
            <w:r>
              <w:rPr>
                <w:rFonts w:ascii="宋体" w:hAnsi="宋体"/>
                <w:sz w:val="24"/>
                <w:szCs w:val="24"/>
              </w:rPr>
              <w:t>4</w:t>
            </w:r>
            <w:r>
              <w:rPr>
                <w:rFonts w:hint="eastAsia" w:ascii="宋体" w:hAnsi="宋体"/>
                <w:sz w:val="24"/>
                <w:szCs w:val="24"/>
              </w:rPr>
              <w:t>年前三季度，公司推出并实施了中期现金分配方案。未来，公司将尽力做好生产经营，不断提升公司盈利能力和竞争力，并严格按照《公司章程》《股东回报规划》等要求，结合公司实际情况提出让广大投资者满意的利润分配方案。</w:t>
            </w:r>
          </w:p>
          <w:p>
            <w:pPr>
              <w:pStyle w:val="13"/>
              <w:spacing w:line="460" w:lineRule="exact"/>
              <w:ind w:left="-2" w:leftChars="-1" w:firstLine="482"/>
              <w:rPr>
                <w:rFonts w:ascii="宋体" w:hAnsi="宋体"/>
                <w:b/>
                <w:bCs/>
                <w:sz w:val="24"/>
                <w:szCs w:val="24"/>
              </w:rPr>
            </w:pPr>
            <w:r>
              <w:rPr>
                <w:rFonts w:hint="eastAsia" w:ascii="宋体" w:hAnsi="宋体"/>
                <w:b/>
                <w:bCs/>
                <w:sz w:val="24"/>
                <w:szCs w:val="24"/>
              </w:rPr>
              <w:t>6、海外非公路轮胎市场需求是否有变化？</w:t>
            </w:r>
          </w:p>
          <w:p>
            <w:pPr>
              <w:pStyle w:val="13"/>
              <w:spacing w:line="460" w:lineRule="exact"/>
              <w:ind w:left="-2" w:leftChars="-1" w:firstLine="480"/>
              <w:rPr>
                <w:rFonts w:ascii="宋体" w:hAnsi="宋体"/>
                <w:sz w:val="24"/>
                <w:szCs w:val="24"/>
              </w:rPr>
            </w:pPr>
            <w:r>
              <w:rPr>
                <w:rFonts w:hint="eastAsia" w:ascii="宋体" w:hAnsi="宋体"/>
                <w:sz w:val="24"/>
                <w:szCs w:val="24"/>
              </w:rPr>
              <w:t>答：公司非公路轮胎的产能在逐步的释放，2</w:t>
            </w:r>
            <w:r>
              <w:rPr>
                <w:rFonts w:ascii="宋体" w:hAnsi="宋体"/>
                <w:sz w:val="24"/>
                <w:szCs w:val="24"/>
              </w:rPr>
              <w:t>4</w:t>
            </w:r>
            <w:r>
              <w:rPr>
                <w:rFonts w:hint="eastAsia" w:ascii="宋体" w:hAnsi="宋体"/>
                <w:sz w:val="24"/>
                <w:szCs w:val="24"/>
              </w:rPr>
              <w:t>年前三季度产销量、收入均同比实现增长。</w:t>
            </w:r>
          </w:p>
          <w:p>
            <w:pPr>
              <w:pStyle w:val="13"/>
              <w:spacing w:line="460" w:lineRule="exact"/>
              <w:ind w:left="-2" w:leftChars="-1" w:firstLine="482"/>
              <w:rPr>
                <w:rFonts w:ascii="宋体" w:hAnsi="宋体"/>
                <w:b/>
                <w:bCs/>
                <w:sz w:val="24"/>
                <w:szCs w:val="24"/>
              </w:rPr>
            </w:pPr>
            <w:r>
              <w:rPr>
                <w:rFonts w:hint="eastAsia" w:ascii="宋体" w:hAnsi="宋体"/>
                <w:b/>
                <w:bCs/>
                <w:sz w:val="24"/>
                <w:szCs w:val="24"/>
              </w:rPr>
              <w:t>7、实控人目前增持的进度？</w:t>
            </w:r>
          </w:p>
          <w:p>
            <w:pPr>
              <w:pStyle w:val="13"/>
              <w:spacing w:line="460" w:lineRule="exact"/>
              <w:ind w:left="-2" w:leftChars="-1" w:firstLine="480"/>
              <w:rPr>
                <w:rFonts w:hint="default" w:ascii="宋体" w:hAnsi="宋体" w:eastAsia="宋体"/>
                <w:sz w:val="24"/>
                <w:szCs w:val="24"/>
                <w:lang w:val="en-US" w:eastAsia="zh-CN"/>
              </w:rPr>
            </w:pPr>
            <w:r>
              <w:rPr>
                <w:rFonts w:hint="eastAsia" w:ascii="宋体" w:hAnsi="宋体"/>
                <w:sz w:val="24"/>
                <w:szCs w:val="24"/>
              </w:rPr>
              <w:t>答：公司实控人的一致行动人瑞元鼎实投资有限公司拟自2024年11月12日起6个月内，通过集中竞价交易方式增持公司股份，增持资金总额不低于人民币5亿元（含），不超过人民币10亿元（含）。目前，增持计划正在实施中</w:t>
            </w:r>
            <w:r>
              <w:rPr>
                <w:rFonts w:hint="eastAsia" w:ascii="宋体" w:hAnsi="宋体"/>
                <w:sz w:val="24"/>
                <w:szCs w:val="24"/>
                <w:lang w:eastAsia="zh-CN"/>
              </w:rPr>
              <w:t>，</w:t>
            </w:r>
            <w:r>
              <w:rPr>
                <w:rFonts w:hint="eastAsia" w:ascii="宋体" w:hAnsi="宋体"/>
                <w:sz w:val="24"/>
                <w:szCs w:val="24"/>
                <w:lang w:val="en-US" w:eastAsia="zh-CN"/>
              </w:rPr>
              <w:t>公司将根据监管要求，及时披露增持进展。</w:t>
            </w:r>
          </w:p>
          <w:p>
            <w:pPr>
              <w:pStyle w:val="13"/>
              <w:spacing w:line="460" w:lineRule="exact"/>
              <w:ind w:left="418" w:leftChars="199" w:firstLine="0" w:firstLineChars="0"/>
              <w:rPr>
                <w:rFonts w:ascii="宋体" w:hAnsi="宋体"/>
                <w:b/>
                <w:bCs/>
                <w:sz w:val="24"/>
                <w:szCs w:val="24"/>
              </w:rPr>
            </w:pPr>
            <w:r>
              <w:rPr>
                <w:rFonts w:hint="eastAsia" w:ascii="宋体" w:hAnsi="宋体"/>
                <w:b/>
                <w:bCs/>
                <w:sz w:val="24"/>
                <w:szCs w:val="24"/>
              </w:rPr>
              <w:t>8、公司目前是否进入到高端品牌的配套体系？</w:t>
            </w:r>
          </w:p>
          <w:p>
            <w:pPr>
              <w:pStyle w:val="13"/>
              <w:spacing w:line="460" w:lineRule="exact"/>
              <w:ind w:left="-2" w:leftChars="-1" w:firstLine="480"/>
              <w:rPr>
                <w:rFonts w:ascii="宋体" w:hAnsi="宋体"/>
                <w:sz w:val="24"/>
                <w:szCs w:val="24"/>
              </w:rPr>
            </w:pPr>
            <w:r>
              <w:rPr>
                <w:rFonts w:hint="eastAsia" w:ascii="宋体" w:hAnsi="宋体"/>
                <w:sz w:val="24"/>
                <w:szCs w:val="24"/>
              </w:rPr>
              <w:t>答：公司已为多家卡车、轿车、工程机械生产厂家配套全钢、半钢和非公路轮胎产品，公司全钢和半钢轮胎产品已进入比亚迪、奇瑞、吉利、长安、蔚来、一汽大众、北汽、越南Vinfast、依维柯、中国重汽、宇通客车、三一重工、东风汽车等国内外汽车企业供应商名录。公司非公路轮胎产品已成功配套卡特彼勒、约翰迪尔、凯斯纽荷兰、英国JCB、中国一拖、三一重工、同力重工、徐工集团、雷沃重工、山东临工、道依茨法尔、重汽、北方股份、中联重科、柳工、山推等国内外知名企业。未来，公司将凭借优异的产品性能及良好的服务持续推进与相关车企的合作。</w:t>
            </w:r>
          </w:p>
          <w:p>
            <w:pPr>
              <w:pStyle w:val="13"/>
              <w:spacing w:line="460" w:lineRule="exact"/>
              <w:ind w:left="-2" w:leftChars="-1" w:firstLine="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kern w:val="0"/>
                <w:sz w:val="24"/>
              </w:rPr>
            </w:pPr>
            <w:r>
              <w:rPr>
                <w:rFonts w:hAnsi="宋体"/>
                <w:bCs/>
                <w:iCs/>
                <w:color w:val="000000"/>
                <w:kern w:val="0"/>
                <w:sz w:val="24"/>
              </w:rPr>
              <w:t>附件清单（如有）</w:t>
            </w:r>
          </w:p>
        </w:tc>
        <w:tc>
          <w:tcPr>
            <w:tcW w:w="7159"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rFonts w:hint="eastAsia"/>
                <w:bCs/>
                <w:iCs/>
                <w:color w:val="000000"/>
                <w:sz w:val="24"/>
              </w:rPr>
              <w:t>无</w:t>
            </w:r>
          </w:p>
        </w:tc>
      </w:tr>
    </w:tbl>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514AB"/>
    <w:rsid w:val="00164F36"/>
    <w:rsid w:val="0016617A"/>
    <w:rsid w:val="00167E99"/>
    <w:rsid w:val="0017500C"/>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0810"/>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D5E38"/>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13D3"/>
    <w:rsid w:val="00473F30"/>
    <w:rsid w:val="0048591A"/>
    <w:rsid w:val="00486D86"/>
    <w:rsid w:val="0048721A"/>
    <w:rsid w:val="004A0BD5"/>
    <w:rsid w:val="004A1BBF"/>
    <w:rsid w:val="004A73E5"/>
    <w:rsid w:val="004C19BF"/>
    <w:rsid w:val="004D7640"/>
    <w:rsid w:val="004E1A9B"/>
    <w:rsid w:val="00500AB6"/>
    <w:rsid w:val="005155FB"/>
    <w:rsid w:val="00523907"/>
    <w:rsid w:val="00533D7F"/>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17A62"/>
    <w:rsid w:val="00622F13"/>
    <w:rsid w:val="00625503"/>
    <w:rsid w:val="0062662D"/>
    <w:rsid w:val="00632E78"/>
    <w:rsid w:val="006344F1"/>
    <w:rsid w:val="00637186"/>
    <w:rsid w:val="00641810"/>
    <w:rsid w:val="00645D80"/>
    <w:rsid w:val="00646DF4"/>
    <w:rsid w:val="00651DE6"/>
    <w:rsid w:val="006523BB"/>
    <w:rsid w:val="00652928"/>
    <w:rsid w:val="0065347E"/>
    <w:rsid w:val="00654B49"/>
    <w:rsid w:val="00662505"/>
    <w:rsid w:val="00664538"/>
    <w:rsid w:val="0066674C"/>
    <w:rsid w:val="006760F7"/>
    <w:rsid w:val="006861C7"/>
    <w:rsid w:val="00686DDF"/>
    <w:rsid w:val="00697B12"/>
    <w:rsid w:val="006A55BB"/>
    <w:rsid w:val="006A7613"/>
    <w:rsid w:val="006B661A"/>
    <w:rsid w:val="006B7D00"/>
    <w:rsid w:val="006C6BC5"/>
    <w:rsid w:val="006D61A2"/>
    <w:rsid w:val="006E1DB4"/>
    <w:rsid w:val="00726DC9"/>
    <w:rsid w:val="00753DB6"/>
    <w:rsid w:val="00763847"/>
    <w:rsid w:val="00771FE3"/>
    <w:rsid w:val="00776BDE"/>
    <w:rsid w:val="007816EC"/>
    <w:rsid w:val="00786870"/>
    <w:rsid w:val="00792237"/>
    <w:rsid w:val="0079272A"/>
    <w:rsid w:val="007A1DA9"/>
    <w:rsid w:val="007B2252"/>
    <w:rsid w:val="007B79D9"/>
    <w:rsid w:val="007C67B1"/>
    <w:rsid w:val="007D3272"/>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93108"/>
    <w:rsid w:val="008A0ADC"/>
    <w:rsid w:val="008A1BAB"/>
    <w:rsid w:val="008B38B7"/>
    <w:rsid w:val="008B458E"/>
    <w:rsid w:val="008C4D4A"/>
    <w:rsid w:val="008D14CC"/>
    <w:rsid w:val="008E11AE"/>
    <w:rsid w:val="008E1708"/>
    <w:rsid w:val="008E1E3A"/>
    <w:rsid w:val="008E4844"/>
    <w:rsid w:val="00904492"/>
    <w:rsid w:val="00904DFB"/>
    <w:rsid w:val="0091457B"/>
    <w:rsid w:val="00923763"/>
    <w:rsid w:val="00930ED6"/>
    <w:rsid w:val="0093293F"/>
    <w:rsid w:val="00933105"/>
    <w:rsid w:val="009474EF"/>
    <w:rsid w:val="00962626"/>
    <w:rsid w:val="00975657"/>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3668F"/>
    <w:rsid w:val="00A43D62"/>
    <w:rsid w:val="00A461CD"/>
    <w:rsid w:val="00A469C5"/>
    <w:rsid w:val="00A5317D"/>
    <w:rsid w:val="00A6284E"/>
    <w:rsid w:val="00A63E81"/>
    <w:rsid w:val="00A8775A"/>
    <w:rsid w:val="00AA5998"/>
    <w:rsid w:val="00AB07E7"/>
    <w:rsid w:val="00AD1BA8"/>
    <w:rsid w:val="00AE49A4"/>
    <w:rsid w:val="00B02A29"/>
    <w:rsid w:val="00B03522"/>
    <w:rsid w:val="00B04AD6"/>
    <w:rsid w:val="00B14CAA"/>
    <w:rsid w:val="00B257CE"/>
    <w:rsid w:val="00B377C1"/>
    <w:rsid w:val="00B4746C"/>
    <w:rsid w:val="00B65354"/>
    <w:rsid w:val="00B71A0E"/>
    <w:rsid w:val="00B80C24"/>
    <w:rsid w:val="00B81765"/>
    <w:rsid w:val="00B832F5"/>
    <w:rsid w:val="00BA2FAB"/>
    <w:rsid w:val="00BB5E28"/>
    <w:rsid w:val="00BC7AD1"/>
    <w:rsid w:val="00BD15F3"/>
    <w:rsid w:val="00BD7986"/>
    <w:rsid w:val="00BD79D3"/>
    <w:rsid w:val="00C04F82"/>
    <w:rsid w:val="00C15AC0"/>
    <w:rsid w:val="00C26030"/>
    <w:rsid w:val="00C41091"/>
    <w:rsid w:val="00C45222"/>
    <w:rsid w:val="00C63056"/>
    <w:rsid w:val="00C661D1"/>
    <w:rsid w:val="00C73E0A"/>
    <w:rsid w:val="00C775BA"/>
    <w:rsid w:val="00C85331"/>
    <w:rsid w:val="00C85A50"/>
    <w:rsid w:val="00C94D46"/>
    <w:rsid w:val="00CA443A"/>
    <w:rsid w:val="00CB2461"/>
    <w:rsid w:val="00CB37FD"/>
    <w:rsid w:val="00CC4D65"/>
    <w:rsid w:val="00CC61E7"/>
    <w:rsid w:val="00CD25AD"/>
    <w:rsid w:val="00CD3FFC"/>
    <w:rsid w:val="00CF565C"/>
    <w:rsid w:val="00D016A3"/>
    <w:rsid w:val="00D31004"/>
    <w:rsid w:val="00D512E3"/>
    <w:rsid w:val="00D602C9"/>
    <w:rsid w:val="00DA26A9"/>
    <w:rsid w:val="00DB01FF"/>
    <w:rsid w:val="00DC7778"/>
    <w:rsid w:val="00DE7391"/>
    <w:rsid w:val="00DF2DB5"/>
    <w:rsid w:val="00DF6560"/>
    <w:rsid w:val="00E04CC0"/>
    <w:rsid w:val="00E136FF"/>
    <w:rsid w:val="00E32528"/>
    <w:rsid w:val="00E35F26"/>
    <w:rsid w:val="00E51C50"/>
    <w:rsid w:val="00E53165"/>
    <w:rsid w:val="00E61EF7"/>
    <w:rsid w:val="00E663B4"/>
    <w:rsid w:val="00E80CEB"/>
    <w:rsid w:val="00E971F4"/>
    <w:rsid w:val="00EA5103"/>
    <w:rsid w:val="00EA6FB9"/>
    <w:rsid w:val="00EB5E6A"/>
    <w:rsid w:val="00EC2AD7"/>
    <w:rsid w:val="00ED7DE0"/>
    <w:rsid w:val="00EE3956"/>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5F30D52"/>
    <w:rsid w:val="08964C8B"/>
    <w:rsid w:val="08E5231F"/>
    <w:rsid w:val="0C493B9B"/>
    <w:rsid w:val="10A61842"/>
    <w:rsid w:val="141B6967"/>
    <w:rsid w:val="1B2418A5"/>
    <w:rsid w:val="1FBFC074"/>
    <w:rsid w:val="24E80350"/>
    <w:rsid w:val="27E94D39"/>
    <w:rsid w:val="2C253D8E"/>
    <w:rsid w:val="32CC663E"/>
    <w:rsid w:val="34FD33C1"/>
    <w:rsid w:val="35B61405"/>
    <w:rsid w:val="36FB9E1F"/>
    <w:rsid w:val="3BFA3B96"/>
    <w:rsid w:val="3CEF3472"/>
    <w:rsid w:val="3EFF16E9"/>
    <w:rsid w:val="419210A2"/>
    <w:rsid w:val="43FB5176"/>
    <w:rsid w:val="448156A1"/>
    <w:rsid w:val="450A4511"/>
    <w:rsid w:val="490B575C"/>
    <w:rsid w:val="4E2F3499"/>
    <w:rsid w:val="4F9323C9"/>
    <w:rsid w:val="57E4165B"/>
    <w:rsid w:val="581157B6"/>
    <w:rsid w:val="5D3A0B7D"/>
    <w:rsid w:val="5D464695"/>
    <w:rsid w:val="657E5B22"/>
    <w:rsid w:val="66AA5270"/>
    <w:rsid w:val="6ADE0725"/>
    <w:rsid w:val="6BFA733C"/>
    <w:rsid w:val="6E072310"/>
    <w:rsid w:val="718D24AC"/>
    <w:rsid w:val="74E03D43"/>
    <w:rsid w:val="77CF73AC"/>
    <w:rsid w:val="78FF0116"/>
    <w:rsid w:val="7C656439"/>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annotation subject"/>
    <w:basedOn w:val="2"/>
    <w:next w:val="2"/>
    <w:link w:val="21"/>
    <w:semiHidden/>
    <w:unhideWhenUsed/>
    <w:qFormat/>
    <w:uiPriority w:val="0"/>
    <w:rPr>
      <w:b/>
      <w:bCs/>
    </w:rPr>
  </w:style>
  <w:style w:type="character" w:styleId="10">
    <w:name w:val="FollowedHyperlink"/>
    <w:basedOn w:val="9"/>
    <w:semiHidden/>
    <w:unhideWhenUsed/>
    <w:qFormat/>
    <w:uiPriority w:val="0"/>
    <w:rPr>
      <w:color w:val="800080" w:themeColor="followedHyperlink"/>
      <w:u w:val="single"/>
      <w14:textFill>
        <w14:solidFill>
          <w14:schemeClr w14:val="folHlink"/>
        </w14:solidFill>
      </w14:textFill>
    </w:rPr>
  </w:style>
  <w:style w:type="character" w:styleId="11">
    <w:name w:val="Hyperlink"/>
    <w:basedOn w:val="9"/>
    <w:unhideWhenUsed/>
    <w:qFormat/>
    <w:uiPriority w:val="0"/>
    <w:rPr>
      <w:color w:val="0000FF" w:themeColor="hyperlink"/>
      <w:u w:val="single"/>
      <w14:textFill>
        <w14:solidFill>
          <w14:schemeClr w14:val="hlink"/>
        </w14:solidFill>
      </w14:textFill>
    </w:rPr>
  </w:style>
  <w:style w:type="character" w:styleId="12">
    <w:name w:val="annotation reference"/>
    <w:basedOn w:val="9"/>
    <w:semiHidden/>
    <w:unhideWhenUsed/>
    <w:qFormat/>
    <w:uiPriority w:val="0"/>
    <w:rPr>
      <w:sz w:val="21"/>
      <w:szCs w:val="21"/>
    </w:rPr>
  </w:style>
  <w:style w:type="paragraph" w:customStyle="1" w:styleId="13">
    <w:name w:val="_Style 6"/>
    <w:basedOn w:val="1"/>
    <w:qFormat/>
    <w:uiPriority w:val="34"/>
    <w:pPr>
      <w:ind w:firstLine="420" w:firstLineChars="200"/>
    </w:pPr>
    <w:rPr>
      <w:rFonts w:ascii="Calibri" w:hAnsi="Calibri"/>
      <w:szCs w:val="22"/>
    </w:rPr>
  </w:style>
  <w:style w:type="paragraph" w:customStyle="1" w:styleId="14">
    <w:name w:val="Char Char Char"/>
    <w:basedOn w:val="1"/>
    <w:qFormat/>
    <w:uiPriority w:val="0"/>
    <w:rPr>
      <w:szCs w:val="21"/>
    </w:rPr>
  </w:style>
  <w:style w:type="paragraph" w:customStyle="1" w:styleId="15">
    <w:name w:val="Char Char Char Char Char Char Char Char Char Char Char Char Char Char Char Char"/>
    <w:basedOn w:val="1"/>
    <w:qFormat/>
    <w:uiPriority w:val="0"/>
  </w:style>
  <w:style w:type="paragraph" w:customStyle="1" w:styleId="16">
    <w:name w:val="Char Char Char1"/>
    <w:basedOn w:val="1"/>
    <w:qFormat/>
    <w:uiPriority w:val="0"/>
  </w:style>
  <w:style w:type="character" w:customStyle="1" w:styleId="17">
    <w:name w:val="页脚 字符"/>
    <w:basedOn w:val="9"/>
    <w:link w:val="4"/>
    <w:qFormat/>
    <w:uiPriority w:val="0"/>
    <w:rPr>
      <w:kern w:val="2"/>
      <w:sz w:val="18"/>
      <w:szCs w:val="18"/>
    </w:rPr>
  </w:style>
  <w:style w:type="character" w:customStyle="1" w:styleId="18">
    <w:name w:val="页眉 字符"/>
    <w:basedOn w:val="9"/>
    <w:link w:val="5"/>
    <w:qFormat/>
    <w:uiPriority w:val="0"/>
    <w:rPr>
      <w:kern w:val="2"/>
      <w:sz w:val="18"/>
      <w:szCs w:val="18"/>
    </w:rPr>
  </w:style>
  <w:style w:type="character" w:customStyle="1" w:styleId="19">
    <w:name w:val="批注框文本 字符"/>
    <w:basedOn w:val="9"/>
    <w:link w:val="3"/>
    <w:qFormat/>
    <w:uiPriority w:val="0"/>
    <w:rPr>
      <w:kern w:val="2"/>
      <w:sz w:val="18"/>
      <w:szCs w:val="18"/>
    </w:rPr>
  </w:style>
  <w:style w:type="character" w:customStyle="1" w:styleId="20">
    <w:name w:val="批注文字 字符"/>
    <w:basedOn w:val="9"/>
    <w:link w:val="2"/>
    <w:semiHidden/>
    <w:qFormat/>
    <w:uiPriority w:val="0"/>
    <w:rPr>
      <w:kern w:val="2"/>
      <w:sz w:val="21"/>
      <w:szCs w:val="24"/>
    </w:rPr>
  </w:style>
  <w:style w:type="character" w:customStyle="1" w:styleId="21">
    <w:name w:val="批注主题 字符"/>
    <w:basedOn w:val="20"/>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269</Words>
  <Characters>1537</Characters>
  <Lines>12</Lines>
  <Paragraphs>3</Paragraphs>
  <TotalTime>13</TotalTime>
  <ScaleCrop>false</ScaleCrop>
  <LinksUpToDate>false</LinksUpToDate>
  <CharactersWithSpaces>1803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2025-01-21T03:58:00Z</dcterms:created>
  <dc:creator>微软用户</dc:creator>
  <cp:lastModifiedBy>Qlei</cp:lastModifiedBy>
  <cp:lastPrinted>2014-02-21T05:34:00Z</cp:lastPrinted>
  <dcterms:modified xsi:type="dcterms:W3CDTF">2025-01-21T05:28:53Z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3378DF92D5494EA79182626F58817F75</vt:lpwstr>
  </property>
</Properties>
</file>