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ind w:right="240"/>
        <w:jc w:val="right"/>
        <w:rPr>
          <w:bCs/>
          <w:iCs/>
          <w:color w:val="000000"/>
          <w:sz w:val="24"/>
        </w:rPr>
      </w:pPr>
      <w:bookmarkStart w:id="0" w:name="_GoBack"/>
      <w:bookmarkEnd w:id="0"/>
      <w:r>
        <w:rPr>
          <w:bCs/>
          <w:iCs/>
          <w:color w:val="000000"/>
          <w:sz w:val="24"/>
        </w:rPr>
        <w:t xml:space="preserve">证券代码：688362                                 证券简称：甬矽电子    </w:t>
      </w:r>
    </w:p>
    <w:p>
      <w:pPr>
        <w:spacing w:line="360" w:lineRule="auto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sz w:val="28"/>
        </w:rPr>
        <w:t>甬矽电子（宁波）</w:t>
      </w:r>
      <w:r>
        <w:rPr>
          <w:b/>
          <w:bCs/>
          <w:iCs/>
          <w:color w:val="000000"/>
          <w:sz w:val="28"/>
        </w:rPr>
        <w:t>股份有限公司投资者关系活动记录表</w:t>
      </w:r>
    </w:p>
    <w:p>
      <w:pPr>
        <w:spacing w:line="400" w:lineRule="exact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编号：202</w:t>
      </w:r>
      <w:r>
        <w:rPr>
          <w:rFonts w:hint="eastAsia"/>
          <w:bCs/>
          <w:iCs/>
          <w:color w:val="000000"/>
          <w:sz w:val="24"/>
        </w:rPr>
        <w:t>5</w:t>
      </w:r>
      <w:r>
        <w:rPr>
          <w:bCs/>
          <w:iCs/>
          <w:color w:val="000000"/>
          <w:sz w:val="24"/>
        </w:rPr>
        <w:t>-0</w:t>
      </w:r>
      <w:r>
        <w:rPr>
          <w:rFonts w:hint="eastAsia"/>
          <w:bCs/>
          <w:iCs/>
          <w:color w:val="000000"/>
          <w:sz w:val="24"/>
        </w:rPr>
        <w:t>02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投资者关系活动类别</w:t>
            </w:r>
          </w:p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sz w:val="24"/>
              </w:rPr>
              <w:t xml:space="preserve">特定对象调研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分析师会议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媒体采访    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业绩说明会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新闻发布会  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sz w:val="24"/>
              </w:rPr>
              <w:t>现场参观</w:t>
            </w:r>
            <w:r>
              <w:rPr>
                <w:bCs/>
                <w:iCs/>
                <w:color w:val="00000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sz w:val="24"/>
              </w:rPr>
              <w:t>其他 （</w:t>
            </w:r>
            <w:r>
              <w:rPr>
                <w:sz w:val="24"/>
                <w:u w:val="single"/>
              </w:rPr>
              <w:t>电话会议）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ALLIANZ GLOBAL INVESTORS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BOYU CAPITAL INVESTMENT MANAGEMENT CO.,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COREVIEW CAPITAL MANAGEMENT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DYMON ASIA CAPITAL LTD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FENGHE FUND MANAGEMENT PTE LTD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FOUNTAINCAP RESEARCH &amp; INVESTMENT CO LTD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FULLERTON FUND MANAGEMENT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GOLDMAN SACHS ASSET MANAGEMENT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GRAND ALLIANCE ASSET MANAGEMENT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GREEN COURT CAPITAL MANAGEMENT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MILLENNIUM PARTNERS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NEUBERGER BERMAN ASIA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PINPOINT ASSET MANAGEMENT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PLEIAD INVESTMENT ADVISORS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POINT72 ASSET MANAGEMENT LP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POLYMER CAPITAL MANAGEMENT (HK)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SB SCHONFELD FUND ADVISORS LLC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SUMITOMO MITSUI DS ASSET MANAGEMENT COMPANY LIMITED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bCs/>
                <w:iCs/>
                <w:color w:val="000000"/>
                <w:sz w:val="24"/>
              </w:rPr>
              <w:t>UBS O'CONNOR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线上会议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董事会秘书、副总经理</w:t>
            </w:r>
            <w:r>
              <w:rPr>
                <w:bCs/>
                <w:iCs/>
                <w:color w:val="000000"/>
                <w:sz w:val="24"/>
              </w:rPr>
              <w:t>李大林先生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1、目前半导体及封测行业处于什么周期？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2022年下半年至2023年第三季度，半导体行业处于去库存状态，随着去库存周期结束，2024年许多客户业绩高速增长，公司2024年营收也逐季度增加。目前去库存周期已经结束，处于正常状态，随着AI迅速发展，未来半导体下游应用场景</w:t>
            </w:r>
            <w:r>
              <w:rPr>
                <w:rFonts w:hint="eastAsia"/>
                <w:sz w:val="24"/>
                <w:lang w:val="en-US" w:eastAsia="zh-CN"/>
              </w:rPr>
              <w:t>在不断</w:t>
            </w:r>
            <w:r>
              <w:rPr>
                <w:rFonts w:hint="eastAsia"/>
                <w:sz w:val="24"/>
              </w:rPr>
              <w:t>拓宽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对半导体产业链</w:t>
            </w:r>
            <w:r>
              <w:rPr>
                <w:rFonts w:hint="eastAsia"/>
                <w:sz w:val="24"/>
                <w:lang w:val="en-US" w:eastAsia="zh-CN"/>
              </w:rPr>
              <w:t>的需求也存在较大的提升空间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2、海内外客户结构情况？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目前公司以国内SoC类客户以及IoT领域的客户为主；海外客户方面，2024年</w:t>
            </w:r>
            <w:r>
              <w:rPr>
                <w:rFonts w:hint="eastAsia"/>
                <w:sz w:val="24"/>
                <w:lang w:val="en-US" w:eastAsia="zh-CN"/>
              </w:rPr>
              <w:t>海外客户营收占比提升明显，</w:t>
            </w:r>
            <w:r>
              <w:rPr>
                <w:rFonts w:hint="eastAsia"/>
                <w:sz w:val="24"/>
              </w:rPr>
              <w:t>有两家</w:t>
            </w:r>
            <w:r>
              <w:rPr>
                <w:rFonts w:hint="eastAsia"/>
                <w:sz w:val="24"/>
                <w:lang w:val="en-US" w:eastAsia="zh-CN"/>
              </w:rPr>
              <w:t>中国</w:t>
            </w:r>
            <w:r>
              <w:rPr>
                <w:rFonts w:hint="eastAsia"/>
                <w:sz w:val="24"/>
              </w:rPr>
              <w:t>台湾</w:t>
            </w:r>
            <w:r>
              <w:rPr>
                <w:rFonts w:hint="eastAsia"/>
                <w:sz w:val="24"/>
                <w:lang w:val="en-US" w:eastAsia="zh-CN"/>
              </w:rPr>
              <w:t>地区</w:t>
            </w:r>
            <w:r>
              <w:rPr>
                <w:rFonts w:hint="eastAsia"/>
                <w:sz w:val="24"/>
              </w:rPr>
              <w:t>头部设计公司已经进入公司</w:t>
            </w:r>
            <w:r>
              <w:rPr>
                <w:rFonts w:hint="eastAsia"/>
                <w:sz w:val="24"/>
                <w:lang w:val="en-US" w:eastAsia="zh-CN"/>
              </w:rPr>
              <w:t>主要</w:t>
            </w:r>
            <w:r>
              <w:rPr>
                <w:rFonts w:hint="eastAsia"/>
                <w:sz w:val="24"/>
              </w:rPr>
              <w:t>客户</w:t>
            </w:r>
            <w:r>
              <w:rPr>
                <w:rFonts w:hint="eastAsia"/>
                <w:sz w:val="24"/>
                <w:lang w:val="en-US" w:eastAsia="zh-CN"/>
              </w:rPr>
              <w:t>群体</w:t>
            </w:r>
            <w:r>
              <w:rPr>
                <w:rFonts w:hint="eastAsia"/>
                <w:sz w:val="24"/>
              </w:rPr>
              <w:t>。整体而言，随着公司规模不断提升以及先进封装产能的释放，公司有能力、有信心服务好国内SoC客户和全球头部设计公司。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3、公司目前客户结构是怎样的？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目前IoT客户占比约60%，PA</w:t>
            </w:r>
            <w:r>
              <w:rPr>
                <w:rFonts w:hint="eastAsia"/>
                <w:sz w:val="24"/>
                <w:lang w:val="en-US" w:eastAsia="zh-CN"/>
              </w:rPr>
              <w:t>客户</w:t>
            </w:r>
            <w:r>
              <w:rPr>
                <w:rFonts w:hint="eastAsia"/>
                <w:sz w:val="24"/>
              </w:rPr>
              <w:t>占比</w:t>
            </w:r>
            <w:r>
              <w:rPr>
                <w:rFonts w:hint="eastAsia"/>
                <w:sz w:val="24"/>
                <w:lang w:val="en-US" w:eastAsia="zh-CN"/>
              </w:rPr>
              <w:t>约</w:t>
            </w:r>
            <w:r>
              <w:rPr>
                <w:rFonts w:hint="eastAsia"/>
                <w:sz w:val="24"/>
              </w:rPr>
              <w:t>15%，安防</w:t>
            </w:r>
            <w:r>
              <w:rPr>
                <w:rFonts w:hint="eastAsia"/>
                <w:sz w:val="24"/>
                <w:lang w:val="en-US" w:eastAsia="zh-CN"/>
              </w:rPr>
              <w:t>类客户</w:t>
            </w:r>
            <w:r>
              <w:rPr>
                <w:rFonts w:hint="eastAsia"/>
                <w:sz w:val="24"/>
              </w:rPr>
              <w:t>占比</w:t>
            </w:r>
            <w:r>
              <w:rPr>
                <w:rFonts w:hint="eastAsia"/>
                <w:sz w:val="24"/>
                <w:lang w:val="en-US" w:eastAsia="zh-CN"/>
              </w:rPr>
              <w:t>约</w:t>
            </w:r>
            <w:r>
              <w:rPr>
                <w:rFonts w:hint="eastAsia"/>
                <w:sz w:val="24"/>
              </w:rPr>
              <w:t>15%，运算类和车规类产品</w:t>
            </w:r>
            <w:r>
              <w:rPr>
                <w:rFonts w:hint="eastAsia"/>
                <w:sz w:val="24"/>
                <w:lang w:val="en-US" w:eastAsia="zh-CN"/>
              </w:rPr>
              <w:t>及其他产品</w:t>
            </w:r>
            <w:r>
              <w:rPr>
                <w:rFonts w:hint="eastAsia"/>
                <w:sz w:val="24"/>
              </w:rPr>
              <w:t>占比约10%。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4、Q4营收增长但利润未体现出来的原因？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公司今年下半年的固定资产新增以及折旧金额有所增加，对毛利率有所影响；相信随着公司营收规模的增长，规模效应逐渐体现，对毛利率及期间费用率均有正向促进。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5、公司</w:t>
            </w:r>
            <w:r>
              <w:rPr>
                <w:b/>
                <w:bCs/>
                <w:sz w:val="24"/>
              </w:rPr>
              <w:t>稼动率情况？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</w:t>
            </w:r>
            <w:r>
              <w:rPr>
                <w:sz w:val="24"/>
              </w:rPr>
              <w:t>稼动率处于相对饱满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状态。一期以成熟封装产品为主，稼动率持续维持高位，二期以先进封装产品为主，产能持续爬坡。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6、</w:t>
            </w:r>
            <w:r>
              <w:rPr>
                <w:b/>
                <w:bCs/>
                <w:sz w:val="24"/>
              </w:rPr>
              <w:t>资本开支主要投向封装还是测试？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rFonts w:hint="eastAsia"/>
                <w:sz w:val="24"/>
              </w:rPr>
              <w:t>采取</w:t>
            </w:r>
            <w:r>
              <w:rPr>
                <w:sz w:val="24"/>
              </w:rPr>
              <w:t>封装驱动</w:t>
            </w:r>
            <w:r>
              <w:rPr>
                <w:rFonts w:hint="eastAsia"/>
                <w:sz w:val="24"/>
              </w:rPr>
              <w:t>测试的策略</w:t>
            </w:r>
            <w:r>
              <w:rPr>
                <w:sz w:val="24"/>
              </w:rPr>
              <w:t>，为客户</w:t>
            </w:r>
            <w:r>
              <w:rPr>
                <w:rFonts w:hint="eastAsia"/>
                <w:sz w:val="24"/>
              </w:rPr>
              <w:t>提供“</w:t>
            </w:r>
            <w:r>
              <w:rPr>
                <w:sz w:val="24"/>
              </w:rPr>
              <w:t>Bumping+CP+FC+FT</w:t>
            </w:r>
            <w:r>
              <w:rPr>
                <w:rFonts w:hint="eastAsia"/>
                <w:sz w:val="24"/>
              </w:rPr>
              <w:t>”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一站式</w:t>
            </w:r>
            <w:r>
              <w:rPr>
                <w:sz w:val="24"/>
              </w:rPr>
              <w:t>大turnkey方案，未来资本</w:t>
            </w:r>
            <w:r>
              <w:rPr>
                <w:rFonts w:hint="eastAsia"/>
                <w:sz w:val="24"/>
              </w:rPr>
              <w:t>开支</w:t>
            </w:r>
            <w:r>
              <w:rPr>
                <w:sz w:val="24"/>
              </w:rPr>
              <w:t>以封装为主，测试</w:t>
            </w:r>
            <w:r>
              <w:rPr>
                <w:rFonts w:hint="eastAsia"/>
                <w:sz w:val="24"/>
              </w:rPr>
              <w:t>会与</w:t>
            </w:r>
            <w:r>
              <w:rPr>
                <w:sz w:val="24"/>
              </w:rPr>
              <w:t>封装的投资节奏相匹配</w:t>
            </w:r>
            <w:r>
              <w:rPr>
                <w:rFonts w:hint="eastAsia"/>
                <w:sz w:val="24"/>
              </w:rPr>
              <w:t>。2025年将重点投资先进封装的相关设备。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7、</w:t>
            </w:r>
            <w:r>
              <w:rPr>
                <w:b/>
                <w:bCs/>
                <w:sz w:val="24"/>
              </w:rPr>
              <w:t>未来两年的营收预期？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公司努力达成公司</w:t>
            </w:r>
            <w:r>
              <w:rPr>
                <w:sz w:val="24"/>
              </w:rPr>
              <w:t>股权激励</w:t>
            </w:r>
            <w:r>
              <w:rPr>
                <w:rFonts w:hint="eastAsia"/>
                <w:sz w:val="24"/>
              </w:rPr>
              <w:t>设置的营收目标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24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MTIyMGY2MDRhNzYwY2ViNWVhMGY4NmU3Zjc0Y2EifQ=="/>
  </w:docVars>
  <w:rsids>
    <w:rsidRoot w:val="005A297F"/>
    <w:rsid w:val="00007F79"/>
    <w:rsid w:val="0009691E"/>
    <w:rsid w:val="00153202"/>
    <w:rsid w:val="0019158C"/>
    <w:rsid w:val="001B7E0A"/>
    <w:rsid w:val="00236D69"/>
    <w:rsid w:val="00256CAC"/>
    <w:rsid w:val="00293A41"/>
    <w:rsid w:val="002A1EF8"/>
    <w:rsid w:val="002C415F"/>
    <w:rsid w:val="002F054D"/>
    <w:rsid w:val="002F15C4"/>
    <w:rsid w:val="00300F8D"/>
    <w:rsid w:val="00324005"/>
    <w:rsid w:val="00330236"/>
    <w:rsid w:val="00357F0D"/>
    <w:rsid w:val="003665A5"/>
    <w:rsid w:val="003C40CD"/>
    <w:rsid w:val="003C4982"/>
    <w:rsid w:val="00482089"/>
    <w:rsid w:val="004B4526"/>
    <w:rsid w:val="004E0C67"/>
    <w:rsid w:val="00510595"/>
    <w:rsid w:val="00537524"/>
    <w:rsid w:val="00546E16"/>
    <w:rsid w:val="005560B8"/>
    <w:rsid w:val="005724C2"/>
    <w:rsid w:val="005A297F"/>
    <w:rsid w:val="005C6E9E"/>
    <w:rsid w:val="0060673F"/>
    <w:rsid w:val="006300B4"/>
    <w:rsid w:val="00652BB1"/>
    <w:rsid w:val="00656A14"/>
    <w:rsid w:val="006701A8"/>
    <w:rsid w:val="006D2D5E"/>
    <w:rsid w:val="006F2D3B"/>
    <w:rsid w:val="00704FB9"/>
    <w:rsid w:val="00716189"/>
    <w:rsid w:val="00720B4D"/>
    <w:rsid w:val="007361B0"/>
    <w:rsid w:val="00736CC3"/>
    <w:rsid w:val="00751B3D"/>
    <w:rsid w:val="00771110"/>
    <w:rsid w:val="00777E25"/>
    <w:rsid w:val="007A01A0"/>
    <w:rsid w:val="007B05EC"/>
    <w:rsid w:val="007D2D2F"/>
    <w:rsid w:val="007F28C3"/>
    <w:rsid w:val="00840138"/>
    <w:rsid w:val="00840451"/>
    <w:rsid w:val="008B5F5E"/>
    <w:rsid w:val="008C7BEC"/>
    <w:rsid w:val="008E0109"/>
    <w:rsid w:val="00901559"/>
    <w:rsid w:val="00906860"/>
    <w:rsid w:val="00956492"/>
    <w:rsid w:val="00971758"/>
    <w:rsid w:val="009A3E28"/>
    <w:rsid w:val="009B3DB7"/>
    <w:rsid w:val="009E2E61"/>
    <w:rsid w:val="00A16FBF"/>
    <w:rsid w:val="00A34B1F"/>
    <w:rsid w:val="00A369D6"/>
    <w:rsid w:val="00A87ADE"/>
    <w:rsid w:val="00A97E93"/>
    <w:rsid w:val="00AD6050"/>
    <w:rsid w:val="00B014D9"/>
    <w:rsid w:val="00B41B67"/>
    <w:rsid w:val="00B70F53"/>
    <w:rsid w:val="00B9304D"/>
    <w:rsid w:val="00BA6A2A"/>
    <w:rsid w:val="00BB0BA1"/>
    <w:rsid w:val="00BC2094"/>
    <w:rsid w:val="00C22AF1"/>
    <w:rsid w:val="00C56B9A"/>
    <w:rsid w:val="00C67EE6"/>
    <w:rsid w:val="00CD036E"/>
    <w:rsid w:val="00D84DB9"/>
    <w:rsid w:val="00DE2B9B"/>
    <w:rsid w:val="00E1308D"/>
    <w:rsid w:val="00E23082"/>
    <w:rsid w:val="00E66305"/>
    <w:rsid w:val="00E70C07"/>
    <w:rsid w:val="00EA50D7"/>
    <w:rsid w:val="00EB3D30"/>
    <w:rsid w:val="00F311C9"/>
    <w:rsid w:val="00F604F7"/>
    <w:rsid w:val="062B68FF"/>
    <w:rsid w:val="06B87E4F"/>
    <w:rsid w:val="077D4F2D"/>
    <w:rsid w:val="0B9E4527"/>
    <w:rsid w:val="10F93C62"/>
    <w:rsid w:val="12FD314C"/>
    <w:rsid w:val="1A725FE3"/>
    <w:rsid w:val="1A766017"/>
    <w:rsid w:val="1AE426AA"/>
    <w:rsid w:val="1C3928DC"/>
    <w:rsid w:val="207B66B3"/>
    <w:rsid w:val="226D0262"/>
    <w:rsid w:val="2806087E"/>
    <w:rsid w:val="282910CB"/>
    <w:rsid w:val="2BC35AD1"/>
    <w:rsid w:val="2E467EBB"/>
    <w:rsid w:val="2F6F1E3E"/>
    <w:rsid w:val="30A27C8C"/>
    <w:rsid w:val="43CD5770"/>
    <w:rsid w:val="4546744B"/>
    <w:rsid w:val="46F82CE2"/>
    <w:rsid w:val="49DD06DB"/>
    <w:rsid w:val="4B5E36E6"/>
    <w:rsid w:val="4BA7188F"/>
    <w:rsid w:val="4D0D13F2"/>
    <w:rsid w:val="4E3E355B"/>
    <w:rsid w:val="506B1B40"/>
    <w:rsid w:val="538C1C4A"/>
    <w:rsid w:val="552C532B"/>
    <w:rsid w:val="58F41F03"/>
    <w:rsid w:val="5E406F1D"/>
    <w:rsid w:val="60B9101E"/>
    <w:rsid w:val="66B6207C"/>
    <w:rsid w:val="6901304A"/>
    <w:rsid w:val="690802CD"/>
    <w:rsid w:val="6C150215"/>
    <w:rsid w:val="6DDF5540"/>
    <w:rsid w:val="707833D1"/>
    <w:rsid w:val="70C51DC1"/>
    <w:rsid w:val="73F76AD7"/>
    <w:rsid w:val="7A1A56A0"/>
    <w:rsid w:val="7E4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Normal Indent1"/>
    <w:next w:val="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1409</Characters>
  <Lines>11</Lines>
  <Paragraphs>3</Paragraphs>
  <TotalTime>22</TotalTime>
  <ScaleCrop>false</ScaleCrop>
  <LinksUpToDate>false</LinksUpToDate>
  <CharactersWithSpaces>1541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2023-12-05T09:44:00Z</dcterms:created>
  <dc:creator>周钡钡</dc:creator>
  <cp:lastModifiedBy>zhengquanbu</cp:lastModifiedBy>
  <dcterms:modified xsi:type="dcterms:W3CDTF">2025-02-05T07:19:10Z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27C01F840E67463BB35D25557E245594_13</vt:lpwstr>
  </property>
  <property fmtid="{D5CDD505-2E9C-101B-9397-08002B2CF9AE}" pid="4" name="KSOTemplateDocerSaveRecord">
    <vt:lpwstr>eyJoZGlkIjoiOWNkMTc1NDYzZGE2MTJkMGQyZjNkZTE5MWE2MDc1NTciLCJ1c2VySWQiOiI0MTY4NTQ4ODEifQ==</vt:lpwstr>
  </property>
</Properties>
</file>