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24"/>
        </w:rPr>
      </w:pPr>
      <w:r>
        <w:rPr>
          <w:rFonts w:hint="eastAsia" w:ascii="黑体" w:eastAsia="黑体"/>
          <w:sz w:val="24"/>
        </w:rPr>
        <w:t>证券代码：</w:t>
      </w:r>
      <w:r>
        <w:rPr>
          <w:rFonts w:hint="eastAsia" w:ascii="黑体" w:eastAsia="黑体"/>
          <w:b/>
          <w:sz w:val="24"/>
        </w:rPr>
        <w:t xml:space="preserve">600487  </w:t>
      </w:r>
      <w:r>
        <w:rPr>
          <w:rFonts w:hint="eastAsia" w:ascii="黑体" w:eastAsia="黑体"/>
          <w:sz w:val="24"/>
        </w:rPr>
        <w:t xml:space="preserve">                                股票简称：亨通光电</w:t>
      </w:r>
    </w:p>
    <w:p>
      <w:pPr>
        <w:spacing w:before="156" w:beforeLines="50" w:line="360" w:lineRule="auto"/>
        <w:jc w:val="center"/>
        <w:rPr>
          <w:rFonts w:ascii="_x000B__x000C_" w:hAnsi="_x000B__x000C_" w:eastAsia="黑体" w:cs="Times New Roman"/>
          <w:color w:val="FF0000"/>
          <w:sz w:val="36"/>
          <w:szCs w:val="36"/>
        </w:rPr>
      </w:pPr>
      <w:r>
        <w:rPr>
          <w:rFonts w:hint="eastAsia" w:ascii="_x000B__x000C_" w:hAnsi="_x000B__x000C_" w:eastAsia="黑体" w:cs="Times New Roman"/>
          <w:color w:val="FF0000"/>
          <w:sz w:val="36"/>
          <w:szCs w:val="36"/>
        </w:rPr>
        <w:t>江苏亨通光电股份有限公司</w:t>
      </w:r>
    </w:p>
    <w:p>
      <w:pPr>
        <w:spacing w:after="156" w:afterLines="50" w:line="360" w:lineRule="auto"/>
        <w:jc w:val="center"/>
        <w:rPr>
          <w:rFonts w:ascii="Times New Roman" w:hAnsi="Times New Roman" w:eastAsia="宋体" w:cs="Times New Roman"/>
          <w:color w:val="000000"/>
          <w:kern w:val="0"/>
          <w:sz w:val="24"/>
          <w:szCs w:val="24"/>
        </w:rPr>
      </w:pPr>
      <w:r>
        <w:rPr>
          <w:rFonts w:hint="eastAsia" w:ascii="_x000B__x000C_" w:hAnsi="_x000B__x000C_" w:eastAsia="黑体" w:cs="Times New Roman"/>
          <w:color w:val="FF0000"/>
          <w:sz w:val="36"/>
          <w:szCs w:val="36"/>
        </w:rPr>
        <w:t>投资者关系活动会议纪要</w:t>
      </w:r>
    </w:p>
    <w:p>
      <w:pPr>
        <w:spacing w:before="156" w:beforeLines="50" w:after="156" w:afterLines="50" w:line="360" w:lineRule="auto"/>
        <w:ind w:firstLine="480" w:firstLineChars="20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江苏亨通光电股份有限公司（以下简称“公司”）近期通过组织线上线下交流会、说明会、参加券商策略会等形式接待了机构调研，开展了投资者交流，主要情况如下：</w:t>
      </w:r>
    </w:p>
    <w:p>
      <w:pPr>
        <w:tabs>
          <w:tab w:val="left" w:pos="4980"/>
        </w:tabs>
        <w:spacing w:before="156" w:beforeLines="50" w:after="156" w:afterLines="50" w:line="360" w:lineRule="auto"/>
        <w:ind w:firstLine="482" w:firstLineChars="200"/>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一、会议基本情况</w:t>
      </w:r>
      <w:r>
        <w:rPr>
          <w:rFonts w:ascii="Times New Roman" w:hAnsi="Times New Roman" w:eastAsia="宋体" w:cs="Times New Roman"/>
          <w:b/>
          <w:bCs/>
          <w:color w:val="000000"/>
          <w:kern w:val="0"/>
          <w:sz w:val="24"/>
          <w:szCs w:val="24"/>
        </w:rPr>
        <w:tab/>
      </w:r>
    </w:p>
    <w:p>
      <w:pPr>
        <w:spacing w:before="156" w:beforeLines="50" w:after="156" w:afterLines="50" w:line="360" w:lineRule="auto"/>
        <w:ind w:firstLine="480" w:firstLineChars="20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1、会议形式：线上及线下交流会、说明会</w:t>
      </w:r>
      <w:r>
        <w:rPr>
          <w:rFonts w:hint="eastAsia" w:ascii="Times New Roman" w:hAnsi="Times New Roman" w:eastAsia="宋体" w:cs="Times New Roman"/>
          <w:color w:val="000000"/>
          <w:kern w:val="0"/>
          <w:sz w:val="24"/>
          <w:szCs w:val="24"/>
          <w:lang w:eastAsia="zh-CN"/>
        </w:rPr>
        <w:t>、</w:t>
      </w:r>
      <w:r>
        <w:rPr>
          <w:rFonts w:hint="eastAsia" w:ascii="Times New Roman" w:hAnsi="Times New Roman" w:eastAsia="宋体" w:cs="Times New Roman"/>
          <w:color w:val="000000"/>
          <w:kern w:val="0"/>
          <w:sz w:val="24"/>
          <w:szCs w:val="24"/>
        </w:rPr>
        <w:t>策略会</w:t>
      </w:r>
    </w:p>
    <w:p>
      <w:pPr>
        <w:spacing w:before="156" w:beforeLines="50" w:after="156" w:afterLines="50" w:line="360" w:lineRule="auto"/>
        <w:ind w:firstLine="480" w:firstLineChars="20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2、主要参会人员：</w:t>
      </w:r>
    </w:p>
    <w:p>
      <w:pPr>
        <w:spacing w:before="156" w:beforeLines="50" w:after="156" w:afterLines="50" w:line="360" w:lineRule="auto"/>
        <w:ind w:firstLine="480" w:firstLineChars="200"/>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rPr>
        <w:t>公司参会：董事长崔巍、总经理张建峰、董事会秘书顾怡倩、财务总监吴燕</w:t>
      </w:r>
      <w:r>
        <w:rPr>
          <w:rFonts w:hint="eastAsia" w:ascii="Times New Roman" w:hAnsi="Times New Roman" w:eastAsia="宋体" w:cs="Times New Roman"/>
          <w:color w:val="000000"/>
          <w:kern w:val="0"/>
          <w:sz w:val="24"/>
          <w:szCs w:val="24"/>
          <w:lang w:eastAsia="zh-CN"/>
        </w:rPr>
        <w:t>、</w:t>
      </w:r>
      <w:r>
        <w:rPr>
          <w:rFonts w:hint="eastAsia" w:ascii="Times New Roman" w:hAnsi="Times New Roman" w:eastAsia="宋体" w:cs="Times New Roman"/>
          <w:color w:val="000000"/>
          <w:kern w:val="0"/>
          <w:sz w:val="24"/>
          <w:szCs w:val="24"/>
          <w:lang w:val="en-US" w:eastAsia="zh-CN"/>
        </w:rPr>
        <w:t>董事会办公室王志超</w:t>
      </w:r>
    </w:p>
    <w:p>
      <w:pPr>
        <w:spacing w:before="156" w:beforeLines="50" w:after="156" w:afterLines="50" w:line="360" w:lineRule="auto"/>
        <w:ind w:firstLine="480" w:firstLineChars="200"/>
        <w:rPr>
          <w:rFonts w:hint="default" w:ascii="Times New Roman" w:hAnsi="Times New Roman" w:eastAsia="宋体" w:cs="Times New Roman"/>
          <w:color w:val="000000"/>
          <w:kern w:val="0"/>
          <w:sz w:val="24"/>
          <w:szCs w:val="24"/>
          <w:highlight w:val="none"/>
          <w:lang w:val="en-US" w:eastAsia="zh-CN"/>
        </w:rPr>
      </w:pPr>
      <w:r>
        <w:rPr>
          <w:rFonts w:hint="eastAsia" w:ascii="Times New Roman" w:hAnsi="Times New Roman" w:eastAsia="宋体" w:cs="Times New Roman"/>
          <w:color w:val="000000"/>
          <w:kern w:val="0"/>
          <w:sz w:val="24"/>
          <w:szCs w:val="24"/>
          <w:highlight w:val="none"/>
        </w:rPr>
        <w:t>机构参会：</w:t>
      </w:r>
      <w:r>
        <w:rPr>
          <w:rFonts w:hint="eastAsia" w:ascii="Times New Roman" w:hAnsi="Times New Roman" w:eastAsia="宋体" w:cs="Times New Roman"/>
          <w:kern w:val="0"/>
          <w:sz w:val="24"/>
          <w:szCs w:val="24"/>
          <w:highlight w:val="none"/>
        </w:rPr>
        <w:t>天风证券、民生证券、国盛证券</w:t>
      </w:r>
      <w:r>
        <w:rPr>
          <w:rFonts w:hint="eastAsia" w:ascii="Times New Roman" w:hAnsi="Times New Roman" w:eastAsia="宋体" w:cs="Times New Roman"/>
          <w:kern w:val="0"/>
          <w:sz w:val="24"/>
          <w:szCs w:val="24"/>
          <w:highlight w:val="none"/>
          <w:lang w:eastAsia="zh-CN"/>
        </w:rPr>
        <w:t>、中金公司、</w:t>
      </w:r>
      <w:r>
        <w:rPr>
          <w:rFonts w:hint="eastAsia" w:ascii="Times New Roman" w:hAnsi="Times New Roman" w:eastAsia="宋体" w:cs="Times New Roman"/>
          <w:color w:val="000000"/>
          <w:sz w:val="24"/>
          <w:szCs w:val="24"/>
          <w:highlight w:val="none"/>
          <w:lang w:val="en-US" w:eastAsia="zh-CN"/>
        </w:rPr>
        <w:t>中信证券、</w:t>
      </w:r>
      <w:r>
        <w:rPr>
          <w:rFonts w:hint="eastAsia" w:ascii="Times New Roman" w:hAnsi="Times New Roman" w:eastAsia="宋体" w:cs="Times New Roman"/>
          <w:kern w:val="0"/>
          <w:sz w:val="24"/>
          <w:szCs w:val="24"/>
          <w:highlight w:val="none"/>
          <w:lang w:val="en-US" w:eastAsia="zh-CN"/>
        </w:rPr>
        <w:t>中信建投</w:t>
      </w:r>
      <w:r>
        <w:rPr>
          <w:rFonts w:hint="eastAsia" w:ascii="Times New Roman" w:hAnsi="Times New Roman" w:eastAsia="宋体" w:cs="Times New Roman"/>
          <w:kern w:val="0"/>
          <w:sz w:val="24"/>
          <w:szCs w:val="24"/>
          <w:highlight w:val="none"/>
          <w:lang w:eastAsia="zh-CN"/>
        </w:rPr>
        <w:t>、</w:t>
      </w:r>
      <w:r>
        <w:rPr>
          <w:rFonts w:hint="eastAsia" w:ascii="Times New Roman" w:hAnsi="Times New Roman" w:eastAsia="宋体" w:cs="Times New Roman"/>
          <w:kern w:val="0"/>
          <w:sz w:val="24"/>
          <w:szCs w:val="24"/>
          <w:highlight w:val="none"/>
          <w:lang w:val="en-US" w:eastAsia="zh-CN"/>
        </w:rPr>
        <w:t>国泰君安、</w:t>
      </w:r>
      <w:r>
        <w:rPr>
          <w:rFonts w:hint="eastAsia" w:ascii="Times New Roman" w:hAnsi="Times New Roman" w:eastAsia="宋体" w:cs="Times New Roman"/>
          <w:kern w:val="0"/>
          <w:sz w:val="24"/>
          <w:szCs w:val="24"/>
          <w:highlight w:val="none"/>
          <w:lang w:eastAsia="zh-CN"/>
        </w:rPr>
        <w:t>中泰证券、东北证券、财通证券、招商证券、山西证券、兴业证券；</w:t>
      </w:r>
      <w:r>
        <w:rPr>
          <w:rFonts w:hint="eastAsia" w:ascii="Times New Roman" w:hAnsi="Times New Roman" w:eastAsia="宋体" w:cs="Times New Roman"/>
          <w:color w:val="000000"/>
          <w:sz w:val="24"/>
          <w:szCs w:val="24"/>
          <w:highlight w:val="none"/>
          <w:lang w:val="en-US" w:eastAsia="zh-CN"/>
        </w:rPr>
        <w:t>中国人保、</w:t>
      </w:r>
      <w:r>
        <w:rPr>
          <w:rFonts w:hint="eastAsia" w:ascii="Times New Roman" w:hAnsi="Times New Roman" w:eastAsia="宋体" w:cs="Times New Roman"/>
          <w:kern w:val="0"/>
          <w:sz w:val="24"/>
          <w:szCs w:val="24"/>
          <w:highlight w:val="none"/>
          <w:lang w:val="en-US" w:eastAsia="zh-CN"/>
        </w:rPr>
        <w:t>交银施罗德、</w:t>
      </w:r>
      <w:r>
        <w:rPr>
          <w:rFonts w:hint="eastAsia" w:ascii="Times New Roman" w:hAnsi="Times New Roman" w:eastAsia="宋体" w:cs="Times New Roman"/>
          <w:color w:val="000000"/>
          <w:sz w:val="24"/>
          <w:szCs w:val="24"/>
          <w:highlight w:val="none"/>
          <w:lang w:val="en-US" w:eastAsia="zh-CN"/>
        </w:rPr>
        <w:t>兴全基金、建信基金、</w:t>
      </w:r>
      <w:r>
        <w:rPr>
          <w:rFonts w:hint="eastAsia" w:ascii="Times New Roman" w:hAnsi="Times New Roman" w:eastAsia="宋体" w:cs="Times New Roman"/>
          <w:kern w:val="0"/>
          <w:sz w:val="24"/>
          <w:szCs w:val="24"/>
          <w:highlight w:val="none"/>
          <w:lang w:val="en-US" w:eastAsia="zh-CN"/>
        </w:rPr>
        <w:t>南方基金、</w:t>
      </w:r>
      <w:r>
        <w:rPr>
          <w:rFonts w:hint="eastAsia" w:ascii="Times New Roman" w:hAnsi="Times New Roman" w:eastAsia="宋体" w:cs="Times New Roman"/>
          <w:color w:val="000000"/>
          <w:sz w:val="24"/>
          <w:szCs w:val="24"/>
          <w:highlight w:val="none"/>
          <w:lang w:val="en-US" w:eastAsia="zh-CN"/>
        </w:rPr>
        <w:t>广东铁路发展基金、</w:t>
      </w:r>
      <w:r>
        <w:rPr>
          <w:rFonts w:hint="eastAsia" w:ascii="Times New Roman" w:hAnsi="Times New Roman" w:eastAsia="宋体" w:cs="Times New Roman"/>
          <w:kern w:val="0"/>
          <w:sz w:val="24"/>
          <w:szCs w:val="24"/>
          <w:highlight w:val="none"/>
          <w:lang w:eastAsia="zh-CN"/>
        </w:rPr>
        <w:t>淡水泉、</w:t>
      </w:r>
      <w:r>
        <w:rPr>
          <w:rFonts w:hint="eastAsia" w:ascii="Times New Roman" w:hAnsi="Times New Roman" w:eastAsia="宋体" w:cs="Times New Roman"/>
          <w:color w:val="000000"/>
          <w:sz w:val="24"/>
          <w:szCs w:val="24"/>
          <w:highlight w:val="none"/>
          <w:lang w:val="en-US" w:eastAsia="zh-CN"/>
        </w:rPr>
        <w:t>长信基金、摩根士丹利、汇添富、浦银安盛、华安基金、</w:t>
      </w:r>
      <w:r>
        <w:rPr>
          <w:rFonts w:hint="eastAsia" w:ascii="Times New Roman" w:hAnsi="Times New Roman" w:eastAsia="宋体" w:cs="Times New Roman"/>
          <w:kern w:val="0"/>
          <w:sz w:val="24"/>
          <w:szCs w:val="24"/>
          <w:highlight w:val="none"/>
          <w:lang w:eastAsia="zh-CN"/>
        </w:rPr>
        <w:t>华泰资产、中欧基金、富国</w:t>
      </w:r>
      <w:r>
        <w:rPr>
          <w:rFonts w:hint="eastAsia" w:ascii="Times New Roman" w:hAnsi="Times New Roman" w:eastAsia="宋体" w:cs="Times New Roman"/>
          <w:kern w:val="0"/>
          <w:sz w:val="24"/>
          <w:szCs w:val="24"/>
          <w:highlight w:val="none"/>
          <w:lang w:val="en-US" w:eastAsia="zh-CN"/>
        </w:rPr>
        <w:t>基金、</w:t>
      </w:r>
      <w:r>
        <w:rPr>
          <w:rFonts w:hint="eastAsia" w:ascii="Times New Roman" w:hAnsi="Times New Roman" w:eastAsia="宋体" w:cs="Times New Roman"/>
          <w:kern w:val="0"/>
          <w:sz w:val="24"/>
          <w:szCs w:val="24"/>
          <w:highlight w:val="none"/>
          <w:lang w:eastAsia="zh-CN"/>
        </w:rPr>
        <w:t>合元基金、景顺长城、</w:t>
      </w:r>
      <w:r>
        <w:rPr>
          <w:rFonts w:hint="eastAsia" w:ascii="Times New Roman" w:hAnsi="Times New Roman" w:eastAsia="宋体" w:cs="Times New Roman"/>
          <w:color w:val="000000"/>
          <w:sz w:val="24"/>
          <w:szCs w:val="24"/>
          <w:highlight w:val="none"/>
          <w:lang w:val="en-US" w:eastAsia="zh-CN"/>
        </w:rPr>
        <w:t>东方红、申万菱信、华泰柏瑞、三井住友</w:t>
      </w:r>
      <w:r>
        <w:rPr>
          <w:rFonts w:hint="eastAsia" w:ascii="Times New Roman" w:hAnsi="Times New Roman" w:eastAsia="宋体" w:cs="Times New Roman"/>
          <w:color w:val="000000"/>
          <w:sz w:val="24"/>
          <w:szCs w:val="24"/>
          <w:highlight w:val="none"/>
        </w:rPr>
        <w:t>等约</w:t>
      </w:r>
      <w:r>
        <w:rPr>
          <w:rFonts w:hint="eastAsia" w:ascii="Times New Roman" w:hAnsi="Times New Roman" w:eastAsia="宋体" w:cs="Times New Roman"/>
          <w:color w:val="000000"/>
          <w:sz w:val="24"/>
          <w:szCs w:val="24"/>
          <w:highlight w:val="none"/>
          <w:lang w:val="en-US" w:eastAsia="zh-CN"/>
        </w:rPr>
        <w:t>230</w:t>
      </w:r>
      <w:r>
        <w:rPr>
          <w:rFonts w:hint="eastAsia" w:ascii="Times New Roman" w:hAnsi="Times New Roman" w:eastAsia="宋体" w:cs="Times New Roman"/>
          <w:sz w:val="24"/>
          <w:szCs w:val="24"/>
          <w:highlight w:val="none"/>
        </w:rPr>
        <w:t>家机构。机构投资者</w:t>
      </w:r>
      <w:r>
        <w:rPr>
          <w:rFonts w:hint="eastAsia" w:ascii="Times New Roman" w:hAnsi="Times New Roman" w:eastAsia="宋体" w:cs="Times New Roman"/>
          <w:sz w:val="24"/>
          <w:szCs w:val="24"/>
          <w:highlight w:val="none"/>
          <w:lang w:val="en-US" w:eastAsia="zh-CN"/>
        </w:rPr>
        <w:t>超500</w:t>
      </w:r>
      <w:r>
        <w:rPr>
          <w:rFonts w:hint="eastAsia" w:ascii="Times New Roman" w:hAnsi="Times New Roman" w:eastAsia="宋体" w:cs="Times New Roman"/>
          <w:color w:val="000000"/>
          <w:sz w:val="24"/>
          <w:szCs w:val="24"/>
          <w:highlight w:val="none"/>
        </w:rPr>
        <w:t>人次。</w:t>
      </w:r>
    </w:p>
    <w:p>
      <w:pPr>
        <w:numPr>
          <w:ilvl w:val="0"/>
          <w:numId w:val="1"/>
        </w:numPr>
        <w:spacing w:before="156" w:beforeLines="50" w:after="156" w:afterLines="50" w:line="360" w:lineRule="auto"/>
        <w:ind w:firstLine="482" w:firstLineChars="200"/>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会议交流主要内容</w:t>
      </w:r>
    </w:p>
    <w:p>
      <w:pPr>
        <w:spacing w:before="156" w:beforeLines="50" w:after="156" w:afterLines="50" w:line="360" w:lineRule="auto"/>
        <w:ind w:firstLine="482" w:firstLineChars="200"/>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highlight w:val="none"/>
        </w:rPr>
        <w:t>问题</w:t>
      </w:r>
      <w:r>
        <w:rPr>
          <w:rFonts w:hint="eastAsia" w:ascii="Times New Roman" w:hAnsi="Times New Roman" w:eastAsia="宋体" w:cs="Times New Roman"/>
          <w:b/>
          <w:bCs/>
          <w:color w:val="000000"/>
          <w:kern w:val="0"/>
          <w:sz w:val="24"/>
          <w:szCs w:val="24"/>
          <w:highlight w:val="none"/>
          <w:lang w:eastAsia="zh-CN"/>
        </w:rPr>
        <w:t>：</w:t>
      </w:r>
      <w:r>
        <w:rPr>
          <w:rFonts w:hint="eastAsia" w:ascii="Times New Roman" w:hAnsi="Times New Roman" w:eastAsia="宋体" w:cs="Times New Roman"/>
          <w:b/>
          <w:bCs/>
          <w:color w:val="000000"/>
          <w:kern w:val="0"/>
          <w:sz w:val="24"/>
          <w:szCs w:val="24"/>
          <w:lang w:val="en-US" w:eastAsia="zh-CN"/>
        </w:rPr>
        <w:t>公司2024年前三季度业绩增长的原因？</w:t>
      </w:r>
      <w:r>
        <w:rPr>
          <w:rFonts w:hint="eastAsia" w:ascii="Times New Roman" w:hAnsi="Times New Roman" w:eastAsia="宋体" w:cs="Times New Roman"/>
          <w:b/>
          <w:bCs/>
          <w:color w:val="000000"/>
          <w:kern w:val="0"/>
          <w:sz w:val="24"/>
          <w:szCs w:val="24"/>
        </w:rPr>
        <w:t>在手订单规模</w:t>
      </w:r>
      <w:r>
        <w:rPr>
          <w:rFonts w:hint="eastAsia" w:ascii="Times New Roman" w:hAnsi="Times New Roman" w:eastAsia="宋体" w:cs="Times New Roman"/>
          <w:b/>
          <w:bCs/>
          <w:color w:val="000000"/>
          <w:kern w:val="0"/>
          <w:sz w:val="24"/>
          <w:szCs w:val="24"/>
          <w:lang w:val="en-US" w:eastAsia="zh-CN"/>
        </w:rPr>
        <w:t>如何</w:t>
      </w:r>
      <w:r>
        <w:rPr>
          <w:rFonts w:hint="eastAsia" w:ascii="Times New Roman" w:hAnsi="Times New Roman" w:eastAsia="宋体" w:cs="Times New Roman"/>
          <w:b/>
          <w:bCs/>
          <w:color w:val="000000"/>
          <w:kern w:val="0"/>
          <w:sz w:val="24"/>
          <w:szCs w:val="24"/>
        </w:rPr>
        <w:t>？</w:t>
      </w:r>
    </w:p>
    <w:p>
      <w:pPr>
        <w:spacing w:before="156" w:beforeLines="50" w:after="156" w:afterLines="50" w:line="360" w:lineRule="auto"/>
        <w:ind w:firstLine="480" w:firstLineChars="200"/>
        <w:textAlignment w:val="baseline"/>
        <w:rPr>
          <w:rFonts w:ascii="宋体" w:hAnsi="宋体" w:eastAsia="宋体" w:cs="宋体"/>
          <w:sz w:val="24"/>
          <w:szCs w:val="24"/>
        </w:rPr>
      </w:pPr>
      <w:r>
        <w:rPr>
          <w:rFonts w:hint="eastAsia" w:ascii="Times New Roman" w:hAnsi="Times New Roman" w:eastAsia="宋体" w:cs="Times New Roman"/>
          <w:color w:val="000000"/>
          <w:kern w:val="0"/>
          <w:sz w:val="24"/>
          <w:szCs w:val="24"/>
        </w:rPr>
        <w:t>答</w:t>
      </w:r>
      <w:r>
        <w:rPr>
          <w:rFonts w:hint="eastAsia" w:ascii="宋体" w:hAnsi="宋体" w:eastAsia="宋体" w:cs="宋体"/>
          <w:sz w:val="24"/>
          <w:szCs w:val="24"/>
        </w:rPr>
        <w:t>：</w:t>
      </w:r>
      <w:r>
        <w:rPr>
          <w:rFonts w:ascii="宋体" w:hAnsi="宋体" w:eastAsia="宋体" w:cs="宋体"/>
          <w:sz w:val="24"/>
          <w:szCs w:val="24"/>
        </w:rPr>
        <w:t>2024年</w:t>
      </w:r>
      <w:r>
        <w:rPr>
          <w:rFonts w:hint="eastAsia" w:ascii="宋体" w:hAnsi="宋体" w:eastAsia="宋体" w:cs="宋体"/>
          <w:sz w:val="24"/>
          <w:szCs w:val="24"/>
          <w:lang w:val="en-US" w:eastAsia="zh-CN"/>
        </w:rPr>
        <w:t>前三季度</w:t>
      </w:r>
      <w:r>
        <w:rPr>
          <w:rFonts w:ascii="宋体" w:hAnsi="宋体" w:eastAsia="宋体" w:cs="宋体"/>
          <w:sz w:val="24"/>
          <w:szCs w:val="24"/>
        </w:rPr>
        <w:t>，在“新基建”“碳达峰、碳中和”“数字中国”等背景下，特高压建设、电网数字化智能化升级、新能源基础建设以及海洋能源与通信产业稳步发展；公司积极把握市场机遇，带动公司特高压及电网智能化、工业与新能源智能、海洋能源与通信等相关业务保持了较快增长。</w:t>
      </w:r>
    </w:p>
    <w:p>
      <w:pPr>
        <w:spacing w:before="156" w:beforeLines="50" w:after="156" w:afterLines="50"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rPr>
        <w:t>2024年前三季度，公司实现营业收入423.99亿元，同比增长20.79%；实现归属于上市公司股东的净利润23.15亿元，同比增长28.32%；实现归属于上市公司股东的扣除非经常性损益的净利润22.08亿元，同比增长</w:t>
      </w:r>
      <w:r>
        <w:rPr>
          <w:rFonts w:ascii="宋体" w:hAnsi="宋体" w:eastAsia="宋体" w:cs="宋体"/>
          <w:color w:val="000000" w:themeColor="text1"/>
          <w:sz w:val="24"/>
          <w:szCs w:val="24"/>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ascii="宋体" w:hAnsi="宋体" w:eastAsia="宋体" w:cs="宋体"/>
          <w:sz w:val="24"/>
          <w:szCs w:val="24"/>
        </w:rPr>
        <w:t>%。其中，</w:t>
      </w:r>
      <w:r>
        <w:rPr>
          <w:rFonts w:hint="eastAsia" w:ascii="宋体" w:hAnsi="宋体" w:eastAsia="宋体" w:cs="宋体"/>
          <w:sz w:val="24"/>
          <w:szCs w:val="24"/>
          <w:lang w:val="en-US" w:eastAsia="zh-CN"/>
        </w:rPr>
        <w:t>2024年第三季度，</w:t>
      </w:r>
      <w:r>
        <w:rPr>
          <w:rFonts w:ascii="宋体" w:hAnsi="宋体" w:eastAsia="宋体" w:cs="宋体"/>
          <w:sz w:val="24"/>
          <w:szCs w:val="24"/>
        </w:rPr>
        <w:t>公司实现营业收入157.85亿元，同比增长32.38%；实现归属于上市公司股东的净利润7.05亿元，同比增长27.25%；实现归属于上市公司股东的扣除非经常性损益的净利润6.93亿元，同比增长40.94%。</w:t>
      </w:r>
    </w:p>
    <w:p>
      <w:pPr>
        <w:spacing w:before="156" w:beforeLines="50" w:after="156" w:afterLines="50" w:line="360" w:lineRule="auto"/>
        <w:ind w:firstLine="480" w:firstLineChars="200"/>
        <w:textAlignment w:val="baseline"/>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公司在手订单充足，</w:t>
      </w:r>
      <w:r>
        <w:rPr>
          <w:rFonts w:ascii="宋体" w:hAnsi="宋体" w:eastAsia="宋体" w:cs="宋体"/>
          <w:sz w:val="24"/>
          <w:szCs w:val="24"/>
        </w:rPr>
        <w:t>截至</w:t>
      </w:r>
      <w:r>
        <w:rPr>
          <w:rFonts w:hint="eastAsia" w:ascii="宋体" w:hAnsi="宋体" w:cs="宋体"/>
          <w:color w:val="000000"/>
          <w:kern w:val="0"/>
          <w:sz w:val="24"/>
        </w:rPr>
        <w:t>2024年9月末</w:t>
      </w:r>
      <w:r>
        <w:rPr>
          <w:rFonts w:ascii="宋体" w:hAnsi="宋体" w:eastAsia="宋体" w:cs="宋体"/>
          <w:sz w:val="24"/>
          <w:szCs w:val="24"/>
        </w:rPr>
        <w:t>，公司拥有海底电缆、海洋工程及陆缆产品等能源互联领域在手订单金额约200亿元；拥有海洋通信业务在手订单金额约60亿元；拥有PEACE跨洋海缆通信系统运营项目在手订单金额超3亿美元。</w:t>
      </w:r>
    </w:p>
    <w:p>
      <w:pPr>
        <w:spacing w:before="156" w:beforeLines="50" w:after="156" w:afterLines="50" w:line="360" w:lineRule="auto"/>
        <w:ind w:firstLine="480"/>
        <w:rPr>
          <w:rFonts w:hint="default" w:ascii="Times New Roman" w:hAnsi="Times New Roman" w:eastAsia="宋体" w:cs="Times New Roman"/>
          <w:b/>
          <w:bCs/>
          <w:color w:val="000000"/>
          <w:kern w:val="0"/>
          <w:sz w:val="24"/>
          <w:szCs w:val="24"/>
          <w:lang w:val="en-US"/>
        </w:rPr>
      </w:pPr>
      <w:r>
        <w:rPr>
          <w:rFonts w:hint="eastAsia" w:ascii="Times New Roman" w:hAnsi="Times New Roman" w:eastAsia="宋体" w:cs="Times New Roman"/>
          <w:b/>
          <w:bCs/>
          <w:color w:val="000000"/>
          <w:kern w:val="0"/>
          <w:sz w:val="24"/>
          <w:szCs w:val="24"/>
        </w:rPr>
        <w:t>问题：</w:t>
      </w:r>
      <w:r>
        <w:rPr>
          <w:rFonts w:hint="eastAsia" w:ascii="Times New Roman" w:hAnsi="Times New Roman" w:eastAsia="宋体" w:cs="Times New Roman"/>
          <w:b/>
          <w:bCs/>
          <w:color w:val="000000"/>
          <w:kern w:val="0"/>
          <w:sz w:val="24"/>
          <w:szCs w:val="24"/>
          <w:lang w:val="en-US" w:eastAsia="zh-CN"/>
        </w:rPr>
        <w:t>公司目前国际化布局如何？</w:t>
      </w:r>
    </w:p>
    <w:p>
      <w:pPr>
        <w:spacing w:before="156" w:beforeLines="50" w:after="156" w:afterLines="50"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rPr>
        <w:t>答</w:t>
      </w:r>
      <w:r>
        <w:rPr>
          <w:rFonts w:hint="eastAsia" w:ascii="宋体" w:hAnsi="宋体" w:eastAsia="宋体"/>
          <w:sz w:val="24"/>
          <w:szCs w:val="24"/>
          <w:lang w:eastAsia="zh-CN"/>
        </w:rPr>
        <w:t>：</w:t>
      </w:r>
      <w:r>
        <w:rPr>
          <w:rFonts w:hint="eastAsia" w:ascii="宋体" w:hAnsi="宋体" w:eastAsia="宋体"/>
          <w:sz w:val="24"/>
          <w:szCs w:val="24"/>
        </w:rPr>
        <w:t>在经济全球化和“一带一路”倡议实施大背景下，公司坚持全球化运营战略，“看着世界地图做企业，沿着一带一路走出去”，不断完善通信网络和能源互联产业的全球营销网络建设及产业布局。公司已在欧洲、南美、南亚、非洲、东南亚等国家</w:t>
      </w:r>
      <w:r>
        <w:rPr>
          <w:rFonts w:hint="eastAsia" w:ascii="宋体" w:hAnsi="宋体" w:eastAsia="宋体"/>
          <w:sz w:val="24"/>
          <w:szCs w:val="24"/>
          <w:lang w:val="en-US" w:eastAsia="zh-CN"/>
        </w:rPr>
        <w:t>和</w:t>
      </w:r>
      <w:r>
        <w:rPr>
          <w:rFonts w:hint="eastAsia" w:ascii="宋体" w:hAnsi="宋体" w:eastAsia="宋体"/>
          <w:sz w:val="24"/>
          <w:szCs w:val="24"/>
        </w:rPr>
        <w:t>地区进行通信网络和能源互联产业布局，产业覆盖五大洲。目前累计拥有海外产业基地12个，全球化运营、市场竞争力及品牌价值不断提升。</w:t>
      </w:r>
      <w:r>
        <w:rPr>
          <w:rFonts w:hint="eastAsia" w:ascii="宋体" w:hAnsi="宋体" w:eastAsia="宋体"/>
          <w:sz w:val="24"/>
          <w:szCs w:val="24"/>
          <w:lang w:val="en-US" w:eastAsia="zh-CN"/>
        </w:rPr>
        <w:t>近年来，</w:t>
      </w:r>
      <w:r>
        <w:rPr>
          <w:rFonts w:hint="eastAsia" w:ascii="宋体" w:hAnsi="宋体" w:eastAsia="宋体"/>
          <w:sz w:val="24"/>
          <w:szCs w:val="24"/>
        </w:rPr>
        <w:t>公司海外产业布局不断完善</w:t>
      </w:r>
      <w:r>
        <w:rPr>
          <w:rFonts w:hint="eastAsia" w:ascii="宋体" w:hAnsi="宋体" w:eastAsia="宋体"/>
          <w:sz w:val="24"/>
          <w:szCs w:val="24"/>
          <w:lang w:eastAsia="zh-CN"/>
        </w:rPr>
        <w:t>；</w:t>
      </w:r>
      <w:r>
        <w:rPr>
          <w:rFonts w:hint="eastAsia" w:ascii="宋体" w:hAnsi="宋体" w:eastAsia="宋体"/>
          <w:sz w:val="24"/>
          <w:szCs w:val="24"/>
        </w:rPr>
        <w:t>自2022年以来陆续投产的埃及、印尼、印度等海外光通信产业基地稳步发展，完成收购全球领先的特种光纤生产商j-fiber</w:t>
      </w:r>
      <w:r>
        <w:rPr>
          <w:rFonts w:hint="eastAsia" w:ascii="宋体" w:hAnsi="宋体" w:eastAsia="宋体"/>
          <w:sz w:val="24"/>
          <w:szCs w:val="24"/>
          <w:lang w:val="en-US" w:eastAsia="zh-CN"/>
        </w:rPr>
        <w:t>以及印度尼西亚最大的电缆整体解决方案提供商之一上市公司Voksel</w:t>
      </w:r>
      <w:r>
        <w:rPr>
          <w:rFonts w:hint="eastAsia" w:ascii="宋体" w:hAnsi="宋体" w:eastAsia="宋体"/>
          <w:sz w:val="24"/>
          <w:szCs w:val="24"/>
        </w:rPr>
        <w:t>，墨西哥光通信产业基地投建</w:t>
      </w:r>
      <w:r>
        <w:rPr>
          <w:rFonts w:hint="eastAsia" w:ascii="宋体" w:hAnsi="宋体" w:eastAsia="宋体"/>
          <w:sz w:val="24"/>
          <w:szCs w:val="24"/>
          <w:lang w:val="en-US" w:eastAsia="zh-CN"/>
        </w:rPr>
        <w:t>,等等。</w:t>
      </w:r>
    </w:p>
    <w:p>
      <w:pPr>
        <w:spacing w:before="156" w:beforeLines="50" w:after="156" w:afterLines="50" w:line="360" w:lineRule="auto"/>
        <w:ind w:firstLine="482" w:firstLineChars="200"/>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问题：公司主要客户群体有哪些？</w:t>
      </w:r>
    </w:p>
    <w:p>
      <w:pPr>
        <w:spacing w:before="156" w:beforeLines="50" w:after="156" w:afterLines="50"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color w:val="000000"/>
          <w:kern w:val="0"/>
          <w:sz w:val="24"/>
          <w:szCs w:val="24"/>
        </w:rPr>
        <w:t>答：</w:t>
      </w:r>
      <w:r>
        <w:rPr>
          <w:rFonts w:hint="eastAsia" w:ascii="Times New Roman" w:hAnsi="Times New Roman" w:eastAsia="宋体" w:cs="Times New Roman"/>
          <w:kern w:val="0"/>
          <w:sz w:val="24"/>
          <w:szCs w:val="24"/>
        </w:rPr>
        <w:t>公司主要客户群体有运营商、输配电及发电能源商、网络设备商等，公司在年报中披露了前五大客户的销售占比，2023年度前五大客户销售占比19.13%。</w:t>
      </w:r>
    </w:p>
    <w:p>
      <w:pPr>
        <w:spacing w:before="156" w:beforeLines="50" w:after="156" w:afterLines="50" w:line="360" w:lineRule="auto"/>
        <w:ind w:firstLine="480"/>
        <w:rPr>
          <w:rFonts w:ascii="宋体" w:hAnsi="宋体" w:eastAsia="宋体"/>
          <w:b/>
          <w:sz w:val="24"/>
          <w:szCs w:val="24"/>
        </w:rPr>
      </w:pPr>
      <w:r>
        <w:rPr>
          <w:rFonts w:hint="eastAsia" w:ascii="Times New Roman" w:hAnsi="Times New Roman" w:eastAsia="宋体" w:cs="Times New Roman"/>
          <w:b/>
          <w:bCs/>
          <w:color w:val="000000"/>
          <w:kern w:val="0"/>
          <w:sz w:val="24"/>
          <w:szCs w:val="24"/>
        </w:rPr>
        <w:t>问题：</w:t>
      </w:r>
      <w:r>
        <w:rPr>
          <w:rFonts w:hint="eastAsia" w:ascii="宋体" w:hAnsi="宋体" w:eastAsia="宋体"/>
          <w:b/>
          <w:sz w:val="24"/>
          <w:szCs w:val="24"/>
        </w:rPr>
        <w:t>面对激烈的市场竞争，公司采取了哪些措施来巩固市场份额和提升竞争力？</w:t>
      </w:r>
    </w:p>
    <w:p>
      <w:pPr>
        <w:spacing w:before="156" w:beforeLines="50" w:after="156" w:afterLines="50" w:line="360" w:lineRule="auto"/>
        <w:ind w:firstLine="480" w:firstLineChars="200"/>
        <w:rPr>
          <w:rFonts w:hint="eastAsia" w:ascii="宋体" w:hAnsi="宋体" w:eastAsia="宋体"/>
          <w:sz w:val="24"/>
          <w:szCs w:val="24"/>
        </w:rPr>
      </w:pPr>
      <w:r>
        <w:rPr>
          <w:rFonts w:hint="eastAsia" w:ascii="宋体" w:hAnsi="宋体" w:eastAsia="宋体"/>
          <w:sz w:val="24"/>
          <w:szCs w:val="24"/>
        </w:rPr>
        <w:t>答：公司持续对通信和能源领域核心产品的技术研发及成本管控，优化生产效率，推动盈利能力提升。在通信网络领域，公司通过光棒技术的研发升级、全面整合海洋通信板块、建设PEACE跨洋海缆通信系统运营项目和新加坡延伸段、收购全球领先的特种光纤生产商等，进一步强化了在通信行业的产业布局和竞争力；在能源互联领域，公司通过持续的技术积累、整合与创新，构建以高端核心产品和装备为龙头，系统成套解决方案和工程总包为两翼的全价值链体系。在“碳达峰、碳中和”背景下，得益于国家海洋战略加速推进，公司紧抓海洋产业发展机遇，在通信网络和能源互联业务基础上，围绕海洋电力传输、海底网络通信与海洋装备、海洋工程等领域，紧紧把握海洋经济开发机遇期，不断加强对海洋产业的技术研发与产业布局，致力打造国际一流海洋能源互联解决方案服务商与全球跨洋通信系统集成业务领导者。</w:t>
      </w:r>
    </w:p>
    <w:p>
      <w:pPr>
        <w:spacing w:before="156" w:beforeLines="50" w:line="360" w:lineRule="auto"/>
        <w:ind w:firstLine="482" w:firstLineChars="200"/>
        <w:rPr>
          <w:rFonts w:hint="default" w:ascii="Times New Roman" w:hAnsi="Times New Roman" w:eastAsia="宋体" w:cs="Times New Roman"/>
          <w:b/>
          <w:bCs/>
          <w:color w:val="000000"/>
          <w:kern w:val="0"/>
          <w:sz w:val="24"/>
          <w:szCs w:val="24"/>
          <w:lang w:val="en-US" w:eastAsia="zh-CN"/>
        </w:rPr>
      </w:pPr>
      <w:r>
        <w:rPr>
          <w:rFonts w:hint="eastAsia" w:ascii="Times New Roman" w:hAnsi="Times New Roman" w:eastAsia="宋体" w:cs="Times New Roman"/>
          <w:b/>
          <w:bCs/>
          <w:color w:val="000000"/>
          <w:kern w:val="0"/>
          <w:sz w:val="24"/>
          <w:szCs w:val="24"/>
        </w:rPr>
        <w:t>问题：公司在光通信市场的竞争地位如何</w:t>
      </w:r>
      <w:r>
        <w:rPr>
          <w:rFonts w:hint="eastAsia" w:ascii="Times New Roman" w:hAnsi="Times New Roman" w:eastAsia="宋体" w:cs="Times New Roman"/>
          <w:b/>
          <w:bCs/>
          <w:color w:val="000000"/>
          <w:kern w:val="0"/>
          <w:sz w:val="24"/>
          <w:szCs w:val="24"/>
          <w:lang w:eastAsia="zh-CN"/>
        </w:rPr>
        <w:t>，</w:t>
      </w:r>
      <w:r>
        <w:rPr>
          <w:rFonts w:hint="eastAsia" w:ascii="Times New Roman" w:hAnsi="Times New Roman" w:eastAsia="宋体" w:cs="Times New Roman"/>
          <w:b/>
          <w:bCs/>
          <w:color w:val="000000"/>
          <w:kern w:val="0"/>
          <w:sz w:val="24"/>
          <w:szCs w:val="24"/>
          <w:lang w:val="en-US" w:eastAsia="zh-CN"/>
        </w:rPr>
        <w:t>未来规划是什么？</w:t>
      </w:r>
    </w:p>
    <w:p>
      <w:pPr>
        <w:spacing w:before="156" w:beforeLines="50" w:line="360" w:lineRule="auto"/>
        <w:ind w:firstLine="480" w:firstLineChars="200"/>
        <w:rPr>
          <w:rFonts w:hint="eastAsia" w:ascii="宋体" w:hAnsi="宋体" w:eastAsia="宋体"/>
          <w:sz w:val="24"/>
          <w:szCs w:val="24"/>
        </w:rPr>
      </w:pPr>
      <w:r>
        <w:rPr>
          <w:rFonts w:hint="eastAsia" w:ascii="宋体" w:hAnsi="宋体" w:cs="宋体"/>
          <w:color w:val="000000"/>
          <w:kern w:val="0"/>
          <w:sz w:val="24"/>
        </w:rPr>
        <w:t>答</w:t>
      </w:r>
      <w:r>
        <w:rPr>
          <w:rFonts w:hint="eastAsia" w:ascii="宋体" w:hAnsi="宋体" w:cs="宋体"/>
          <w:color w:val="000000"/>
          <w:kern w:val="0"/>
          <w:sz w:val="24"/>
          <w:lang w:eastAsia="zh-CN"/>
        </w:rPr>
        <w:t>：</w:t>
      </w:r>
      <w:r>
        <w:rPr>
          <w:rFonts w:hint="eastAsia" w:ascii="宋体" w:hAnsi="宋体" w:cs="宋体"/>
          <w:color w:val="000000"/>
          <w:kern w:val="0"/>
          <w:sz w:val="24"/>
        </w:rPr>
        <w:t>公司将以世界灯塔工厂为契机，推进数智化工厂升级，通过算力部署、机器学习、AI等新质生产力进一步夯实棒纤缆技术及成本核心优势，饱和投入研发，打造行业极限成本；优化现有产品及业务结构，加快高端产品、特种产品的研发和市场成果转化效率；推进多模光纤产能提升，迎合算力市场需求；加大G654 海纤在海洋通信以及陆地骨干网领域的应用；研判市场需求变化，借助大芯数、</w:t>
      </w:r>
      <w:r>
        <w:rPr>
          <w:rFonts w:hint="eastAsia" w:ascii="宋体" w:hAnsi="宋体" w:cs="宋体"/>
          <w:color w:val="000000" w:themeColor="text1"/>
          <w:kern w:val="0"/>
          <w:sz w:val="24"/>
          <w14:textFill>
            <w14:solidFill>
              <w14:schemeClr w14:val="tx1"/>
            </w14:solidFill>
          </w14:textFill>
        </w:rPr>
        <w:t>超低损耗、</w:t>
      </w:r>
      <w:r>
        <w:rPr>
          <w:rFonts w:hint="eastAsia" w:ascii="宋体" w:hAnsi="宋体" w:cs="宋体"/>
          <w:color w:val="000000"/>
          <w:kern w:val="0"/>
          <w:sz w:val="24"/>
        </w:rPr>
        <w:t>高密度光缆核心工艺和装备技术突破，提前布局下一代大容量通信网络需求；持续加大企业三化建设投入，打造行业领先的数智制造工厂；积极布局新一代光纤通信，加快光模块、PON、车载通信、光纤传感、绿色低碳、全光互联的研发与产业布局；布局50G-PON核心技术和产品；推动车载通信+PON协同的光电混合技术；抓住5G-A的发展机遇，持续关注多芯光纤、少模光纤、空芯光纤、掺饵光纤等通信技术的研发及量产。</w:t>
      </w:r>
    </w:p>
    <w:p>
      <w:pPr>
        <w:spacing w:before="156" w:beforeLines="50" w:after="156" w:afterLines="50" w:line="360" w:lineRule="auto"/>
        <w:ind w:firstLine="482" w:firstLineChars="200"/>
        <w:rPr>
          <w:rFonts w:hint="eastAsia" w:ascii="宋体" w:hAnsi="宋体" w:eastAsia="宋体"/>
          <w:b/>
          <w:sz w:val="24"/>
          <w:szCs w:val="24"/>
        </w:rPr>
      </w:pPr>
      <w:r>
        <w:rPr>
          <w:rFonts w:hint="eastAsia" w:ascii="Times New Roman" w:hAnsi="Times New Roman" w:eastAsia="宋体" w:cs="Times New Roman"/>
          <w:b/>
          <w:bCs/>
          <w:color w:val="000000"/>
          <w:kern w:val="0"/>
          <w:sz w:val="24"/>
          <w:szCs w:val="24"/>
        </w:rPr>
        <w:t>问题：</w:t>
      </w:r>
      <w:r>
        <w:rPr>
          <w:rFonts w:hint="eastAsia" w:ascii="宋体" w:hAnsi="宋体" w:eastAsia="宋体"/>
          <w:b/>
          <w:sz w:val="24"/>
          <w:szCs w:val="24"/>
        </w:rPr>
        <w:t>公司在新能源和智能电网领域的业务布局和进展如何？</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答：在智能电网方面，随着国内以特高压为主的电网建设再次提速，公司持续强化在高压电力传输领域的市场地位和服务能力。此外，公司继续全面展开与国网、南网、五大发电集团等各大输配电、发电能源商在综合能源领域的合作，巩固现有主营业务市场份额。公司重点电力产品继续布局欧洲、拉美、东南亚、中东、北非等市场，并持续取得海外客户突破。此外，公司继续向特种电缆分布的重大基础设施、工程建筑、轨道交通、新能源及电气装备等市场深度转型。未来，在智能电网、工业与新能源智能方面，公司将继续巩固和提升在特高压输电、高压配网及风能、光伏、防火电缆等新能源、轨道交通、重大基础设施等行业的市场地位及品牌优势，完善产品线全球布局；推动公司高端铝及铝合金电缆项目产能发挥；瞄准高附加值细分领域，加速推进特高压输电产品、大容量节能环保导线、平滑铝、高端铝合金等技术的研发与应用。</w:t>
      </w:r>
    </w:p>
    <w:p>
      <w:pPr>
        <w:spacing w:before="156" w:beforeLines="50" w:line="360" w:lineRule="auto"/>
        <w:ind w:firstLine="482"/>
        <w:rPr>
          <w:rFonts w:ascii="Times New Roman" w:hAnsi="Times New Roman" w:eastAsia="宋体" w:cs="Times New Roman"/>
          <w:b/>
          <w:bCs/>
          <w:color w:val="000000" w:themeColor="text1"/>
          <w:kern w:val="0"/>
          <w:sz w:val="24"/>
          <w:szCs w:val="24"/>
          <w14:textFill>
            <w14:solidFill>
              <w14:schemeClr w14:val="tx1"/>
            </w14:solidFill>
          </w14:textFill>
        </w:rPr>
      </w:pPr>
      <w:r>
        <w:rPr>
          <w:rFonts w:hint="eastAsia" w:ascii="Times New Roman" w:hAnsi="Times New Roman" w:eastAsia="宋体" w:cs="Times New Roman"/>
          <w:b/>
          <w:bCs/>
          <w:color w:val="000000" w:themeColor="text1"/>
          <w:kern w:val="0"/>
          <w:sz w:val="24"/>
          <w:szCs w:val="24"/>
          <w14:textFill>
            <w14:solidFill>
              <w14:schemeClr w14:val="tx1"/>
            </w14:solidFill>
          </w14:textFill>
        </w:rPr>
        <w:t>问题：公司在技术研发和新产品开发方面的最新进展如何？</w:t>
      </w:r>
    </w:p>
    <w:p>
      <w:pPr>
        <w:spacing w:line="360" w:lineRule="auto"/>
        <w:ind w:firstLine="48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答</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eastAsia="宋体" w:cs="宋体"/>
          <w:sz w:val="24"/>
          <w:szCs w:val="24"/>
        </w:rPr>
        <w:t>公司聚焦通信和能源两大核心产业的战略投入，提供行业领先的光通信、智能电网、海上风电、海洋通信等产品与解决方案，具备集“设计、研发、制造、销售与服务”一体化的综合能力</w:t>
      </w:r>
      <w:r>
        <w:rPr>
          <w:rFonts w:hint="eastAsia" w:ascii="宋体" w:hAnsi="宋体" w:eastAsia="宋体" w:cs="宋体"/>
          <w:sz w:val="24"/>
          <w:szCs w:val="24"/>
          <w:lang w:eastAsia="zh-CN"/>
        </w:rPr>
        <w:t>。</w:t>
      </w:r>
      <w:r>
        <w:rPr>
          <w:rFonts w:hint="eastAsia" w:ascii="宋体" w:hAnsi="宋体" w:cs="宋体"/>
          <w:color w:val="000000" w:themeColor="text1"/>
          <w:kern w:val="0"/>
          <w:sz w:val="24"/>
          <w14:textFill>
            <w14:solidFill>
              <w14:schemeClr w14:val="tx1"/>
            </w14:solidFill>
          </w14:textFill>
        </w:rPr>
        <w:t>公司始终坚持自主创新，持续在光通信、海洋通信、海洋能源等板块的研发，研发投入居行业前列。在5G光纤通信、海洋超高压输电、海上风电工程与运营、海洋通信等领域拥有行业领先技术。</w:t>
      </w:r>
    </w:p>
    <w:p>
      <w:pPr>
        <w:spacing w:before="156" w:beforeLines="50" w:after="156" w:afterLines="50" w:line="360" w:lineRule="auto"/>
        <w:ind w:firstLine="482" w:firstLineChars="200"/>
        <w:rPr>
          <w:rFonts w:ascii="宋体" w:hAnsi="宋体" w:eastAsia="宋体"/>
          <w:b/>
          <w:sz w:val="24"/>
          <w:szCs w:val="24"/>
        </w:rPr>
      </w:pPr>
      <w:r>
        <w:rPr>
          <w:rFonts w:hint="eastAsia" w:ascii="Times New Roman" w:hAnsi="Times New Roman" w:eastAsia="宋体" w:cs="Times New Roman"/>
          <w:b/>
          <w:bCs/>
          <w:color w:val="000000"/>
          <w:kern w:val="0"/>
          <w:sz w:val="24"/>
          <w:szCs w:val="24"/>
        </w:rPr>
        <w:t>问题：</w:t>
      </w:r>
      <w:r>
        <w:rPr>
          <w:rFonts w:hint="eastAsia" w:ascii="宋体" w:hAnsi="宋体" w:eastAsia="宋体"/>
          <w:b/>
          <w:sz w:val="24"/>
          <w:szCs w:val="24"/>
        </w:rPr>
        <w:t>空芯光纤和多芯光纤作为面向下一代网络的新型光纤技术，公司有无相关技术和布局？</w:t>
      </w:r>
    </w:p>
    <w:p>
      <w:pPr>
        <w:spacing w:before="156" w:beforeLines="50" w:after="156" w:afterLines="50" w:line="360" w:lineRule="auto"/>
        <w:ind w:firstLine="480" w:firstLineChars="200"/>
        <w:rPr>
          <w:rFonts w:hint="eastAsia" w:ascii="宋体" w:hAnsi="宋体" w:eastAsia="宋体"/>
          <w:sz w:val="24"/>
          <w:szCs w:val="24"/>
        </w:rPr>
      </w:pPr>
      <w:r>
        <w:rPr>
          <w:rFonts w:hint="eastAsia" w:ascii="宋体" w:hAnsi="宋体" w:eastAsia="宋体"/>
          <w:sz w:val="24"/>
          <w:szCs w:val="24"/>
        </w:rPr>
        <w:t>答：公司在技术方面已布局空芯光纤的制备关键原材料；在设计方面与国内空芯光纤知名高校保持密切联系与合作；在标准建立方面联合中国移动等单位研究相关技术标准。此外，公司在超低损耗光纤、激光光纤、多模光纤等特种光纤产品的市场应用不断增加，继续助力5G基础设施建设，为工业制造赋能。公司是中国电信研究院2022年云网融合承载网基础设施建设项目-多芯光纤采购项目的独家供应商，为国内多芯光纤（MCF）和空分复用技术（SDM）逐步实现商用奠定了基础，起到了先锋示范作用。</w:t>
      </w:r>
    </w:p>
    <w:p>
      <w:pPr>
        <w:spacing w:before="156" w:beforeLines="50" w:after="156" w:afterLines="50" w:line="360" w:lineRule="auto"/>
        <w:ind w:firstLine="482" w:firstLineChars="200"/>
        <w:rPr>
          <w:rFonts w:ascii="宋体" w:hAnsi="宋体" w:eastAsia="宋体"/>
          <w:b/>
          <w:bCs/>
          <w:sz w:val="24"/>
          <w:szCs w:val="24"/>
        </w:rPr>
      </w:pPr>
      <w:r>
        <w:rPr>
          <w:rFonts w:hint="eastAsia" w:ascii="宋体" w:hAnsi="宋体" w:eastAsia="宋体"/>
          <w:b/>
          <w:bCs/>
          <w:sz w:val="24"/>
          <w:szCs w:val="24"/>
        </w:rPr>
        <w:t>问题：公司</w:t>
      </w:r>
      <w:r>
        <w:rPr>
          <w:rFonts w:hint="eastAsia" w:ascii="宋体" w:hAnsi="宋体" w:eastAsia="宋体"/>
          <w:b/>
          <w:bCs/>
          <w:sz w:val="24"/>
          <w:szCs w:val="24"/>
          <w:lang w:val="en-US" w:eastAsia="zh-CN"/>
        </w:rPr>
        <w:t>在</w:t>
      </w:r>
      <w:r>
        <w:rPr>
          <w:rFonts w:hint="eastAsia" w:ascii="宋体" w:hAnsi="宋体" w:eastAsia="宋体"/>
          <w:b/>
          <w:bCs/>
          <w:sz w:val="24"/>
          <w:szCs w:val="24"/>
        </w:rPr>
        <w:t>光模块方面有哪些新的进展？</w:t>
      </w:r>
    </w:p>
    <w:p>
      <w:pPr>
        <w:spacing w:before="156" w:beforeLines="50" w:after="156" w:afterLines="50" w:line="360" w:lineRule="auto"/>
        <w:ind w:firstLine="480" w:firstLineChars="200"/>
        <w:rPr>
          <w:rFonts w:hint="eastAsia" w:ascii="宋体" w:hAnsi="宋体" w:eastAsia="宋体"/>
          <w:sz w:val="24"/>
          <w:szCs w:val="24"/>
        </w:rPr>
      </w:pPr>
      <w:r>
        <w:rPr>
          <w:rFonts w:hint="eastAsia" w:ascii="宋体" w:hAnsi="宋体" w:eastAsia="宋体"/>
          <w:sz w:val="24"/>
          <w:szCs w:val="24"/>
        </w:rPr>
        <w:t>答：公司紧紧围绕5G、“新基建”、AI算力、数据中心建设等的发展方向，聚力拓展5G通信与数通领域前沿技术产品与应用。公司始终致力于光模块及光互联综合解决方案的开发与制造。面向5G前传、F5G全光网、数据中心互联三大应用场景，成功升级并推出超算中心互联以及核心路由器集群互联应用的56G/100G/200G 系列超低功耗 AOC 产品以及 300G CXP2 AOC 产品；基于国产化的EML Driver/BM TIA电芯片技术的F5G应用XGPON/XGSPON COMBO PON OLT光模块；政企网络以及5G前传应用的全系列1.25G/3.125G/10G/25G CWDM 彩光与DWDM可调系列光模块，这些系列化产品均通过大客户的测试认证并获得批量应用，助力客户打造超宽、智能、开放的光互联网络，展现以客户为先的持续创新技术实力。目前，公司400G光模块产品已在国内外市场获得批量应用；可全面满足国内外数据中心需求。800G光模块产品已在领先交换机设备厂商通过测试，将根据市场情况导入量产。</w:t>
      </w:r>
    </w:p>
    <w:p>
      <w:pPr>
        <w:spacing w:before="156" w:beforeLines="50" w:line="360" w:lineRule="auto"/>
        <w:ind w:firstLine="482" w:firstLineChars="200"/>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问题：公司是否有通过并购或战略合作来扩展业务或增强技术实力？</w:t>
      </w:r>
    </w:p>
    <w:p>
      <w:pPr>
        <w:spacing w:before="156"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答：随着公司国际化战略的不断深入推进，近几年公司海外业务实现快速增长。公司收购了全球领先的特种光纤生产商j-fiber，建设了墨西哥光通信产业基地；收购了印度尼西亚最大的电缆整体解决方案供应商之一的Voksel，不断完善通信网络和能源互联产业的全球营销网络建设及产业布局。目前累计拥有海外产业基地12个，全球化运营</w:t>
      </w:r>
      <w:r>
        <w:rPr>
          <w:rFonts w:hint="eastAsia" w:ascii="宋体" w:hAnsi="宋体" w:eastAsia="宋体" w:cs="宋体"/>
          <w:sz w:val="24"/>
          <w:szCs w:val="24"/>
          <w:lang w:val="en-US" w:eastAsia="zh-CN"/>
        </w:rPr>
        <w:t>及</w:t>
      </w:r>
      <w:r>
        <w:rPr>
          <w:rFonts w:hint="eastAsia" w:ascii="宋体" w:hAnsi="宋体" w:eastAsia="宋体" w:cs="宋体"/>
          <w:sz w:val="24"/>
          <w:szCs w:val="24"/>
        </w:rPr>
        <w:t>市场竞争力不断提升。</w:t>
      </w:r>
    </w:p>
    <w:p>
      <w:pPr>
        <w:spacing w:before="156" w:beforeLines="50" w:line="360" w:lineRule="auto"/>
        <w:ind w:firstLine="480" w:firstLineChars="200"/>
        <w:rPr>
          <w:rFonts w:hint="eastAsia" w:ascii="Times New Roman" w:hAnsi="Times New Roman" w:eastAsia="宋体" w:cs="Times New Roman"/>
          <w:b/>
          <w:bCs/>
          <w:color w:val="000000"/>
          <w:kern w:val="0"/>
          <w:sz w:val="24"/>
          <w:szCs w:val="24"/>
        </w:rPr>
      </w:pPr>
      <w:r>
        <w:rPr>
          <w:rFonts w:hint="eastAsia" w:ascii="宋体" w:hAnsi="宋体" w:eastAsia="宋体" w:cs="宋体"/>
          <w:sz w:val="24"/>
          <w:szCs w:val="24"/>
        </w:rPr>
        <w:t>此外，为更好、更快地推动海洋能源板块的全球化产业布局，实现高质量发展和全球领先的海洋能源互联解决方案服务商的目标，推动海洋能源产业高质量发展，公司子公司亨通高压海缆有限公司引入</w:t>
      </w:r>
      <w:r>
        <w:rPr>
          <w:rFonts w:hint="eastAsia" w:ascii="宋体" w:hAnsi="宋体" w:eastAsia="宋体" w:cs="宋体"/>
          <w:sz w:val="24"/>
          <w:szCs w:val="24"/>
          <w:lang w:val="en-US" w:eastAsia="zh-CN"/>
        </w:rPr>
        <w:t>包括国开制造业基金等</w:t>
      </w:r>
      <w:r>
        <w:rPr>
          <w:rFonts w:hint="eastAsia" w:ascii="宋体" w:hAnsi="宋体" w:eastAsia="宋体" w:cs="宋体"/>
          <w:sz w:val="24"/>
          <w:szCs w:val="24"/>
        </w:rPr>
        <w:t>10家战略投资者，总计融资25.9亿元。</w:t>
      </w:r>
    </w:p>
    <w:p>
      <w:pPr>
        <w:spacing w:before="156" w:beforeLines="50" w:line="360" w:lineRule="auto"/>
        <w:ind w:firstLine="482" w:firstLineChars="200"/>
        <w:textAlignment w:val="baseline"/>
        <w:rPr>
          <w:rFonts w:hint="eastAsia" w:ascii="Times New Roman" w:hAnsi="Times New Roman" w:eastAsia="宋体" w:cs="Times New Roman"/>
          <w:b/>
          <w:bCs/>
          <w:color w:val="000000"/>
          <w:kern w:val="0"/>
          <w:sz w:val="24"/>
          <w:szCs w:val="24"/>
          <w:lang w:val="en-US" w:eastAsia="zh-CN"/>
        </w:rPr>
      </w:pPr>
      <w:r>
        <w:rPr>
          <w:rFonts w:hint="eastAsia" w:ascii="Times New Roman" w:hAnsi="Times New Roman" w:eastAsia="宋体" w:cs="Times New Roman"/>
          <w:b/>
          <w:bCs/>
          <w:color w:val="000000"/>
          <w:kern w:val="0"/>
          <w:sz w:val="24"/>
          <w:szCs w:val="24"/>
        </w:rPr>
        <w:t>问题：请问华海的分拆上市进展</w:t>
      </w:r>
      <w:r>
        <w:rPr>
          <w:rFonts w:hint="eastAsia" w:ascii="Times New Roman" w:hAnsi="Times New Roman" w:eastAsia="宋体" w:cs="Times New Roman"/>
          <w:b/>
          <w:bCs/>
          <w:color w:val="000000"/>
          <w:kern w:val="0"/>
          <w:sz w:val="24"/>
          <w:szCs w:val="24"/>
          <w:lang w:eastAsia="zh-CN"/>
        </w:rPr>
        <w:t>。</w:t>
      </w:r>
    </w:p>
    <w:p>
      <w:pPr>
        <w:spacing w:before="156" w:beforeLines="50" w:line="360" w:lineRule="auto"/>
        <w:ind w:firstLine="480" w:firstLineChars="200"/>
        <w:rPr>
          <w:rFonts w:ascii="宋体" w:hAnsi="宋体" w:eastAsia="宋体" w:cs="宋体"/>
          <w:sz w:val="24"/>
          <w:szCs w:val="24"/>
        </w:rPr>
      </w:pPr>
      <w:r>
        <w:rPr>
          <w:rFonts w:hint="eastAsia" w:ascii="宋体" w:hAnsi="宋体" w:cs="宋体"/>
          <w:color w:val="000000"/>
          <w:kern w:val="0"/>
          <w:sz w:val="24"/>
        </w:rPr>
        <w:t>答</w:t>
      </w:r>
      <w:r>
        <w:rPr>
          <w:rFonts w:hint="eastAsia" w:ascii="宋体" w:hAnsi="宋体" w:eastAsia="宋体" w:cs="宋体"/>
          <w:sz w:val="24"/>
          <w:szCs w:val="24"/>
        </w:rPr>
        <w:t>：目前该工作尚处于筹划阶段。公司管理层始终致力于全力抓好公司可持续发展，不断提升公司的核心竞争力和内在价值。</w:t>
      </w:r>
    </w:p>
    <w:p>
      <w:pPr>
        <w:spacing w:before="156" w:beforeLines="50" w:line="360" w:lineRule="auto"/>
        <w:ind w:firstLine="482" w:firstLineChars="200"/>
        <w:rPr>
          <w:rFonts w:hint="eastAsia" w:ascii="Times New Roman" w:hAnsi="Times New Roman" w:eastAsia="宋体" w:cs="Times New Roman"/>
          <w:b/>
          <w:bCs/>
          <w:color w:val="000000"/>
          <w:kern w:val="0"/>
          <w:sz w:val="24"/>
          <w:szCs w:val="24"/>
          <w:lang w:val="en-US" w:eastAsia="zh-CN"/>
        </w:rPr>
      </w:pPr>
      <w:r>
        <w:rPr>
          <w:rFonts w:hint="eastAsia" w:ascii="Times New Roman" w:hAnsi="Times New Roman" w:eastAsia="宋体" w:cs="Times New Roman"/>
          <w:b/>
          <w:bCs/>
          <w:color w:val="000000"/>
          <w:kern w:val="0"/>
          <w:sz w:val="24"/>
          <w:szCs w:val="24"/>
          <w:lang w:val="en-US" w:eastAsia="zh-CN"/>
        </w:rPr>
        <w:t>问题：子公司HMN Technologies中标负责为卡塔尔最大海上油田Al Shaheen的未来项目制造和建设海底光缆系统(包括分支单元)。该项目被誉为该油田未来最重要和最具战略意义的项目之一，旨在满足其日益增长的设施数字化需求。请问公司在中东地区有多少业务跟踪订单？</w:t>
      </w:r>
    </w:p>
    <w:p>
      <w:pPr>
        <w:spacing w:before="156" w:beforeLines="50" w:line="360" w:lineRule="auto"/>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答：我们持续深耕中东非地区，截止目前已在该区域交付三十余个</w:t>
      </w:r>
      <w:r>
        <w:rPr>
          <w:rFonts w:hint="eastAsia" w:ascii="宋体" w:hAnsi="宋体" w:cs="宋体"/>
          <w:color w:val="000000"/>
          <w:kern w:val="0"/>
          <w:sz w:val="24"/>
          <w:highlight w:val="none"/>
          <w:lang w:val="en-US" w:eastAsia="zh-CN"/>
        </w:rPr>
        <w:t>海洋通信</w:t>
      </w:r>
      <w:r>
        <w:rPr>
          <w:rFonts w:hint="eastAsia" w:ascii="宋体" w:hAnsi="宋体" w:cs="宋体"/>
          <w:color w:val="000000"/>
          <w:kern w:val="0"/>
          <w:sz w:val="24"/>
          <w:lang w:val="en-US" w:eastAsia="zh-CN"/>
        </w:rPr>
        <w:t>项目，覆盖当地多个国家和地区，助力众多当地客户实现商用，携手推进中东非地区数字化转型，目前在手订单充足。</w:t>
      </w:r>
    </w:p>
    <w:p>
      <w:pPr>
        <w:spacing w:before="156" w:beforeLines="50" w:line="360" w:lineRule="auto"/>
        <w:ind w:firstLine="482" w:firstLineChars="200"/>
        <w:rPr>
          <w:rFonts w:hint="eastAsia" w:ascii="宋体" w:hAnsi="宋体" w:cs="宋体"/>
          <w:b/>
          <w:bCs/>
          <w:color w:val="000000"/>
          <w:kern w:val="0"/>
          <w:sz w:val="24"/>
          <w:lang w:val="en-US" w:eastAsia="zh-CN"/>
        </w:rPr>
      </w:pPr>
      <w:r>
        <w:rPr>
          <w:rFonts w:hint="eastAsia" w:ascii="宋体" w:hAnsi="宋体" w:cs="宋体"/>
          <w:b/>
          <w:bCs/>
          <w:color w:val="000000"/>
          <w:kern w:val="0"/>
          <w:sz w:val="24"/>
          <w:lang w:val="en-US" w:eastAsia="zh-CN"/>
        </w:rPr>
        <w:t>问题：请问字节跳动、阿里、腾讯等公司是子公司华海通信的海底光缆用户吗？如何看待该类型客户在未来业务中的发展？</w:t>
      </w:r>
    </w:p>
    <w:p>
      <w:pPr>
        <w:spacing w:before="156" w:beforeLines="50" w:line="360" w:lineRule="auto"/>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答：我们致力于为全球各地的互联网行业客户提供端到端的海缆系统解决方案。作为当今全球最重要的通信基础骨干设施之一，跨洋通信系统承载了洲际99%以上的国际数据流量。行业统计数据显示，互联网和云计算企业每年使用的国际数据流量占比高达70%，而这一趋势在未来仍会持续增强。由此看来，互联网头部企业根据其业务发展需求，对于全球海缆的需求会持续强烈。</w:t>
      </w:r>
    </w:p>
    <w:p>
      <w:pPr>
        <w:spacing w:before="156" w:beforeLines="50" w:line="360" w:lineRule="auto"/>
        <w:ind w:firstLine="482" w:firstLineChars="200"/>
        <w:rPr>
          <w:rFonts w:hint="default" w:ascii="Times New Roman" w:hAnsi="Times New Roman" w:eastAsia="宋体" w:cs="Times New Roman"/>
          <w:b/>
          <w:bCs/>
          <w:color w:val="000000"/>
          <w:kern w:val="0"/>
          <w:sz w:val="24"/>
          <w:szCs w:val="24"/>
          <w:lang w:val="en-US" w:eastAsia="zh-CN"/>
        </w:rPr>
      </w:pPr>
      <w:r>
        <w:rPr>
          <w:rFonts w:hint="eastAsia" w:ascii="Times New Roman" w:hAnsi="Times New Roman" w:eastAsia="宋体" w:cs="Times New Roman"/>
          <w:b/>
          <w:bCs/>
          <w:color w:val="000000"/>
          <w:kern w:val="0"/>
          <w:sz w:val="24"/>
          <w:szCs w:val="24"/>
          <w:lang w:val="en-US" w:eastAsia="zh-CN"/>
        </w:rPr>
        <w:t>问题：与云南联通的诉讼对公司的影响。</w:t>
      </w:r>
    </w:p>
    <w:p>
      <w:pPr>
        <w:spacing w:before="156" w:beforeLines="50" w:line="360" w:lineRule="auto"/>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答：公司严格按照相关法律法规进行信息披露。该诉讼尚未开庭审理，同时公司也在积极采取措施应对，并争取通过和解磋商并妥善解决，对公司本期利润或期后利润的影响尚存在不确定性。公司将根据审理进程及结果，依据有关会计准则的要求和实际情况进行相应的会计处理。同时，根据诉讼进展情况，履行信息披露义务，及时公告进展。</w:t>
      </w:r>
    </w:p>
    <w:p>
      <w:pPr>
        <w:spacing w:before="156" w:beforeLines="50" w:line="360" w:lineRule="auto"/>
        <w:ind w:firstLine="482" w:firstLineChars="200"/>
        <w:rPr>
          <w:rFonts w:hint="eastAsia" w:ascii="Times New Roman" w:hAnsi="Times New Roman" w:eastAsia="宋体" w:cs="Times New Roman"/>
          <w:b/>
          <w:bCs/>
          <w:color w:val="000000"/>
          <w:kern w:val="0"/>
          <w:sz w:val="24"/>
          <w:szCs w:val="24"/>
          <w:lang w:eastAsia="zh-CN"/>
        </w:rPr>
      </w:pPr>
      <w:r>
        <w:rPr>
          <w:rFonts w:hint="eastAsia" w:ascii="Times New Roman" w:hAnsi="Times New Roman" w:eastAsia="宋体" w:cs="Times New Roman"/>
          <w:b/>
          <w:bCs/>
          <w:color w:val="000000"/>
          <w:kern w:val="0"/>
          <w:sz w:val="24"/>
          <w:szCs w:val="24"/>
          <w:lang w:val="en-US" w:eastAsia="zh-CN"/>
        </w:rPr>
        <w:t>问题：请介绍下</w:t>
      </w:r>
      <w:r>
        <w:rPr>
          <w:rFonts w:hint="eastAsia" w:ascii="Times New Roman" w:hAnsi="Times New Roman" w:eastAsia="宋体" w:cs="Times New Roman"/>
          <w:b/>
          <w:bCs/>
          <w:color w:val="000000"/>
          <w:kern w:val="0"/>
          <w:sz w:val="24"/>
          <w:szCs w:val="24"/>
        </w:rPr>
        <w:t>公司</w:t>
      </w:r>
      <w:r>
        <w:rPr>
          <w:rFonts w:hint="eastAsia" w:ascii="Times New Roman" w:hAnsi="Times New Roman" w:eastAsia="宋体" w:cs="Times New Roman"/>
          <w:b/>
          <w:bCs/>
          <w:color w:val="000000"/>
          <w:kern w:val="0"/>
          <w:sz w:val="24"/>
          <w:szCs w:val="24"/>
          <w:lang w:val="en-US" w:eastAsia="zh-CN"/>
        </w:rPr>
        <w:t>近年来</w:t>
      </w:r>
      <w:r>
        <w:rPr>
          <w:rFonts w:hint="eastAsia" w:ascii="Times New Roman" w:hAnsi="Times New Roman" w:eastAsia="宋体" w:cs="Times New Roman"/>
          <w:b/>
          <w:bCs/>
          <w:color w:val="000000"/>
          <w:kern w:val="0"/>
          <w:sz w:val="24"/>
          <w:szCs w:val="24"/>
        </w:rPr>
        <w:t>回购股份</w:t>
      </w:r>
      <w:r>
        <w:rPr>
          <w:rFonts w:hint="eastAsia" w:ascii="Times New Roman" w:hAnsi="Times New Roman" w:eastAsia="宋体" w:cs="Times New Roman"/>
          <w:b/>
          <w:bCs/>
          <w:color w:val="000000"/>
          <w:kern w:val="0"/>
          <w:sz w:val="24"/>
          <w:szCs w:val="24"/>
          <w:lang w:val="en-US" w:eastAsia="zh-CN"/>
        </w:rPr>
        <w:t>的</w:t>
      </w:r>
      <w:r>
        <w:rPr>
          <w:rFonts w:hint="eastAsia" w:ascii="Times New Roman" w:hAnsi="Times New Roman" w:eastAsia="宋体" w:cs="Times New Roman"/>
          <w:b/>
          <w:bCs/>
          <w:color w:val="000000"/>
          <w:kern w:val="0"/>
          <w:sz w:val="24"/>
          <w:szCs w:val="24"/>
        </w:rPr>
        <w:t>情况</w:t>
      </w:r>
      <w:r>
        <w:rPr>
          <w:rFonts w:hint="eastAsia" w:ascii="Times New Roman" w:hAnsi="Times New Roman" w:eastAsia="宋体" w:cs="Times New Roman"/>
          <w:b/>
          <w:bCs/>
          <w:color w:val="000000"/>
          <w:kern w:val="0"/>
          <w:sz w:val="24"/>
          <w:szCs w:val="24"/>
          <w:lang w:eastAsia="zh-CN"/>
        </w:rPr>
        <w:t>。</w:t>
      </w:r>
    </w:p>
    <w:p>
      <w:pPr>
        <w:spacing w:before="156" w:beforeLines="50" w:line="360" w:lineRule="auto"/>
        <w:ind w:firstLine="480" w:firstLineChars="200"/>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答：基于对公司未来发展的信心和对公司价值的认可，促进公司稳定、健康、可持续发展，增强公众投资者对公司的信心，推动公司股票价值的合理回归，结合公司经营情况及财务状况等因素，2023年12月，公司完成回购股份8,436,800股，使用资金总额9,999.03万元。2024年1月，公司又一次启动回购公司股份的方案，拟再回购资金总额不低于人民币10,000万元（含），不超过人民币20,000万元（含）；2025年1月，公司完成回购，此次累计回购公司股份14,168,695股，使用资金金额15,561.22万元。两次合计回购公司股份22,605,495股,使用公司自有资金25,560.25万元。</w:t>
      </w:r>
    </w:p>
    <w:p>
      <w:pPr>
        <w:spacing w:before="156" w:beforeLines="50" w:line="360" w:lineRule="auto"/>
        <w:ind w:firstLine="482" w:firstLineChars="200"/>
        <w:rPr>
          <w:rFonts w:hint="eastAsia" w:ascii="宋体" w:hAnsi="宋体" w:cs="宋体"/>
          <w:b/>
          <w:bCs/>
          <w:color w:val="000000"/>
          <w:kern w:val="0"/>
          <w:sz w:val="24"/>
          <w:lang w:val="en-US" w:eastAsia="zh-CN"/>
        </w:rPr>
      </w:pPr>
      <w:r>
        <w:rPr>
          <w:rFonts w:hint="eastAsia" w:ascii="宋体" w:hAnsi="宋体" w:cs="宋体"/>
          <w:b/>
          <w:bCs/>
          <w:color w:val="000000"/>
          <w:kern w:val="0"/>
          <w:sz w:val="24"/>
          <w:lang w:val="en-US" w:eastAsia="zh-CN"/>
        </w:rPr>
        <w:t>问题：请介绍下公司的股权激励事项。</w:t>
      </w:r>
    </w:p>
    <w:p>
      <w:pPr>
        <w:spacing w:before="156" w:beforeLines="50" w:line="360" w:lineRule="auto"/>
        <w:ind w:firstLine="480" w:firstLineChars="200"/>
        <w:rPr>
          <w:rFonts w:hint="default"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答：</w:t>
      </w:r>
      <w:r>
        <w:rPr>
          <w:rFonts w:hint="default" w:ascii="宋体" w:hAnsi="宋体" w:cs="宋体"/>
          <w:b w:val="0"/>
          <w:bCs w:val="0"/>
          <w:color w:val="000000"/>
          <w:kern w:val="0"/>
          <w:sz w:val="24"/>
          <w:lang w:val="en-US" w:eastAsia="zh-CN"/>
        </w:rPr>
        <w:t>为进一步完善公司法人治理结构，实现对公司核心骨干人员的长效激励与约束，充分调动其积极性和创造性，使其利益与公司长远发展更紧密地结合，实现公司可持续发展，公司根据有关法律、行政法规和规范性文件以及《公司章程》的规定，制定</w:t>
      </w:r>
      <w:r>
        <w:rPr>
          <w:rFonts w:hint="eastAsia" w:ascii="宋体" w:hAnsi="宋体" w:cs="宋体"/>
          <w:b w:val="0"/>
          <w:bCs w:val="0"/>
          <w:color w:val="000000"/>
          <w:kern w:val="0"/>
          <w:sz w:val="24"/>
          <w:lang w:val="en-US" w:eastAsia="zh-CN"/>
        </w:rPr>
        <w:t>了</w:t>
      </w:r>
      <w:r>
        <w:rPr>
          <w:rFonts w:hint="default" w:ascii="宋体" w:hAnsi="宋体" w:cs="宋体"/>
          <w:b w:val="0"/>
          <w:bCs w:val="0"/>
          <w:color w:val="000000"/>
          <w:kern w:val="0"/>
          <w:sz w:val="24"/>
          <w:lang w:val="en-US" w:eastAsia="zh-CN"/>
        </w:rPr>
        <w:t>公司2024年限制性股票激励计划（草案）。</w:t>
      </w:r>
      <w:r>
        <w:rPr>
          <w:rFonts w:ascii="宋体" w:hAnsi="宋体" w:eastAsia="宋体" w:cs="宋体"/>
          <w:sz w:val="24"/>
          <w:szCs w:val="24"/>
        </w:rPr>
        <w:t>董事会确定2024年11月13日为授予日，同意向529名激励对象授予限制性股票共计21,553,532股，授予价格为人民币7.64元/股，股票来源为从二级市场回购的本公司A股普通股股票。</w:t>
      </w:r>
      <w:r>
        <w:rPr>
          <w:rFonts w:hint="default" w:ascii="宋体" w:hAnsi="宋体" w:cs="宋体"/>
          <w:b w:val="0"/>
          <w:bCs w:val="0"/>
          <w:color w:val="000000"/>
          <w:kern w:val="0"/>
          <w:sz w:val="24"/>
          <w:lang w:val="en-US" w:eastAsia="zh-CN"/>
        </w:rPr>
        <w:t>本计划授予的激励对象为公司部分核心骨干人员，系核心技术骨干及核心市场骨干。</w:t>
      </w:r>
      <w:r>
        <w:rPr>
          <w:rFonts w:ascii="宋体" w:hAnsi="宋体" w:eastAsia="宋体" w:cs="宋体"/>
          <w:sz w:val="24"/>
          <w:szCs w:val="24"/>
        </w:rPr>
        <w:t>本次激励计划授予限制性股票登记日为2024年12月20日。</w:t>
      </w:r>
    </w:p>
    <w:p>
      <w:pPr>
        <w:spacing w:before="156" w:beforeLines="50" w:line="360" w:lineRule="auto"/>
        <w:ind w:firstLine="480" w:firstLineChars="200"/>
        <w:rPr>
          <w:rFonts w:hint="eastAsia" w:ascii="宋体" w:hAnsi="宋体" w:cs="宋体"/>
          <w:color w:val="000000"/>
          <w:kern w:val="0"/>
          <w:sz w:val="24"/>
          <w:lang w:val="en-US" w:eastAsia="zh-CN"/>
        </w:rPr>
      </w:pPr>
    </w:p>
    <w:p>
      <w:pPr>
        <w:spacing w:line="360" w:lineRule="auto"/>
        <w:ind w:firstLine="480"/>
        <w:jc w:val="right"/>
        <w:rPr>
          <w:rFonts w:hint="eastAsia" w:ascii="宋体" w:hAnsi="宋体" w:cs="宋体"/>
          <w:color w:val="000000"/>
          <w:kern w:val="0"/>
          <w:sz w:val="24"/>
        </w:rPr>
      </w:pPr>
    </w:p>
    <w:p>
      <w:pPr>
        <w:spacing w:line="360" w:lineRule="auto"/>
        <w:ind w:firstLine="480"/>
        <w:jc w:val="right"/>
        <w:rPr>
          <w:rFonts w:ascii="宋体" w:hAnsi="宋体" w:cs="宋体"/>
          <w:color w:val="000000"/>
          <w:kern w:val="0"/>
          <w:sz w:val="24"/>
        </w:rPr>
      </w:pPr>
      <w:bookmarkStart w:id="0" w:name="_GoBack"/>
      <w:bookmarkEnd w:id="0"/>
      <w:r>
        <w:rPr>
          <w:rFonts w:hint="eastAsia" w:ascii="宋体" w:hAnsi="宋体" w:cs="宋体"/>
          <w:color w:val="000000"/>
          <w:kern w:val="0"/>
          <w:sz w:val="24"/>
        </w:rPr>
        <w:t>江苏亨通光电股份有限公司</w:t>
      </w:r>
    </w:p>
    <w:p>
      <w:pPr>
        <w:spacing w:line="360" w:lineRule="auto"/>
        <w:ind w:right="1075" w:rightChars="512" w:firstLine="480"/>
        <w:jc w:val="right"/>
        <w:rPr>
          <w:rFonts w:ascii="宋体" w:hAnsi="宋体" w:cs="宋体"/>
          <w:color w:val="000000"/>
          <w:kern w:val="0"/>
          <w:sz w:val="24"/>
        </w:rPr>
      </w:pPr>
      <w:r>
        <w:rPr>
          <w:rFonts w:hint="eastAsia" w:ascii="宋体" w:hAnsi="宋体" w:cs="宋体"/>
          <w:color w:val="000000"/>
          <w:kern w:val="0"/>
          <w:sz w:val="24"/>
        </w:rPr>
        <w:t>董事会</w:t>
      </w:r>
    </w:p>
    <w:p>
      <w:pPr>
        <w:spacing w:line="360" w:lineRule="auto"/>
        <w:jc w:val="center"/>
        <w:rPr>
          <w:rFonts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sz w:val="24"/>
        </w:rPr>
        <w:t>二○二</w:t>
      </w:r>
      <w:r>
        <w:rPr>
          <w:rFonts w:hint="eastAsia" w:ascii="宋体" w:hAnsi="宋体"/>
          <w:sz w:val="24"/>
          <w:lang w:val="en-US" w:eastAsia="zh-CN"/>
        </w:rPr>
        <w:t>五</w:t>
      </w:r>
      <w:r>
        <w:rPr>
          <w:rFonts w:hint="eastAsia" w:ascii="宋体" w:hAnsi="宋体"/>
          <w:sz w:val="24"/>
        </w:rPr>
        <w:t>年</w:t>
      </w:r>
      <w:r>
        <w:rPr>
          <w:rFonts w:hint="eastAsia" w:ascii="宋体" w:hAnsi="宋体"/>
          <w:sz w:val="24"/>
          <w:lang w:val="en-US" w:eastAsia="zh-CN"/>
        </w:rPr>
        <w:t>二</w:t>
      </w:r>
      <w:r>
        <w:rPr>
          <w:rFonts w:hint="eastAsia" w:ascii="宋体" w:hAnsi="宋体"/>
          <w:sz w:val="24"/>
        </w:rPr>
        <w:t>月</w:t>
      </w:r>
      <w:r>
        <w:rPr>
          <w:rFonts w:hint="eastAsia" w:ascii="宋体" w:hAnsi="宋体"/>
          <w:sz w:val="24"/>
          <w:lang w:val="en-US" w:eastAsia="zh-CN"/>
        </w:rPr>
        <w:t>五</w:t>
      </w:r>
      <w:r>
        <w:rPr>
          <w:rFonts w:hint="eastAsia" w:ascii="宋体" w:hAnsi="宋体"/>
          <w:sz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ACFD9"/>
    <w:multiLevelType w:val="singleLevel"/>
    <w:tmpl w:val="539ACFD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ODJhNGQ3NTEyODc2NTMzNWQ5MzFjNTQ1Y2E1YTYifQ=="/>
    <w:docVar w:name="KSO_WPS_MARK_KEY" w:val="2bdc507f-50fe-473b-bde8-600e6822d72b"/>
  </w:docVars>
  <w:rsids>
    <w:rsidRoot w:val="00172A27"/>
    <w:rsid w:val="00012653"/>
    <w:rsid w:val="0001741F"/>
    <w:rsid w:val="00023487"/>
    <w:rsid w:val="00027AC4"/>
    <w:rsid w:val="000449F4"/>
    <w:rsid w:val="00050582"/>
    <w:rsid w:val="00090461"/>
    <w:rsid w:val="00094A13"/>
    <w:rsid w:val="000A52B6"/>
    <w:rsid w:val="000A5C0B"/>
    <w:rsid w:val="000B2681"/>
    <w:rsid w:val="000D0CB2"/>
    <w:rsid w:val="000E0598"/>
    <w:rsid w:val="000E5EE8"/>
    <w:rsid w:val="000E753D"/>
    <w:rsid w:val="00103928"/>
    <w:rsid w:val="0010418B"/>
    <w:rsid w:val="00120F9F"/>
    <w:rsid w:val="001213BA"/>
    <w:rsid w:val="001307DF"/>
    <w:rsid w:val="00134026"/>
    <w:rsid w:val="00144F23"/>
    <w:rsid w:val="001569E1"/>
    <w:rsid w:val="00172A27"/>
    <w:rsid w:val="00174AA0"/>
    <w:rsid w:val="0019454F"/>
    <w:rsid w:val="001B0A6B"/>
    <w:rsid w:val="001B0D3B"/>
    <w:rsid w:val="001B497E"/>
    <w:rsid w:val="001C7D86"/>
    <w:rsid w:val="001D1E61"/>
    <w:rsid w:val="001D3419"/>
    <w:rsid w:val="001F3D86"/>
    <w:rsid w:val="002021C7"/>
    <w:rsid w:val="00202AAB"/>
    <w:rsid w:val="00202EFF"/>
    <w:rsid w:val="00225AFA"/>
    <w:rsid w:val="00235AF7"/>
    <w:rsid w:val="00236508"/>
    <w:rsid w:val="00246F43"/>
    <w:rsid w:val="00270905"/>
    <w:rsid w:val="00273982"/>
    <w:rsid w:val="00281BAF"/>
    <w:rsid w:val="00284DC0"/>
    <w:rsid w:val="0029422E"/>
    <w:rsid w:val="002B56C7"/>
    <w:rsid w:val="002C0A1B"/>
    <w:rsid w:val="002E4CE7"/>
    <w:rsid w:val="002F55E8"/>
    <w:rsid w:val="003067ED"/>
    <w:rsid w:val="00321EC1"/>
    <w:rsid w:val="003275DC"/>
    <w:rsid w:val="00333179"/>
    <w:rsid w:val="00354B2E"/>
    <w:rsid w:val="00374EAF"/>
    <w:rsid w:val="003816B1"/>
    <w:rsid w:val="003935F7"/>
    <w:rsid w:val="003A4403"/>
    <w:rsid w:val="003E0DE2"/>
    <w:rsid w:val="003E264B"/>
    <w:rsid w:val="003E596A"/>
    <w:rsid w:val="004128D5"/>
    <w:rsid w:val="004147B0"/>
    <w:rsid w:val="0042233A"/>
    <w:rsid w:val="004266BB"/>
    <w:rsid w:val="00440DB2"/>
    <w:rsid w:val="00455993"/>
    <w:rsid w:val="0047011B"/>
    <w:rsid w:val="00472EE4"/>
    <w:rsid w:val="00483B5B"/>
    <w:rsid w:val="00484F4E"/>
    <w:rsid w:val="0049071C"/>
    <w:rsid w:val="00490E28"/>
    <w:rsid w:val="00491F1E"/>
    <w:rsid w:val="0049315D"/>
    <w:rsid w:val="00493EB0"/>
    <w:rsid w:val="00494D26"/>
    <w:rsid w:val="004A1B6F"/>
    <w:rsid w:val="004D12A8"/>
    <w:rsid w:val="004D7E19"/>
    <w:rsid w:val="004E03CF"/>
    <w:rsid w:val="004F2EF5"/>
    <w:rsid w:val="004F42B5"/>
    <w:rsid w:val="00513190"/>
    <w:rsid w:val="00525D2B"/>
    <w:rsid w:val="0053148F"/>
    <w:rsid w:val="005317B8"/>
    <w:rsid w:val="005473CD"/>
    <w:rsid w:val="005618D3"/>
    <w:rsid w:val="00563B86"/>
    <w:rsid w:val="005817B6"/>
    <w:rsid w:val="005A2DD6"/>
    <w:rsid w:val="005A4C8A"/>
    <w:rsid w:val="005A6971"/>
    <w:rsid w:val="005B04BA"/>
    <w:rsid w:val="005B1C2C"/>
    <w:rsid w:val="005D0E2F"/>
    <w:rsid w:val="005D1F49"/>
    <w:rsid w:val="005D2AA9"/>
    <w:rsid w:val="005E4208"/>
    <w:rsid w:val="00601FAF"/>
    <w:rsid w:val="00602C87"/>
    <w:rsid w:val="00603AFF"/>
    <w:rsid w:val="00622BF5"/>
    <w:rsid w:val="00623E78"/>
    <w:rsid w:val="006336F2"/>
    <w:rsid w:val="00650B28"/>
    <w:rsid w:val="00660923"/>
    <w:rsid w:val="0067574A"/>
    <w:rsid w:val="00675F31"/>
    <w:rsid w:val="00681A1D"/>
    <w:rsid w:val="006A5D35"/>
    <w:rsid w:val="006C0EF7"/>
    <w:rsid w:val="006C29E4"/>
    <w:rsid w:val="006C485F"/>
    <w:rsid w:val="006E59DE"/>
    <w:rsid w:val="006F3885"/>
    <w:rsid w:val="006F618D"/>
    <w:rsid w:val="007014C7"/>
    <w:rsid w:val="00725821"/>
    <w:rsid w:val="00747DF1"/>
    <w:rsid w:val="00757977"/>
    <w:rsid w:val="007729F1"/>
    <w:rsid w:val="00784BCB"/>
    <w:rsid w:val="007851CF"/>
    <w:rsid w:val="00791862"/>
    <w:rsid w:val="007A154B"/>
    <w:rsid w:val="007A3481"/>
    <w:rsid w:val="007A3EDA"/>
    <w:rsid w:val="007A4FFD"/>
    <w:rsid w:val="007C4783"/>
    <w:rsid w:val="007F2D72"/>
    <w:rsid w:val="007F6390"/>
    <w:rsid w:val="00814A35"/>
    <w:rsid w:val="0083334E"/>
    <w:rsid w:val="008422E8"/>
    <w:rsid w:val="00842618"/>
    <w:rsid w:val="008556AB"/>
    <w:rsid w:val="00855F2D"/>
    <w:rsid w:val="00877DD0"/>
    <w:rsid w:val="008B0CF7"/>
    <w:rsid w:val="008B23DD"/>
    <w:rsid w:val="008B7BC3"/>
    <w:rsid w:val="008E50A1"/>
    <w:rsid w:val="008F1880"/>
    <w:rsid w:val="008F29DA"/>
    <w:rsid w:val="00903D27"/>
    <w:rsid w:val="00916A0A"/>
    <w:rsid w:val="009253B2"/>
    <w:rsid w:val="009342D2"/>
    <w:rsid w:val="009427F4"/>
    <w:rsid w:val="00973D8C"/>
    <w:rsid w:val="009849A6"/>
    <w:rsid w:val="009C08C9"/>
    <w:rsid w:val="009C3AD6"/>
    <w:rsid w:val="009C6293"/>
    <w:rsid w:val="009C62A3"/>
    <w:rsid w:val="009C77C3"/>
    <w:rsid w:val="009D20CE"/>
    <w:rsid w:val="009D6D11"/>
    <w:rsid w:val="009F04C9"/>
    <w:rsid w:val="009F6225"/>
    <w:rsid w:val="00A41B50"/>
    <w:rsid w:val="00A54972"/>
    <w:rsid w:val="00A55AF4"/>
    <w:rsid w:val="00A65571"/>
    <w:rsid w:val="00A707E2"/>
    <w:rsid w:val="00A72AE4"/>
    <w:rsid w:val="00A85312"/>
    <w:rsid w:val="00AA2FC5"/>
    <w:rsid w:val="00AA3226"/>
    <w:rsid w:val="00AA49E2"/>
    <w:rsid w:val="00AC7393"/>
    <w:rsid w:val="00AE39C8"/>
    <w:rsid w:val="00AE64C1"/>
    <w:rsid w:val="00AE799C"/>
    <w:rsid w:val="00AE7BC3"/>
    <w:rsid w:val="00B0060D"/>
    <w:rsid w:val="00B20F8C"/>
    <w:rsid w:val="00B23BCB"/>
    <w:rsid w:val="00B348B0"/>
    <w:rsid w:val="00B47AA4"/>
    <w:rsid w:val="00B51305"/>
    <w:rsid w:val="00B573F3"/>
    <w:rsid w:val="00B60BA4"/>
    <w:rsid w:val="00B70CAA"/>
    <w:rsid w:val="00B7440D"/>
    <w:rsid w:val="00B76860"/>
    <w:rsid w:val="00B91C4C"/>
    <w:rsid w:val="00B93219"/>
    <w:rsid w:val="00B957C1"/>
    <w:rsid w:val="00BB30FF"/>
    <w:rsid w:val="00BB39D8"/>
    <w:rsid w:val="00BC0333"/>
    <w:rsid w:val="00BC4311"/>
    <w:rsid w:val="00BD13DF"/>
    <w:rsid w:val="00BD206B"/>
    <w:rsid w:val="00BE3B0D"/>
    <w:rsid w:val="00BF0DED"/>
    <w:rsid w:val="00C01739"/>
    <w:rsid w:val="00C14622"/>
    <w:rsid w:val="00C37659"/>
    <w:rsid w:val="00C42ABC"/>
    <w:rsid w:val="00C47D94"/>
    <w:rsid w:val="00C63185"/>
    <w:rsid w:val="00C71D3E"/>
    <w:rsid w:val="00C975B9"/>
    <w:rsid w:val="00CA049E"/>
    <w:rsid w:val="00CA1315"/>
    <w:rsid w:val="00CF50E1"/>
    <w:rsid w:val="00CF752F"/>
    <w:rsid w:val="00D603BA"/>
    <w:rsid w:val="00D77CA7"/>
    <w:rsid w:val="00D8192C"/>
    <w:rsid w:val="00D87B14"/>
    <w:rsid w:val="00DA3845"/>
    <w:rsid w:val="00DB410B"/>
    <w:rsid w:val="00DC05F9"/>
    <w:rsid w:val="00DC2BCB"/>
    <w:rsid w:val="00DC54DC"/>
    <w:rsid w:val="00DC6AAF"/>
    <w:rsid w:val="00DD4C6E"/>
    <w:rsid w:val="00DE1D39"/>
    <w:rsid w:val="00DE4EF3"/>
    <w:rsid w:val="00DE6A84"/>
    <w:rsid w:val="00DE7330"/>
    <w:rsid w:val="00DF36C0"/>
    <w:rsid w:val="00E02182"/>
    <w:rsid w:val="00E35D66"/>
    <w:rsid w:val="00E475D3"/>
    <w:rsid w:val="00E767A5"/>
    <w:rsid w:val="00E82887"/>
    <w:rsid w:val="00E828B2"/>
    <w:rsid w:val="00E82942"/>
    <w:rsid w:val="00ED5E3C"/>
    <w:rsid w:val="00EE35C4"/>
    <w:rsid w:val="00EF6110"/>
    <w:rsid w:val="00EF6393"/>
    <w:rsid w:val="00F027FB"/>
    <w:rsid w:val="00F12B41"/>
    <w:rsid w:val="00F13F9B"/>
    <w:rsid w:val="00F1722B"/>
    <w:rsid w:val="00F33B77"/>
    <w:rsid w:val="00F4477A"/>
    <w:rsid w:val="00F46B9A"/>
    <w:rsid w:val="00F47F91"/>
    <w:rsid w:val="00F65175"/>
    <w:rsid w:val="00F827AF"/>
    <w:rsid w:val="00F95CB0"/>
    <w:rsid w:val="00FC181B"/>
    <w:rsid w:val="00FF6602"/>
    <w:rsid w:val="011B0745"/>
    <w:rsid w:val="0135137F"/>
    <w:rsid w:val="01AC7ACE"/>
    <w:rsid w:val="021C0820"/>
    <w:rsid w:val="02354A10"/>
    <w:rsid w:val="0291016E"/>
    <w:rsid w:val="02A03FE0"/>
    <w:rsid w:val="02B043C5"/>
    <w:rsid w:val="02DB675D"/>
    <w:rsid w:val="02F853F7"/>
    <w:rsid w:val="030E6210"/>
    <w:rsid w:val="033B7300"/>
    <w:rsid w:val="03657396"/>
    <w:rsid w:val="038E49F5"/>
    <w:rsid w:val="04133956"/>
    <w:rsid w:val="0451447E"/>
    <w:rsid w:val="04750178"/>
    <w:rsid w:val="049676A2"/>
    <w:rsid w:val="04B51790"/>
    <w:rsid w:val="050D65F7"/>
    <w:rsid w:val="052C238F"/>
    <w:rsid w:val="052D0A47"/>
    <w:rsid w:val="054221D9"/>
    <w:rsid w:val="05E9200E"/>
    <w:rsid w:val="06553913"/>
    <w:rsid w:val="067D3DF4"/>
    <w:rsid w:val="06A2037F"/>
    <w:rsid w:val="06EE2458"/>
    <w:rsid w:val="073A362C"/>
    <w:rsid w:val="073C7668"/>
    <w:rsid w:val="07417D06"/>
    <w:rsid w:val="07421D53"/>
    <w:rsid w:val="077C3F51"/>
    <w:rsid w:val="07C66EBA"/>
    <w:rsid w:val="08463673"/>
    <w:rsid w:val="08C23BA0"/>
    <w:rsid w:val="0965475F"/>
    <w:rsid w:val="09AB13AA"/>
    <w:rsid w:val="09CC7C3A"/>
    <w:rsid w:val="0A0C3723"/>
    <w:rsid w:val="0A6E7E60"/>
    <w:rsid w:val="0ACE4677"/>
    <w:rsid w:val="0AFE08CD"/>
    <w:rsid w:val="0B395DBC"/>
    <w:rsid w:val="0B3F7726"/>
    <w:rsid w:val="0B41272D"/>
    <w:rsid w:val="0B4A6EAD"/>
    <w:rsid w:val="0B6F513A"/>
    <w:rsid w:val="0BF64C7C"/>
    <w:rsid w:val="0C120ECA"/>
    <w:rsid w:val="0C1E558E"/>
    <w:rsid w:val="0D6851E9"/>
    <w:rsid w:val="0D6E7E4F"/>
    <w:rsid w:val="0D9303C8"/>
    <w:rsid w:val="0D957AD2"/>
    <w:rsid w:val="0DDC2091"/>
    <w:rsid w:val="0E3B1FBC"/>
    <w:rsid w:val="0E604A49"/>
    <w:rsid w:val="0E64709A"/>
    <w:rsid w:val="0E666BD4"/>
    <w:rsid w:val="0EC86D78"/>
    <w:rsid w:val="0EC96B65"/>
    <w:rsid w:val="0F136F00"/>
    <w:rsid w:val="0F563291"/>
    <w:rsid w:val="0F7B45D3"/>
    <w:rsid w:val="0FD24AAC"/>
    <w:rsid w:val="102A1F09"/>
    <w:rsid w:val="107514A4"/>
    <w:rsid w:val="112A100A"/>
    <w:rsid w:val="11451272"/>
    <w:rsid w:val="11D010D8"/>
    <w:rsid w:val="11F10C8B"/>
    <w:rsid w:val="11F52B0A"/>
    <w:rsid w:val="12A367ED"/>
    <w:rsid w:val="12F4307A"/>
    <w:rsid w:val="12FD668D"/>
    <w:rsid w:val="130F4CA1"/>
    <w:rsid w:val="135848B1"/>
    <w:rsid w:val="1364593E"/>
    <w:rsid w:val="14BC2880"/>
    <w:rsid w:val="15B669CC"/>
    <w:rsid w:val="15D32F45"/>
    <w:rsid w:val="16280F23"/>
    <w:rsid w:val="168F78E4"/>
    <w:rsid w:val="16D76A65"/>
    <w:rsid w:val="16ED3252"/>
    <w:rsid w:val="171B54BE"/>
    <w:rsid w:val="17451C21"/>
    <w:rsid w:val="17620A24"/>
    <w:rsid w:val="17941037"/>
    <w:rsid w:val="179C380B"/>
    <w:rsid w:val="17BA3F9F"/>
    <w:rsid w:val="17C43DD0"/>
    <w:rsid w:val="17C46391"/>
    <w:rsid w:val="17CC0594"/>
    <w:rsid w:val="18D07F81"/>
    <w:rsid w:val="18EF4BAA"/>
    <w:rsid w:val="1990114D"/>
    <w:rsid w:val="19C07C84"/>
    <w:rsid w:val="19E82D37"/>
    <w:rsid w:val="1A2A0C1A"/>
    <w:rsid w:val="1AA255DC"/>
    <w:rsid w:val="1BF42C46"/>
    <w:rsid w:val="1C0925F3"/>
    <w:rsid w:val="1C350E8A"/>
    <w:rsid w:val="1CB9648E"/>
    <w:rsid w:val="1CDC7C64"/>
    <w:rsid w:val="1CE123EB"/>
    <w:rsid w:val="1CF0262F"/>
    <w:rsid w:val="1D0645D2"/>
    <w:rsid w:val="1D0A6375"/>
    <w:rsid w:val="1D50131F"/>
    <w:rsid w:val="1D655B01"/>
    <w:rsid w:val="1D980D85"/>
    <w:rsid w:val="1DE06B47"/>
    <w:rsid w:val="1F0F6E11"/>
    <w:rsid w:val="1F552C1D"/>
    <w:rsid w:val="1F9E31CF"/>
    <w:rsid w:val="1FD24131"/>
    <w:rsid w:val="1FE05253"/>
    <w:rsid w:val="206F7D0E"/>
    <w:rsid w:val="20D274FA"/>
    <w:rsid w:val="21086CE7"/>
    <w:rsid w:val="212B59D1"/>
    <w:rsid w:val="2186485F"/>
    <w:rsid w:val="218A1663"/>
    <w:rsid w:val="22125BAD"/>
    <w:rsid w:val="22D8603F"/>
    <w:rsid w:val="233A4C8A"/>
    <w:rsid w:val="23BC1987"/>
    <w:rsid w:val="23D5127B"/>
    <w:rsid w:val="24174945"/>
    <w:rsid w:val="248E2B34"/>
    <w:rsid w:val="24F37160"/>
    <w:rsid w:val="254479BB"/>
    <w:rsid w:val="25880B5B"/>
    <w:rsid w:val="25E81B5A"/>
    <w:rsid w:val="26191ACF"/>
    <w:rsid w:val="26520498"/>
    <w:rsid w:val="26DD00C8"/>
    <w:rsid w:val="270D57BC"/>
    <w:rsid w:val="27135D4E"/>
    <w:rsid w:val="27914A0E"/>
    <w:rsid w:val="27A31CF0"/>
    <w:rsid w:val="28286D9C"/>
    <w:rsid w:val="28894275"/>
    <w:rsid w:val="28CF0D04"/>
    <w:rsid w:val="2A235F6C"/>
    <w:rsid w:val="2A3E7927"/>
    <w:rsid w:val="2A6636FF"/>
    <w:rsid w:val="2A772583"/>
    <w:rsid w:val="2AAF7607"/>
    <w:rsid w:val="2AC22C78"/>
    <w:rsid w:val="2AF94DA4"/>
    <w:rsid w:val="2B8E7EF4"/>
    <w:rsid w:val="2BD47D07"/>
    <w:rsid w:val="2C1F79A0"/>
    <w:rsid w:val="2C892BFB"/>
    <w:rsid w:val="2C8C6BBA"/>
    <w:rsid w:val="2CB16362"/>
    <w:rsid w:val="2CC11EF0"/>
    <w:rsid w:val="2D1E2844"/>
    <w:rsid w:val="2D291F29"/>
    <w:rsid w:val="2D380C2C"/>
    <w:rsid w:val="2D52657E"/>
    <w:rsid w:val="2D5C4786"/>
    <w:rsid w:val="2DF94F1D"/>
    <w:rsid w:val="2E3B692C"/>
    <w:rsid w:val="2E507340"/>
    <w:rsid w:val="2EA2700D"/>
    <w:rsid w:val="2F1A5CD7"/>
    <w:rsid w:val="2F2A50DC"/>
    <w:rsid w:val="2F3A3EF1"/>
    <w:rsid w:val="2F9837E0"/>
    <w:rsid w:val="2FEE2FF2"/>
    <w:rsid w:val="3025488D"/>
    <w:rsid w:val="30890978"/>
    <w:rsid w:val="30C776F3"/>
    <w:rsid w:val="30E57CC3"/>
    <w:rsid w:val="312C4797"/>
    <w:rsid w:val="315B2FB6"/>
    <w:rsid w:val="31611240"/>
    <w:rsid w:val="31662A68"/>
    <w:rsid w:val="317B7E20"/>
    <w:rsid w:val="3273128F"/>
    <w:rsid w:val="32BC21C9"/>
    <w:rsid w:val="32F370D0"/>
    <w:rsid w:val="33154745"/>
    <w:rsid w:val="335F074B"/>
    <w:rsid w:val="336A39B5"/>
    <w:rsid w:val="33C60A17"/>
    <w:rsid w:val="341B6A2F"/>
    <w:rsid w:val="34B955A4"/>
    <w:rsid w:val="356C2341"/>
    <w:rsid w:val="35BC5FB4"/>
    <w:rsid w:val="35D43DD4"/>
    <w:rsid w:val="36065B18"/>
    <w:rsid w:val="366A4DA8"/>
    <w:rsid w:val="36A9016B"/>
    <w:rsid w:val="36B329EC"/>
    <w:rsid w:val="36DE46DE"/>
    <w:rsid w:val="37055B47"/>
    <w:rsid w:val="370B4C6F"/>
    <w:rsid w:val="37466809"/>
    <w:rsid w:val="37BD6D79"/>
    <w:rsid w:val="37CE1714"/>
    <w:rsid w:val="37DC5CA4"/>
    <w:rsid w:val="38D820B5"/>
    <w:rsid w:val="390D7003"/>
    <w:rsid w:val="39706B79"/>
    <w:rsid w:val="39C86BF0"/>
    <w:rsid w:val="39E97DA8"/>
    <w:rsid w:val="3A1E0383"/>
    <w:rsid w:val="3A5D4E6A"/>
    <w:rsid w:val="3B3D2A8B"/>
    <w:rsid w:val="3B9917F3"/>
    <w:rsid w:val="3C246E37"/>
    <w:rsid w:val="3C4F25B5"/>
    <w:rsid w:val="3D3E3C61"/>
    <w:rsid w:val="3E1E6BED"/>
    <w:rsid w:val="3E2D328B"/>
    <w:rsid w:val="3E450385"/>
    <w:rsid w:val="3E542340"/>
    <w:rsid w:val="3E81549E"/>
    <w:rsid w:val="3EAC02FF"/>
    <w:rsid w:val="3EB94BB9"/>
    <w:rsid w:val="3ED670B5"/>
    <w:rsid w:val="3F4D412F"/>
    <w:rsid w:val="3F5B5BD6"/>
    <w:rsid w:val="3F9E1F60"/>
    <w:rsid w:val="3FF5663E"/>
    <w:rsid w:val="40102BDE"/>
    <w:rsid w:val="401F09B1"/>
    <w:rsid w:val="40DB1E10"/>
    <w:rsid w:val="40E46506"/>
    <w:rsid w:val="40F9551A"/>
    <w:rsid w:val="416E7EEE"/>
    <w:rsid w:val="42134546"/>
    <w:rsid w:val="42800A16"/>
    <w:rsid w:val="42D91BCA"/>
    <w:rsid w:val="42DF5749"/>
    <w:rsid w:val="42E34DC3"/>
    <w:rsid w:val="431E31BE"/>
    <w:rsid w:val="435460FF"/>
    <w:rsid w:val="436C4E7F"/>
    <w:rsid w:val="43F8371D"/>
    <w:rsid w:val="4405408E"/>
    <w:rsid w:val="44376C02"/>
    <w:rsid w:val="448C3DA5"/>
    <w:rsid w:val="44E33461"/>
    <w:rsid w:val="452428A8"/>
    <w:rsid w:val="4529605B"/>
    <w:rsid w:val="45D97854"/>
    <w:rsid w:val="45E034DC"/>
    <w:rsid w:val="46ED1F0F"/>
    <w:rsid w:val="4732546E"/>
    <w:rsid w:val="4763003C"/>
    <w:rsid w:val="47640F76"/>
    <w:rsid w:val="48385F96"/>
    <w:rsid w:val="483B314E"/>
    <w:rsid w:val="48BD5E62"/>
    <w:rsid w:val="49211466"/>
    <w:rsid w:val="49310D0B"/>
    <w:rsid w:val="4A8C6560"/>
    <w:rsid w:val="4AA01FB4"/>
    <w:rsid w:val="4B331E38"/>
    <w:rsid w:val="4B57727B"/>
    <w:rsid w:val="4B8D3325"/>
    <w:rsid w:val="4B9F3C86"/>
    <w:rsid w:val="4C0A4C0B"/>
    <w:rsid w:val="4C197D77"/>
    <w:rsid w:val="4C2D7ED3"/>
    <w:rsid w:val="4C2F0041"/>
    <w:rsid w:val="4C7A7C30"/>
    <w:rsid w:val="4C7B603F"/>
    <w:rsid w:val="4C8D7673"/>
    <w:rsid w:val="4CB0382E"/>
    <w:rsid w:val="4D97427D"/>
    <w:rsid w:val="4E4A6BBC"/>
    <w:rsid w:val="4E4D372B"/>
    <w:rsid w:val="4EF37BDC"/>
    <w:rsid w:val="4F534F16"/>
    <w:rsid w:val="4F785076"/>
    <w:rsid w:val="4FAD7FBA"/>
    <w:rsid w:val="4FAE1D52"/>
    <w:rsid w:val="4FC46BD9"/>
    <w:rsid w:val="50371D47"/>
    <w:rsid w:val="50485D02"/>
    <w:rsid w:val="50BA6805"/>
    <w:rsid w:val="511E6A63"/>
    <w:rsid w:val="51403E91"/>
    <w:rsid w:val="51C33649"/>
    <w:rsid w:val="521B31E0"/>
    <w:rsid w:val="52C23E67"/>
    <w:rsid w:val="531F117A"/>
    <w:rsid w:val="534776EE"/>
    <w:rsid w:val="53B813F1"/>
    <w:rsid w:val="53FD1767"/>
    <w:rsid w:val="542E3995"/>
    <w:rsid w:val="544B4013"/>
    <w:rsid w:val="549A1B46"/>
    <w:rsid w:val="55245321"/>
    <w:rsid w:val="55DE4499"/>
    <w:rsid w:val="55FB21BB"/>
    <w:rsid w:val="56191BDF"/>
    <w:rsid w:val="56193D7C"/>
    <w:rsid w:val="565F5230"/>
    <w:rsid w:val="567A298E"/>
    <w:rsid w:val="568D3428"/>
    <w:rsid w:val="56DD5701"/>
    <w:rsid w:val="57184B2E"/>
    <w:rsid w:val="572E35AF"/>
    <w:rsid w:val="576C0528"/>
    <w:rsid w:val="57FD2352"/>
    <w:rsid w:val="58111688"/>
    <w:rsid w:val="58377D86"/>
    <w:rsid w:val="587A24F5"/>
    <w:rsid w:val="58B8779D"/>
    <w:rsid w:val="58C6010C"/>
    <w:rsid w:val="590242C8"/>
    <w:rsid w:val="59745DBA"/>
    <w:rsid w:val="5A247E2F"/>
    <w:rsid w:val="5A5C1E0E"/>
    <w:rsid w:val="5A6A754B"/>
    <w:rsid w:val="5A93401E"/>
    <w:rsid w:val="5ACF4A8B"/>
    <w:rsid w:val="5AE26BE0"/>
    <w:rsid w:val="5B161530"/>
    <w:rsid w:val="5B207260"/>
    <w:rsid w:val="5B655F94"/>
    <w:rsid w:val="5BB0022A"/>
    <w:rsid w:val="5BE70C85"/>
    <w:rsid w:val="5BEC0332"/>
    <w:rsid w:val="5C9255F9"/>
    <w:rsid w:val="5C95407D"/>
    <w:rsid w:val="5CC10E10"/>
    <w:rsid w:val="5D2B49E2"/>
    <w:rsid w:val="5D317686"/>
    <w:rsid w:val="5D702C5B"/>
    <w:rsid w:val="5DA327CA"/>
    <w:rsid w:val="5DB55FB7"/>
    <w:rsid w:val="5DC42740"/>
    <w:rsid w:val="5E1D77DE"/>
    <w:rsid w:val="5E4F3C50"/>
    <w:rsid w:val="5EBA21F4"/>
    <w:rsid w:val="5EFE6642"/>
    <w:rsid w:val="5F3244C6"/>
    <w:rsid w:val="5F392DEF"/>
    <w:rsid w:val="5F8E562C"/>
    <w:rsid w:val="5FB10EAB"/>
    <w:rsid w:val="5FCF78A6"/>
    <w:rsid w:val="603A39FC"/>
    <w:rsid w:val="612D6AC7"/>
    <w:rsid w:val="615C00C5"/>
    <w:rsid w:val="61972B6A"/>
    <w:rsid w:val="61BD259A"/>
    <w:rsid w:val="61EC1C0D"/>
    <w:rsid w:val="6277565D"/>
    <w:rsid w:val="628350AF"/>
    <w:rsid w:val="62B52594"/>
    <w:rsid w:val="62DB6BE0"/>
    <w:rsid w:val="631210AD"/>
    <w:rsid w:val="6325028D"/>
    <w:rsid w:val="63A23C18"/>
    <w:rsid w:val="63BA5C48"/>
    <w:rsid w:val="63C1759D"/>
    <w:rsid w:val="63C95B50"/>
    <w:rsid w:val="63F43D7F"/>
    <w:rsid w:val="643E1DDB"/>
    <w:rsid w:val="6450167E"/>
    <w:rsid w:val="646377BD"/>
    <w:rsid w:val="64772F17"/>
    <w:rsid w:val="64A75470"/>
    <w:rsid w:val="64AC75A1"/>
    <w:rsid w:val="64AE142B"/>
    <w:rsid w:val="64C72D9F"/>
    <w:rsid w:val="64D26788"/>
    <w:rsid w:val="651947B7"/>
    <w:rsid w:val="65BE3800"/>
    <w:rsid w:val="65EC3F7E"/>
    <w:rsid w:val="664E4312"/>
    <w:rsid w:val="66A71EB1"/>
    <w:rsid w:val="66D62934"/>
    <w:rsid w:val="685D39C4"/>
    <w:rsid w:val="68752FB5"/>
    <w:rsid w:val="68F4037D"/>
    <w:rsid w:val="693B377B"/>
    <w:rsid w:val="6994750C"/>
    <w:rsid w:val="6AAC5C88"/>
    <w:rsid w:val="6BA936A1"/>
    <w:rsid w:val="6C24000E"/>
    <w:rsid w:val="6C440E9E"/>
    <w:rsid w:val="6C701003"/>
    <w:rsid w:val="6CB7688A"/>
    <w:rsid w:val="6D2F13C1"/>
    <w:rsid w:val="6D8C2DD3"/>
    <w:rsid w:val="6EAA7FEA"/>
    <w:rsid w:val="6F653D83"/>
    <w:rsid w:val="6F7026DB"/>
    <w:rsid w:val="6F760E03"/>
    <w:rsid w:val="6F9E4B2F"/>
    <w:rsid w:val="6FF3441E"/>
    <w:rsid w:val="705D0EFE"/>
    <w:rsid w:val="71334D17"/>
    <w:rsid w:val="715414DE"/>
    <w:rsid w:val="71EE29DB"/>
    <w:rsid w:val="72111FA0"/>
    <w:rsid w:val="724578F3"/>
    <w:rsid w:val="72E70F53"/>
    <w:rsid w:val="7306587D"/>
    <w:rsid w:val="7327134F"/>
    <w:rsid w:val="739D214C"/>
    <w:rsid w:val="73BA35F6"/>
    <w:rsid w:val="73F5094C"/>
    <w:rsid w:val="7435157E"/>
    <w:rsid w:val="745B7E8E"/>
    <w:rsid w:val="74626AE3"/>
    <w:rsid w:val="7477077E"/>
    <w:rsid w:val="748A7DE8"/>
    <w:rsid w:val="75665BB1"/>
    <w:rsid w:val="75BA7A8F"/>
    <w:rsid w:val="75D51537"/>
    <w:rsid w:val="764C58E9"/>
    <w:rsid w:val="776860ED"/>
    <w:rsid w:val="77D17A83"/>
    <w:rsid w:val="78931B32"/>
    <w:rsid w:val="789B029A"/>
    <w:rsid w:val="78AD7253"/>
    <w:rsid w:val="78E0447A"/>
    <w:rsid w:val="78F37DE9"/>
    <w:rsid w:val="792151BF"/>
    <w:rsid w:val="796B2ECF"/>
    <w:rsid w:val="79C444CF"/>
    <w:rsid w:val="7A723A70"/>
    <w:rsid w:val="7A991CFE"/>
    <w:rsid w:val="7AAA1CB7"/>
    <w:rsid w:val="7B010485"/>
    <w:rsid w:val="7B046266"/>
    <w:rsid w:val="7BC23097"/>
    <w:rsid w:val="7BD51B41"/>
    <w:rsid w:val="7BE13546"/>
    <w:rsid w:val="7C824B4A"/>
    <w:rsid w:val="7CDC2952"/>
    <w:rsid w:val="7D372A36"/>
    <w:rsid w:val="7D506A81"/>
    <w:rsid w:val="7D997111"/>
    <w:rsid w:val="7D9C12B8"/>
    <w:rsid w:val="7E074AFB"/>
    <w:rsid w:val="7E374B3D"/>
    <w:rsid w:val="7E4A2638"/>
    <w:rsid w:val="7F0B0C46"/>
    <w:rsid w:val="7F157B5F"/>
    <w:rsid w:val="7F8D64F3"/>
    <w:rsid w:val="7F914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7"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Balloon Text"/>
    <w:basedOn w:val="1"/>
    <w:link w:val="24"/>
    <w:semiHidden/>
    <w:unhideWhenUsed/>
    <w:qFormat/>
    <w:uiPriority w:val="99"/>
    <w:rPr>
      <w:sz w:val="18"/>
      <w:szCs w:val="18"/>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7">
    <w:name w:val="annotation subject"/>
    <w:basedOn w:val="2"/>
    <w:next w:val="2"/>
    <w:link w:val="22"/>
    <w:semiHidden/>
    <w:unhideWhenUsed/>
    <w:qFormat/>
    <w:uiPriority w:val="99"/>
    <w:rPr>
      <w:b/>
      <w:bCs/>
    </w:rPr>
  </w:style>
  <w:style w:type="table" w:styleId="9">
    <w:name w:val="Table Grid"/>
    <w:basedOn w:val="8"/>
    <w:qFormat/>
    <w:uiPriority w:val="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4461DA"/>
      <w:u w:val="none"/>
    </w:rPr>
  </w:style>
  <w:style w:type="character" w:styleId="12">
    <w:name w:val="HTML Acronym"/>
    <w:basedOn w:val="10"/>
    <w:semiHidden/>
    <w:unhideWhenUsed/>
    <w:qFormat/>
    <w:uiPriority w:val="99"/>
    <w:rPr>
      <w:caps/>
      <w:spacing w:val="10"/>
    </w:rPr>
  </w:style>
  <w:style w:type="character" w:styleId="13">
    <w:name w:val="HTML Variable"/>
    <w:basedOn w:val="10"/>
    <w:semiHidden/>
    <w:unhideWhenUsed/>
    <w:qFormat/>
    <w:uiPriority w:val="99"/>
    <w:rPr>
      <w:rFonts w:hint="default" w:ascii="monospace" w:hAnsi="monospace" w:eastAsia="monospace" w:cs="monospace"/>
      <w:i/>
      <w:sz w:val="24"/>
      <w:szCs w:val="24"/>
    </w:rPr>
  </w:style>
  <w:style w:type="character" w:styleId="14">
    <w:name w:val="Hyperlink"/>
    <w:basedOn w:val="10"/>
    <w:semiHidden/>
    <w:unhideWhenUsed/>
    <w:qFormat/>
    <w:uiPriority w:val="99"/>
    <w:rPr>
      <w:color w:val="4461DA"/>
      <w:u w:val="none"/>
    </w:rPr>
  </w:style>
  <w:style w:type="character" w:styleId="15">
    <w:name w:val="HTML Code"/>
    <w:basedOn w:val="10"/>
    <w:semiHidden/>
    <w:unhideWhenUsed/>
    <w:qFormat/>
    <w:uiPriority w:val="99"/>
    <w:rPr>
      <w:rFonts w:hint="default" w:ascii="monospace" w:hAnsi="monospace" w:eastAsia="monospace" w:cs="monospace"/>
      <w:color w:val="555555"/>
      <w:sz w:val="24"/>
      <w:szCs w:val="24"/>
    </w:rPr>
  </w:style>
  <w:style w:type="character" w:styleId="16">
    <w:name w:val="annotation reference"/>
    <w:basedOn w:val="10"/>
    <w:semiHidden/>
    <w:unhideWhenUsed/>
    <w:qFormat/>
    <w:uiPriority w:val="99"/>
    <w:rPr>
      <w:sz w:val="21"/>
      <w:szCs w:val="21"/>
    </w:rPr>
  </w:style>
  <w:style w:type="character" w:styleId="17">
    <w:name w:val="HTML Keyboard"/>
    <w:basedOn w:val="10"/>
    <w:semiHidden/>
    <w:unhideWhenUsed/>
    <w:qFormat/>
    <w:uiPriority w:val="99"/>
    <w:rPr>
      <w:rFonts w:ascii="monospace" w:hAnsi="monospace" w:eastAsia="monospace" w:cs="monospace"/>
      <w:sz w:val="24"/>
      <w:szCs w:val="24"/>
    </w:rPr>
  </w:style>
  <w:style w:type="character" w:styleId="18">
    <w:name w:val="HTML Sample"/>
    <w:basedOn w:val="10"/>
    <w:semiHidden/>
    <w:unhideWhenUsed/>
    <w:qFormat/>
    <w:uiPriority w:val="99"/>
    <w:rPr>
      <w:rFonts w:hint="default" w:ascii="monospace" w:hAnsi="monospace" w:eastAsia="monospace" w:cs="monospace"/>
      <w:sz w:val="24"/>
      <w:szCs w:val="24"/>
    </w:rPr>
  </w:style>
  <w:style w:type="character" w:customStyle="1" w:styleId="19">
    <w:name w:val="页眉 Char"/>
    <w:basedOn w:val="10"/>
    <w:link w:val="5"/>
    <w:qFormat/>
    <w:uiPriority w:val="99"/>
    <w:rPr>
      <w:sz w:val="18"/>
      <w:szCs w:val="18"/>
    </w:rPr>
  </w:style>
  <w:style w:type="character" w:customStyle="1" w:styleId="20">
    <w:name w:val="页脚 Char"/>
    <w:basedOn w:val="10"/>
    <w:link w:val="4"/>
    <w:qFormat/>
    <w:uiPriority w:val="99"/>
    <w:rPr>
      <w:sz w:val="18"/>
      <w:szCs w:val="18"/>
    </w:rPr>
  </w:style>
  <w:style w:type="character" w:customStyle="1" w:styleId="21">
    <w:name w:val="批注文字 Char"/>
    <w:basedOn w:val="10"/>
    <w:link w:val="2"/>
    <w:semiHidden/>
    <w:qFormat/>
    <w:uiPriority w:val="99"/>
  </w:style>
  <w:style w:type="character" w:customStyle="1" w:styleId="22">
    <w:name w:val="批注主题 Char"/>
    <w:basedOn w:val="21"/>
    <w:link w:val="7"/>
    <w:semiHidden/>
    <w:qFormat/>
    <w:uiPriority w:val="99"/>
    <w:rPr>
      <w:b/>
      <w:bCs/>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批注框文本 Char"/>
    <w:basedOn w:val="10"/>
    <w:link w:val="3"/>
    <w:semiHidden/>
    <w:qFormat/>
    <w:uiPriority w:val="99"/>
    <w:rPr>
      <w:sz w:val="18"/>
      <w:szCs w:val="18"/>
    </w:rPr>
  </w:style>
  <w:style w:type="paragraph" w:customStyle="1" w:styleId="25">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character" w:customStyle="1" w:styleId="26">
    <w:name w:val="jbox-icon-error"/>
    <w:basedOn w:val="10"/>
    <w:qFormat/>
    <w:uiPriority w:val="0"/>
  </w:style>
  <w:style w:type="character" w:customStyle="1" w:styleId="27">
    <w:name w:val="jbox-icon"/>
    <w:basedOn w:val="10"/>
    <w:qFormat/>
    <w:uiPriority w:val="0"/>
  </w:style>
  <w:style w:type="character" w:customStyle="1" w:styleId="28">
    <w:name w:val="jbox-icon-info"/>
    <w:basedOn w:val="10"/>
    <w:qFormat/>
    <w:uiPriority w:val="0"/>
  </w:style>
  <w:style w:type="character" w:customStyle="1" w:styleId="29">
    <w:name w:val="jbox-icon-warning"/>
    <w:basedOn w:val="10"/>
    <w:qFormat/>
    <w:uiPriority w:val="0"/>
  </w:style>
  <w:style w:type="character" w:customStyle="1" w:styleId="30">
    <w:name w:val="emotion"/>
    <w:basedOn w:val="10"/>
    <w:qFormat/>
    <w:uiPriority w:val="0"/>
    <w:rPr>
      <w:vanish/>
      <w:sz w:val="15"/>
      <w:szCs w:val="15"/>
    </w:rPr>
  </w:style>
  <w:style w:type="character" w:customStyle="1" w:styleId="31">
    <w:name w:val="s_bg4_c11"/>
    <w:basedOn w:val="10"/>
    <w:qFormat/>
    <w:uiPriority w:val="0"/>
  </w:style>
  <w:style w:type="character" w:customStyle="1" w:styleId="32">
    <w:name w:val="s_bg4_c12"/>
    <w:basedOn w:val="10"/>
    <w:qFormat/>
    <w:uiPriority w:val="0"/>
  </w:style>
  <w:style w:type="character" w:customStyle="1" w:styleId="33">
    <w:name w:val="s_bg4_c2"/>
    <w:basedOn w:val="10"/>
    <w:qFormat/>
    <w:uiPriority w:val="0"/>
  </w:style>
  <w:style w:type="character" w:customStyle="1" w:styleId="34">
    <w:name w:val="s_bg4_c21"/>
    <w:basedOn w:val="10"/>
    <w:qFormat/>
    <w:uiPriority w:val="0"/>
  </w:style>
  <w:style w:type="character" w:customStyle="1" w:styleId="35">
    <w:name w:val="jbox-icon-loading"/>
    <w:basedOn w:val="10"/>
    <w:qFormat/>
    <w:uiPriority w:val="0"/>
  </w:style>
  <w:style w:type="character" w:customStyle="1" w:styleId="36">
    <w:name w:val="jbox-icon-none"/>
    <w:basedOn w:val="10"/>
    <w:qFormat/>
    <w:uiPriority w:val="0"/>
    <w:rPr>
      <w:vanish/>
    </w:rPr>
  </w:style>
  <w:style w:type="character" w:customStyle="1" w:styleId="37">
    <w:name w:val="jbox-icon-success"/>
    <w:basedOn w:val="10"/>
    <w:qFormat/>
    <w:uiPriority w:val="0"/>
  </w:style>
  <w:style w:type="character" w:customStyle="1" w:styleId="38">
    <w:name w:val="jbox-icon-question"/>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EE328-FC99-43DA-B44B-5E7E3F1D4E0F}">
  <ds:schemaRefs/>
</ds:datastoreItem>
</file>

<file path=docProps/app.xml><?xml version="1.0" encoding="utf-8"?>
<Properties xmlns="http://schemas.openxmlformats.org/officeDocument/2006/extended-properties" xmlns:vt="http://schemas.openxmlformats.org/officeDocument/2006/docPropsVTypes">
  <Template>Normal</Template>
  <Pages>7</Pages>
  <Words>4716</Words>
  <Characters>5084</Characters>
  <Lines>44</Lines>
  <Paragraphs>12</Paragraphs>
  <TotalTime>27</TotalTime>
  <ScaleCrop>false</ScaleCrop>
  <LinksUpToDate>false</LinksUpToDate>
  <CharactersWithSpaces>5188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2023-11-01T09:40:00Z</dcterms:created>
  <dc:creator>River Liu</dc:creator>
  <cp:lastModifiedBy>gu</cp:lastModifiedBy>
  <cp:lastPrinted>2022-05-09T01:49:00Z</cp:lastPrinted>
  <dcterms:modified xsi:type="dcterms:W3CDTF">2025-02-05T09:14:46Z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81E9B667529B4E50BCA41EB7BB48C59A</vt:lpwstr>
  </property>
  <property fmtid="{D5CDD505-2E9C-101B-9397-08002B2CF9AE}" pid="4" name="KSOTemplateDocerSaveRecord">
    <vt:lpwstr>eyJoZGlkIjoiMGY0YzY5MDc3ZWRhMWE1ZWU2NjFkZTg5M2E3NDYwMjkiLCJ1c2VySWQiOiI5NTk1MTE3NTMifQ==</vt:lpwstr>
  </property>
</Properties>
</file>