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
      <w:pPr>
        <w:jc w:val="center"/>
        <w:rPr>
          <w:rFonts w:ascii="CTBiaoSongSJ" w:eastAsia="CTBiaoSongSJ"/>
          <w:sz w:val="44"/>
          <w:szCs w:val="44"/>
        </w:rPr>
      </w:pPr>
      <w:r>
        <w:rPr>
          <w:rFonts w:ascii="CTBiaoSongSJ" w:eastAsia="CTBiaoSongSJ" w:hint="eastAsia"/>
          <w:sz w:val="44"/>
          <w:szCs w:val="44"/>
        </w:rPr>
        <w:t>兖矿能源2</w:t>
      </w:r>
      <w:r>
        <w:rPr>
          <w:rFonts w:ascii="CTBiaoSongSJ" w:eastAsia="CTBiaoSongSJ"/>
          <w:sz w:val="44"/>
          <w:szCs w:val="44"/>
        </w:rPr>
        <w:t>024</w:t>
      </w:r>
      <w:r>
        <w:rPr>
          <w:rFonts w:ascii="CTBiaoSongSJ" w:eastAsia="CTBiaoSongSJ" w:hint="eastAsia"/>
          <w:sz w:val="44"/>
          <w:szCs w:val="44"/>
        </w:rPr>
        <w:t>年第四季度投资者关系活动记录</w:t>
      </w:r>
    </w:p>
    <w:p>
      <w:pPr>
        <w:jc w:val="center"/>
        <w:rPr>
          <w:rFonts w:ascii="CTBiaoSongSJ" w:eastAsia="CTBiaoSongSJ"/>
          <w:sz w:val="44"/>
          <w:szCs w:val="44"/>
        </w:rPr>
      </w:pPr>
    </w:p>
    <w:tbl>
      <w:tblPr>
        <w:tblW w:w="15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1985"/>
        <w:gridCol w:w="2542"/>
        <w:gridCol w:w="1568"/>
        <w:gridCol w:w="3251"/>
        <w:gridCol w:w="2561"/>
        <w:gridCol w:w="2126"/>
      </w:tblGrid>
      <w:tr>
        <w:trPr>
          <w:jc w:val="center"/>
        </w:trPr>
        <w:tc>
          <w:tcPr>
            <w:tcW w:w="997" w:type="dxa"/>
            <w:vAlign w:val="center"/>
          </w:tcPr>
          <w:p>
            <w:pPr>
              <w:spacing w:line="400" w:lineRule="exact"/>
              <w:jc w:val="center"/>
              <w:rPr>
                <w:rFonts w:ascii="仿宋_GB2312" w:eastAsia="仿宋_GB2312"/>
                <w:b/>
                <w:bCs/>
                <w:sz w:val="28"/>
                <w:szCs w:val="28"/>
              </w:rPr>
            </w:pPr>
            <w:r>
              <w:rPr>
                <w:rFonts w:ascii="仿宋_GB2312" w:eastAsia="仿宋_GB2312" w:hint="eastAsia"/>
                <w:b/>
                <w:bCs/>
                <w:sz w:val="28"/>
                <w:szCs w:val="28"/>
              </w:rPr>
              <w:t>序号</w:t>
            </w:r>
          </w:p>
        </w:tc>
        <w:tc>
          <w:tcPr>
            <w:tcW w:w="1985" w:type="dxa"/>
            <w:vAlign w:val="center"/>
          </w:tcPr>
          <w:p>
            <w:pPr>
              <w:spacing w:line="400" w:lineRule="exact"/>
              <w:jc w:val="center"/>
              <w:rPr>
                <w:rFonts w:ascii="仿宋_GB2312" w:eastAsia="仿宋_GB2312"/>
                <w:b/>
                <w:bCs/>
                <w:sz w:val="28"/>
                <w:szCs w:val="28"/>
              </w:rPr>
            </w:pPr>
            <w:r>
              <w:rPr>
                <w:rFonts w:ascii="仿宋_GB2312" w:eastAsia="仿宋_GB2312" w:hint="eastAsia"/>
                <w:b/>
                <w:bCs/>
                <w:sz w:val="28"/>
                <w:szCs w:val="28"/>
              </w:rPr>
              <w:t>形式</w:t>
            </w:r>
          </w:p>
        </w:tc>
        <w:tc>
          <w:tcPr>
            <w:tcW w:w="2542"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时间</w:t>
            </w:r>
          </w:p>
        </w:tc>
        <w:tc>
          <w:tcPr>
            <w:tcW w:w="1568"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地点</w:t>
            </w:r>
          </w:p>
        </w:tc>
        <w:tc>
          <w:tcPr>
            <w:tcW w:w="3251"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接待对象</w:t>
            </w:r>
          </w:p>
        </w:tc>
        <w:tc>
          <w:tcPr>
            <w:tcW w:w="2561" w:type="dxa"/>
            <w:vAlign w:val="center"/>
          </w:tcPr>
          <w:p>
            <w:pPr>
              <w:spacing w:line="400" w:lineRule="exact"/>
              <w:jc w:val="center"/>
              <w:rPr>
                <w:rFonts w:ascii="仿宋_GB2312" w:eastAsia="仿宋_GB2312" w:hAnsi="宋体"/>
                <w:b/>
                <w:bCs/>
                <w:sz w:val="28"/>
                <w:szCs w:val="28"/>
              </w:rPr>
            </w:pPr>
            <w:r>
              <w:rPr>
                <w:rFonts w:ascii="仿宋_GB2312" w:eastAsia="仿宋_GB2312" w:hint="eastAsia"/>
                <w:b/>
                <w:bCs/>
                <w:sz w:val="28"/>
                <w:szCs w:val="28"/>
              </w:rPr>
              <w:t>接待人员</w:t>
            </w:r>
          </w:p>
        </w:tc>
        <w:tc>
          <w:tcPr>
            <w:tcW w:w="2126" w:type="dxa"/>
            <w:vAlign w:val="center"/>
          </w:tcPr>
          <w:p>
            <w:pPr>
              <w:spacing w:line="400" w:lineRule="exact"/>
              <w:jc w:val="center"/>
              <w:rPr>
                <w:rFonts w:ascii="仿宋_GB2312" w:eastAsia="仿宋_GB2312" w:hAnsi="宋体"/>
                <w:b/>
                <w:bCs/>
                <w:sz w:val="28"/>
                <w:szCs w:val="28"/>
              </w:rPr>
            </w:pPr>
            <w:r>
              <w:rPr>
                <w:rFonts w:ascii="仿宋_GB2312" w:eastAsia="仿宋_GB2312" w:hAnsi="宋体" w:hint="eastAsia"/>
                <w:b/>
                <w:bCs/>
                <w:sz w:val="28"/>
                <w:szCs w:val="28"/>
              </w:rPr>
              <w:t>是否涉及应当披露重大信息</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反路演</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w:t>
            </w:r>
            <w:r>
              <w:rPr>
                <w:rFonts w:ascii="仿宋_GB2312" w:eastAsia="仿宋_GB2312" w:hAnsi="宋体"/>
                <w:sz w:val="28"/>
                <w:szCs w:val="28"/>
              </w:rPr>
              <w:t>10</w:t>
            </w:r>
            <w:r>
              <w:rPr>
                <w:rFonts w:ascii="仿宋_GB2312" w:eastAsia="仿宋_GB2312" w:hAnsi="宋体" w:hint="eastAsia"/>
                <w:sz w:val="28"/>
                <w:szCs w:val="28"/>
              </w:rPr>
              <w:t>月</w:t>
            </w:r>
            <w:r>
              <w:rPr>
                <w:rFonts w:ascii="仿宋_GB2312" w:eastAsia="仿宋_GB2312" w:hAnsi="宋体"/>
                <w:sz w:val="28"/>
                <w:szCs w:val="28"/>
              </w:rPr>
              <w:t>12</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陕西榆林</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榆林反路演投资者</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w:t>
            </w:r>
            <w:r>
              <w:rPr>
                <w:rFonts w:ascii="仿宋_GB2312" w:eastAsia="仿宋_GB2312" w:hAnsi="宋体"/>
                <w:sz w:val="28"/>
                <w:szCs w:val="28"/>
              </w:rPr>
              <w:t>10</w:t>
            </w:r>
            <w:r>
              <w:rPr>
                <w:rFonts w:ascii="仿宋_GB2312" w:eastAsia="仿宋_GB2312" w:hAnsi="宋体" w:hint="eastAsia"/>
                <w:sz w:val="28"/>
                <w:szCs w:val="28"/>
              </w:rPr>
              <w:t>月</w:t>
            </w:r>
            <w:r>
              <w:rPr>
                <w:rFonts w:ascii="仿宋_GB2312" w:eastAsia="仿宋_GB2312" w:hAnsi="宋体"/>
                <w:sz w:val="28"/>
                <w:szCs w:val="28"/>
              </w:rPr>
              <w:t>24</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股东大会参会投资者</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公司第九届董监高</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hAnsi="宋体"/>
                <w:sz w:val="28"/>
                <w:szCs w:val="28"/>
              </w:rPr>
            </w:pPr>
            <w:r>
              <w:rPr>
                <w:rFonts w:ascii="仿宋_GB2312" w:eastAsia="仿宋_GB2312" w:hAnsi="宋体" w:hint="eastAsia"/>
                <w:sz w:val="28"/>
                <w:szCs w:val="28"/>
              </w:rPr>
              <w:t>电话会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w:t>
            </w:r>
            <w:r>
              <w:rPr>
                <w:rFonts w:ascii="仿宋_GB2312" w:eastAsia="仿宋_GB2312" w:hAnsi="宋体"/>
                <w:sz w:val="28"/>
                <w:szCs w:val="28"/>
              </w:rPr>
              <w:t>10</w:t>
            </w:r>
            <w:r>
              <w:rPr>
                <w:rFonts w:ascii="仿宋_GB2312" w:eastAsia="仿宋_GB2312" w:hAnsi="宋体" w:hint="eastAsia"/>
                <w:sz w:val="28"/>
                <w:szCs w:val="28"/>
              </w:rPr>
              <w:t>月</w:t>
            </w:r>
            <w:r>
              <w:rPr>
                <w:rFonts w:ascii="仿宋_GB2312" w:eastAsia="仿宋_GB2312" w:hAnsi="宋体"/>
                <w:sz w:val="28"/>
                <w:szCs w:val="28"/>
              </w:rPr>
              <w:t>27</w:t>
            </w:r>
            <w:r>
              <w:rPr>
                <w:rFonts w:ascii="仿宋_GB2312" w:eastAsia="仿宋_GB2312" w:hAnsi="宋体" w:hint="eastAsia"/>
                <w:sz w:val="28"/>
                <w:szCs w:val="28"/>
              </w:rPr>
              <w:t>日</w:t>
            </w:r>
          </w:p>
        </w:tc>
        <w:tc>
          <w:tcPr>
            <w:tcW w:w="1568" w:type="dxa"/>
            <w:vAlign w:val="center"/>
          </w:tcPr>
          <w:p>
            <w:pPr>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业绩说明会投资者</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副总经理（代行</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总经理职责）</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财务总监</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独立董事</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pPr>
            <w:r>
              <w:rPr>
                <w:rFonts w:ascii="仿宋_GB2312" w:eastAsia="仿宋_GB2312" w:hAnsi="宋体" w:hint="eastAsia"/>
                <w:sz w:val="28"/>
                <w:szCs w:val="28"/>
              </w:rPr>
              <w:t>电话会</w:t>
            </w:r>
          </w:p>
        </w:tc>
        <w:tc>
          <w:tcPr>
            <w:tcW w:w="2542" w:type="dxa"/>
            <w:vAlign w:val="center"/>
          </w:tcPr>
          <w:p>
            <w:pPr>
              <w:jc w:val="center"/>
            </w:pPr>
            <w:r>
              <w:rPr>
                <w:rFonts w:ascii="仿宋_GB2312" w:eastAsia="仿宋_GB2312" w:hAnsi="宋体" w:hint="eastAsia"/>
                <w:sz w:val="28"/>
                <w:szCs w:val="28"/>
              </w:rPr>
              <w:t>2024年</w:t>
            </w:r>
            <w:r>
              <w:rPr>
                <w:rFonts w:ascii="仿宋_GB2312" w:eastAsia="仿宋_GB2312" w:hAnsi="宋体"/>
                <w:sz w:val="28"/>
                <w:szCs w:val="28"/>
              </w:rPr>
              <w:t>10</w:t>
            </w:r>
            <w:r>
              <w:rPr>
                <w:rFonts w:ascii="仿宋_GB2312" w:eastAsia="仿宋_GB2312" w:hAnsi="宋体" w:hint="eastAsia"/>
                <w:sz w:val="28"/>
                <w:szCs w:val="28"/>
              </w:rPr>
              <w:t>月</w:t>
            </w:r>
            <w:r>
              <w:rPr>
                <w:rFonts w:ascii="仿宋_GB2312" w:eastAsia="仿宋_GB2312" w:hAnsi="宋体"/>
                <w:sz w:val="28"/>
                <w:szCs w:val="28"/>
              </w:rPr>
              <w:t>27</w:t>
            </w:r>
            <w:r>
              <w:rPr>
                <w:rFonts w:ascii="仿宋_GB2312" w:eastAsia="仿宋_GB2312" w:hAnsi="宋体" w:hint="eastAsia"/>
                <w:sz w:val="28"/>
                <w:szCs w:val="28"/>
              </w:rPr>
              <w:t>日</w:t>
            </w:r>
          </w:p>
        </w:tc>
        <w:tc>
          <w:tcPr>
            <w:tcW w:w="1568" w:type="dxa"/>
            <w:vAlign w:val="center"/>
          </w:tcPr>
          <w:p>
            <w:pPr>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信达证券及其客户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pPr>
            <w:r>
              <w:rPr>
                <w:rFonts w:ascii="仿宋_GB2312" w:eastAsia="仿宋_GB2312" w:hAnsi="宋体" w:hint="eastAsia"/>
                <w:sz w:val="28"/>
                <w:szCs w:val="28"/>
              </w:rPr>
              <w:t>电话会</w:t>
            </w:r>
          </w:p>
        </w:tc>
        <w:tc>
          <w:tcPr>
            <w:tcW w:w="2542" w:type="dxa"/>
            <w:vAlign w:val="center"/>
          </w:tcPr>
          <w:p>
            <w:pPr>
              <w:jc w:val="center"/>
            </w:pPr>
            <w:r>
              <w:rPr>
                <w:rFonts w:ascii="仿宋_GB2312" w:eastAsia="仿宋_GB2312" w:hAnsi="宋体" w:hint="eastAsia"/>
                <w:sz w:val="28"/>
                <w:szCs w:val="28"/>
              </w:rPr>
              <w:t>2024年</w:t>
            </w:r>
            <w:r>
              <w:rPr>
                <w:rFonts w:ascii="仿宋_GB2312" w:eastAsia="仿宋_GB2312" w:hAnsi="宋体"/>
                <w:sz w:val="28"/>
                <w:szCs w:val="28"/>
              </w:rPr>
              <w:t>10</w:t>
            </w:r>
            <w:r>
              <w:rPr>
                <w:rFonts w:ascii="仿宋_GB2312" w:eastAsia="仿宋_GB2312" w:hAnsi="宋体" w:hint="eastAsia"/>
                <w:sz w:val="28"/>
                <w:szCs w:val="28"/>
              </w:rPr>
              <w:t>月</w:t>
            </w:r>
            <w:r>
              <w:rPr>
                <w:rFonts w:ascii="仿宋_GB2312" w:eastAsia="仿宋_GB2312" w:hAnsi="宋体"/>
                <w:sz w:val="28"/>
                <w:szCs w:val="28"/>
              </w:rPr>
              <w:t>27</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中泰证券及其客户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pPr>
            <w:r>
              <w:rPr>
                <w:rFonts w:ascii="仿宋_GB2312" w:eastAsia="仿宋_GB2312" w:hAnsi="宋体" w:hint="eastAsia"/>
                <w:sz w:val="28"/>
                <w:szCs w:val="28"/>
              </w:rPr>
              <w:t>电话会</w:t>
            </w:r>
          </w:p>
        </w:tc>
        <w:tc>
          <w:tcPr>
            <w:tcW w:w="2542" w:type="dxa"/>
            <w:vAlign w:val="center"/>
          </w:tcPr>
          <w:p>
            <w:pPr>
              <w:jc w:val="center"/>
            </w:pPr>
            <w:r>
              <w:rPr>
                <w:rFonts w:ascii="仿宋_GB2312" w:eastAsia="仿宋_GB2312" w:hAnsi="宋体" w:hint="eastAsia"/>
                <w:sz w:val="28"/>
                <w:szCs w:val="28"/>
              </w:rPr>
              <w:t>2024年</w:t>
            </w:r>
            <w:r>
              <w:rPr>
                <w:rFonts w:ascii="仿宋_GB2312" w:eastAsia="仿宋_GB2312" w:hAnsi="宋体"/>
                <w:sz w:val="28"/>
                <w:szCs w:val="28"/>
              </w:rPr>
              <w:t>10</w:t>
            </w:r>
            <w:r>
              <w:rPr>
                <w:rFonts w:ascii="仿宋_GB2312" w:eastAsia="仿宋_GB2312" w:hAnsi="宋体" w:hint="eastAsia"/>
                <w:sz w:val="28"/>
                <w:szCs w:val="28"/>
              </w:rPr>
              <w:t>月</w:t>
            </w:r>
            <w:r>
              <w:rPr>
                <w:rFonts w:ascii="仿宋_GB2312" w:eastAsia="仿宋_GB2312" w:hAnsi="宋体"/>
                <w:sz w:val="28"/>
                <w:szCs w:val="28"/>
              </w:rPr>
              <w:t>27</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开源证券及其客户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pPr>
            <w:r>
              <w:rPr>
                <w:rFonts w:ascii="仿宋_GB2312" w:eastAsia="仿宋_GB2312" w:hAnsi="宋体" w:hint="eastAsia"/>
                <w:sz w:val="28"/>
                <w:szCs w:val="28"/>
              </w:rPr>
              <w:t>电话会</w:t>
            </w:r>
          </w:p>
        </w:tc>
        <w:tc>
          <w:tcPr>
            <w:tcW w:w="2542" w:type="dxa"/>
            <w:vAlign w:val="center"/>
          </w:tcPr>
          <w:p>
            <w:pPr>
              <w:jc w:val="center"/>
            </w:pPr>
            <w:r>
              <w:rPr>
                <w:rFonts w:ascii="仿宋_GB2312" w:eastAsia="仿宋_GB2312" w:hAnsi="宋体" w:hint="eastAsia"/>
                <w:sz w:val="28"/>
                <w:szCs w:val="28"/>
              </w:rPr>
              <w:t>2024年</w:t>
            </w:r>
            <w:r>
              <w:rPr>
                <w:rFonts w:ascii="仿宋_GB2312" w:eastAsia="仿宋_GB2312" w:hAnsi="宋体"/>
                <w:sz w:val="28"/>
                <w:szCs w:val="28"/>
              </w:rPr>
              <w:t>10</w:t>
            </w:r>
            <w:r>
              <w:rPr>
                <w:rFonts w:ascii="仿宋_GB2312" w:eastAsia="仿宋_GB2312" w:hAnsi="宋体" w:hint="eastAsia"/>
                <w:sz w:val="28"/>
                <w:szCs w:val="28"/>
              </w:rPr>
              <w:t>月</w:t>
            </w:r>
            <w:r>
              <w:rPr>
                <w:rFonts w:ascii="仿宋_GB2312" w:eastAsia="仿宋_GB2312" w:hAnsi="宋体"/>
                <w:sz w:val="28"/>
                <w:szCs w:val="28"/>
              </w:rPr>
              <w:t>28</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国海证券及其客户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pPr>
            <w:r>
              <w:rPr>
                <w:rFonts w:ascii="仿宋_GB2312" w:eastAsia="仿宋_GB2312" w:hAnsi="宋体" w:hint="eastAsia"/>
                <w:sz w:val="28"/>
                <w:szCs w:val="28"/>
              </w:rPr>
              <w:t>电话会</w:t>
            </w:r>
          </w:p>
        </w:tc>
        <w:tc>
          <w:tcPr>
            <w:tcW w:w="2542" w:type="dxa"/>
          </w:tcPr>
          <w:p>
            <w:r>
              <w:rPr>
                <w:rFonts w:ascii="仿宋_GB2312" w:eastAsia="仿宋_GB2312" w:hAnsi="宋体" w:hint="eastAsia"/>
                <w:sz w:val="28"/>
                <w:szCs w:val="28"/>
              </w:rPr>
              <w:t>2024年</w:t>
            </w:r>
            <w:r>
              <w:rPr>
                <w:rFonts w:ascii="仿宋_GB2312" w:eastAsia="仿宋_GB2312" w:hAnsi="宋体"/>
                <w:sz w:val="28"/>
                <w:szCs w:val="28"/>
              </w:rPr>
              <w:t>10</w:t>
            </w:r>
            <w:r>
              <w:rPr>
                <w:rFonts w:ascii="仿宋_GB2312" w:eastAsia="仿宋_GB2312" w:hAnsi="宋体" w:hint="eastAsia"/>
                <w:sz w:val="28"/>
                <w:szCs w:val="28"/>
              </w:rPr>
              <w:t>月</w:t>
            </w:r>
            <w:r>
              <w:rPr>
                <w:rFonts w:ascii="仿宋_GB2312" w:eastAsia="仿宋_GB2312" w:hAnsi="宋体"/>
                <w:sz w:val="28"/>
                <w:szCs w:val="28"/>
              </w:rPr>
              <w:t>28</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国盛证券及其客户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pPr>
            <w:r>
              <w:rPr>
                <w:rFonts w:ascii="仿宋_GB2312" w:eastAsia="仿宋_GB2312" w:hAnsi="宋体" w:hint="eastAsia"/>
                <w:sz w:val="28"/>
                <w:szCs w:val="28"/>
              </w:rPr>
              <w:t>电话会</w:t>
            </w:r>
          </w:p>
        </w:tc>
        <w:tc>
          <w:tcPr>
            <w:tcW w:w="2542" w:type="dxa"/>
          </w:tcPr>
          <w:p>
            <w:r>
              <w:rPr>
                <w:rFonts w:ascii="仿宋_GB2312" w:eastAsia="仿宋_GB2312" w:hAnsi="宋体" w:hint="eastAsia"/>
                <w:sz w:val="28"/>
                <w:szCs w:val="28"/>
              </w:rPr>
              <w:t>2024年</w:t>
            </w:r>
            <w:r>
              <w:rPr>
                <w:rFonts w:ascii="仿宋_GB2312" w:eastAsia="仿宋_GB2312" w:hAnsi="宋体"/>
                <w:sz w:val="28"/>
                <w:szCs w:val="28"/>
              </w:rPr>
              <w:t>10</w:t>
            </w:r>
            <w:r>
              <w:rPr>
                <w:rFonts w:ascii="仿宋_GB2312" w:eastAsia="仿宋_GB2312" w:hAnsi="宋体" w:hint="eastAsia"/>
                <w:sz w:val="28"/>
                <w:szCs w:val="28"/>
              </w:rPr>
              <w:t>月</w:t>
            </w:r>
            <w:r>
              <w:rPr>
                <w:rFonts w:ascii="仿宋_GB2312" w:eastAsia="仿宋_GB2312" w:hAnsi="宋体"/>
                <w:sz w:val="28"/>
                <w:szCs w:val="28"/>
              </w:rPr>
              <w:t>28</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申万宏源证券及其客户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tcPr>
          <w:p>
            <w:r>
              <w:rPr>
                <w:rFonts w:ascii="仿宋_GB2312" w:eastAsia="仿宋_GB2312" w:hAnsi="宋体" w:hint="eastAsia"/>
                <w:sz w:val="28"/>
                <w:szCs w:val="28"/>
              </w:rPr>
              <w:t>2024年</w:t>
            </w:r>
            <w:r>
              <w:rPr>
                <w:rFonts w:ascii="仿宋_GB2312" w:eastAsia="仿宋_GB2312" w:hAnsi="宋体"/>
                <w:sz w:val="28"/>
                <w:szCs w:val="28"/>
              </w:rPr>
              <w:t>10</w:t>
            </w:r>
            <w:r>
              <w:rPr>
                <w:rFonts w:ascii="仿宋_GB2312" w:eastAsia="仿宋_GB2312" w:hAnsi="宋体" w:hint="eastAsia"/>
                <w:sz w:val="28"/>
                <w:szCs w:val="28"/>
              </w:rPr>
              <w:t>月</w:t>
            </w:r>
            <w:r>
              <w:rPr>
                <w:rFonts w:ascii="仿宋_GB2312" w:eastAsia="仿宋_GB2312" w:hAnsi="宋体"/>
                <w:sz w:val="28"/>
                <w:szCs w:val="28"/>
              </w:rPr>
              <w:t>29</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太平洋债券及其客户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w:t>
            </w:r>
            <w:r>
              <w:rPr>
                <w:rFonts w:ascii="仿宋_GB2312" w:eastAsia="仿宋_GB2312" w:hAnsi="宋体"/>
                <w:sz w:val="28"/>
                <w:szCs w:val="28"/>
              </w:rPr>
              <w:t>11</w:t>
            </w:r>
            <w:r>
              <w:rPr>
                <w:rFonts w:ascii="仿宋_GB2312" w:eastAsia="仿宋_GB2312" w:hAnsi="宋体" w:hint="eastAsia"/>
                <w:sz w:val="28"/>
                <w:szCs w:val="28"/>
              </w:rPr>
              <w:t>月</w:t>
            </w:r>
            <w:r>
              <w:rPr>
                <w:rFonts w:ascii="仿宋_GB2312" w:eastAsia="仿宋_GB2312" w:hAnsi="宋体"/>
                <w:sz w:val="28"/>
                <w:szCs w:val="28"/>
              </w:rPr>
              <w:t>7</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上海</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方正证券及其客户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w:t>
            </w:r>
            <w:r>
              <w:rPr>
                <w:rFonts w:ascii="仿宋_GB2312" w:eastAsia="仿宋_GB2312" w:hAnsi="宋体"/>
                <w:sz w:val="28"/>
                <w:szCs w:val="28"/>
              </w:rPr>
              <w:t>11</w:t>
            </w:r>
            <w:r>
              <w:rPr>
                <w:rFonts w:ascii="仿宋_GB2312" w:eastAsia="仿宋_GB2312" w:hAnsi="宋体" w:hint="eastAsia"/>
                <w:sz w:val="28"/>
                <w:szCs w:val="28"/>
              </w:rPr>
              <w:t>月</w:t>
            </w:r>
            <w:r>
              <w:rPr>
                <w:rFonts w:ascii="仿宋_GB2312" w:eastAsia="仿宋_GB2312" w:hAnsi="宋体"/>
                <w:sz w:val="28"/>
                <w:szCs w:val="28"/>
              </w:rPr>
              <w:t>7</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上海</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中欧基金</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w:t>
            </w:r>
            <w:r>
              <w:rPr>
                <w:rFonts w:ascii="仿宋_GB2312" w:eastAsia="仿宋_GB2312" w:hAnsi="宋体"/>
                <w:sz w:val="28"/>
                <w:szCs w:val="28"/>
              </w:rPr>
              <w:t>11</w:t>
            </w:r>
            <w:r>
              <w:rPr>
                <w:rFonts w:ascii="仿宋_GB2312" w:eastAsia="仿宋_GB2312" w:hAnsi="宋体" w:hint="eastAsia"/>
                <w:sz w:val="28"/>
                <w:szCs w:val="28"/>
              </w:rPr>
              <w:t>月</w:t>
            </w:r>
            <w:r>
              <w:rPr>
                <w:rFonts w:ascii="仿宋_GB2312" w:eastAsia="仿宋_GB2312" w:hAnsi="宋体"/>
                <w:sz w:val="28"/>
                <w:szCs w:val="28"/>
              </w:rPr>
              <w:t>13</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北京</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中金公司及其客户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证券事务代表</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w:t>
            </w:r>
            <w:r>
              <w:rPr>
                <w:rFonts w:ascii="仿宋_GB2312" w:eastAsia="仿宋_GB2312" w:hAnsi="宋体"/>
                <w:sz w:val="28"/>
                <w:szCs w:val="28"/>
              </w:rPr>
              <w:t>11</w:t>
            </w:r>
            <w:r>
              <w:rPr>
                <w:rFonts w:ascii="仿宋_GB2312" w:eastAsia="仿宋_GB2312" w:hAnsi="宋体" w:hint="eastAsia"/>
                <w:sz w:val="28"/>
                <w:szCs w:val="28"/>
              </w:rPr>
              <w:t>月</w:t>
            </w:r>
            <w:r>
              <w:rPr>
                <w:rFonts w:ascii="仿宋_GB2312" w:eastAsia="仿宋_GB2312" w:hAnsi="宋体"/>
                <w:sz w:val="28"/>
                <w:szCs w:val="28"/>
              </w:rPr>
              <w:t>13</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上海</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开源证券及其客户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证券事务代表</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w:t>
            </w:r>
            <w:r>
              <w:rPr>
                <w:rFonts w:ascii="仿宋_GB2312" w:eastAsia="仿宋_GB2312" w:hAnsi="宋体"/>
                <w:sz w:val="28"/>
                <w:szCs w:val="28"/>
              </w:rPr>
              <w:t>11</w:t>
            </w:r>
            <w:r>
              <w:rPr>
                <w:rFonts w:ascii="仿宋_GB2312" w:eastAsia="仿宋_GB2312" w:hAnsi="宋体" w:hint="eastAsia"/>
                <w:sz w:val="28"/>
                <w:szCs w:val="28"/>
              </w:rPr>
              <w:t>月</w:t>
            </w:r>
            <w:r>
              <w:rPr>
                <w:rFonts w:ascii="仿宋_GB2312" w:eastAsia="仿宋_GB2312" w:hAnsi="宋体"/>
                <w:sz w:val="28"/>
                <w:szCs w:val="28"/>
              </w:rPr>
              <w:t>21</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北京</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广发证券</w:t>
            </w:r>
            <w:r>
              <w:rPr>
                <w:rFonts w:ascii="仿宋_GB2312" w:eastAsia="仿宋_GB2312" w:hAnsi="宋体"/>
                <w:sz w:val="28"/>
                <w:szCs w:val="28"/>
              </w:rPr>
              <w:t>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董事、董事会秘书</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w:t>
            </w:r>
            <w:r>
              <w:rPr>
                <w:rFonts w:ascii="仿宋_GB2312" w:eastAsia="仿宋_GB2312" w:hAnsi="宋体"/>
                <w:sz w:val="28"/>
                <w:szCs w:val="28"/>
              </w:rPr>
              <w:t>12</w:t>
            </w:r>
            <w:r>
              <w:rPr>
                <w:rFonts w:ascii="仿宋_GB2312" w:eastAsia="仿宋_GB2312" w:hAnsi="宋体" w:hint="eastAsia"/>
                <w:sz w:val="28"/>
                <w:szCs w:val="28"/>
              </w:rPr>
              <w:t>月</w:t>
            </w:r>
            <w:r>
              <w:rPr>
                <w:rFonts w:ascii="仿宋_GB2312" w:eastAsia="仿宋_GB2312" w:hAnsi="宋体"/>
                <w:sz w:val="28"/>
                <w:szCs w:val="28"/>
              </w:rPr>
              <w:t>2</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光大证券</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电话会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w:t>
            </w:r>
            <w:r>
              <w:rPr>
                <w:rFonts w:ascii="仿宋_GB2312" w:eastAsia="仿宋_GB2312" w:hAnsi="宋体"/>
                <w:sz w:val="28"/>
                <w:szCs w:val="28"/>
              </w:rPr>
              <w:t>12</w:t>
            </w:r>
            <w:r>
              <w:rPr>
                <w:rFonts w:ascii="仿宋_GB2312" w:eastAsia="仿宋_GB2312" w:hAnsi="宋体" w:hint="eastAsia"/>
                <w:sz w:val="28"/>
                <w:szCs w:val="28"/>
              </w:rPr>
              <w:t>月</w:t>
            </w:r>
            <w:r>
              <w:rPr>
                <w:rFonts w:ascii="仿宋_GB2312" w:eastAsia="仿宋_GB2312" w:hAnsi="宋体"/>
                <w:sz w:val="28"/>
                <w:szCs w:val="28"/>
              </w:rPr>
              <w:t>2</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sz w:val="28"/>
                <w:szCs w:val="28"/>
              </w:rPr>
              <w:t xml:space="preserve">Millennium </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证券事务代表</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电话会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w:t>
            </w:r>
            <w:r>
              <w:rPr>
                <w:rFonts w:ascii="仿宋_GB2312" w:eastAsia="仿宋_GB2312" w:hAnsi="宋体"/>
                <w:sz w:val="28"/>
                <w:szCs w:val="28"/>
              </w:rPr>
              <w:t>12</w:t>
            </w:r>
            <w:r>
              <w:rPr>
                <w:rFonts w:ascii="仿宋_GB2312" w:eastAsia="仿宋_GB2312" w:hAnsi="宋体" w:hint="eastAsia"/>
                <w:sz w:val="28"/>
                <w:szCs w:val="28"/>
              </w:rPr>
              <w:t>月</w:t>
            </w:r>
            <w:r>
              <w:rPr>
                <w:rFonts w:ascii="仿宋_GB2312" w:eastAsia="仿宋_GB2312" w:hAnsi="宋体"/>
                <w:sz w:val="28"/>
                <w:szCs w:val="28"/>
              </w:rPr>
              <w:t>2</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jc w:val="center"/>
              <w:rPr>
                <w:rFonts w:ascii="仿宋_GB2312" w:eastAsia="仿宋_GB2312" w:hAnsi="宋体"/>
                <w:sz w:val="28"/>
                <w:szCs w:val="28"/>
              </w:rPr>
            </w:pPr>
            <w:r>
              <w:rPr>
                <w:rFonts w:ascii="仿宋_GB2312" w:eastAsia="仿宋_GB2312" w:hAnsi="宋体" w:hint="eastAsia"/>
                <w:sz w:val="28"/>
                <w:szCs w:val="28"/>
              </w:rPr>
              <w:t>美银证券及其客户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证券事务代表</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w:t>
            </w:r>
            <w:r>
              <w:rPr>
                <w:rFonts w:ascii="仿宋_GB2312" w:eastAsia="仿宋_GB2312" w:hAnsi="宋体"/>
                <w:sz w:val="28"/>
                <w:szCs w:val="28"/>
              </w:rPr>
              <w:t>12</w:t>
            </w:r>
            <w:r>
              <w:rPr>
                <w:rFonts w:ascii="仿宋_GB2312" w:eastAsia="仿宋_GB2312" w:hAnsi="宋体" w:hint="eastAsia"/>
                <w:sz w:val="28"/>
                <w:szCs w:val="28"/>
              </w:rPr>
              <w:t>月</w:t>
            </w:r>
            <w:r>
              <w:rPr>
                <w:rFonts w:ascii="仿宋_GB2312" w:eastAsia="仿宋_GB2312" w:hAnsi="宋体"/>
                <w:sz w:val="28"/>
                <w:szCs w:val="28"/>
              </w:rPr>
              <w:t>3</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开源证券</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w:t>
            </w:r>
            <w:r>
              <w:rPr>
                <w:rFonts w:ascii="仿宋_GB2312" w:eastAsia="仿宋_GB2312" w:hAnsi="宋体"/>
                <w:sz w:val="28"/>
                <w:szCs w:val="28"/>
              </w:rPr>
              <w:t>12</w:t>
            </w:r>
            <w:r>
              <w:rPr>
                <w:rFonts w:ascii="仿宋_GB2312" w:eastAsia="仿宋_GB2312" w:hAnsi="宋体" w:hint="eastAsia"/>
                <w:sz w:val="28"/>
                <w:szCs w:val="28"/>
              </w:rPr>
              <w:t>月</w:t>
            </w:r>
            <w:r>
              <w:rPr>
                <w:rFonts w:ascii="仿宋_GB2312" w:eastAsia="仿宋_GB2312" w:hAnsi="宋体"/>
                <w:sz w:val="28"/>
                <w:szCs w:val="28"/>
              </w:rPr>
              <w:t>4</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信达证券及其客户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jc w:val="center"/>
              <w:rPr>
                <w:rFonts w:ascii="仿宋_GB2312" w:eastAsia="仿宋_GB2312"/>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w:t>
            </w:r>
            <w:r>
              <w:rPr>
                <w:rFonts w:ascii="仿宋_GB2312" w:eastAsia="仿宋_GB2312" w:hAnsi="宋体"/>
                <w:sz w:val="28"/>
                <w:szCs w:val="28"/>
              </w:rPr>
              <w:t>12</w:t>
            </w:r>
            <w:r>
              <w:rPr>
                <w:rFonts w:ascii="仿宋_GB2312" w:eastAsia="仿宋_GB2312" w:hAnsi="宋体" w:hint="eastAsia"/>
                <w:sz w:val="28"/>
                <w:szCs w:val="28"/>
              </w:rPr>
              <w:t>月</w:t>
            </w:r>
            <w:r>
              <w:rPr>
                <w:rFonts w:ascii="仿宋_GB2312" w:eastAsia="仿宋_GB2312" w:hAnsi="宋体"/>
                <w:sz w:val="28"/>
                <w:szCs w:val="28"/>
              </w:rPr>
              <w:t>17</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公司总部</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华福证券</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证券事务代表</w:t>
            </w:r>
          </w:p>
          <w:p>
            <w:pPr>
              <w:spacing w:line="360" w:lineRule="exact"/>
              <w:jc w:val="center"/>
              <w:rPr>
                <w:rFonts w:ascii="仿宋_GB2312" w:eastAsia="仿宋_GB2312" w:hAnsi="宋体"/>
                <w:sz w:val="28"/>
                <w:szCs w:val="28"/>
              </w:rPr>
            </w:pPr>
            <w:r>
              <w:rPr>
                <w:rFonts w:ascii="仿宋_GB2312" w:eastAsia="仿宋_GB2312" w:hAnsi="宋体" w:hint="eastAsia"/>
                <w:sz w:val="28"/>
                <w:szCs w:val="28"/>
              </w:rPr>
              <w:t>相关业务负责人</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vAlign w:val="center"/>
          </w:tcPr>
          <w:p>
            <w:pPr>
              <w:pStyle w:val="aa"/>
              <w:numPr>
                <w:ilvl w:val="0"/>
                <w:numId w:val="1"/>
              </w:numPr>
              <w:ind w:left="0" w:firstLineChars="0" w:firstLine="0"/>
              <w:jc w:val="center"/>
              <w:rPr>
                <w:rFonts w:ascii="仿宋_GB2312" w:eastAsia="仿宋_GB2312" w:hAnsi="宋体"/>
                <w:sz w:val="28"/>
                <w:szCs w:val="28"/>
              </w:rPr>
            </w:pPr>
          </w:p>
        </w:tc>
        <w:tc>
          <w:tcPr>
            <w:tcW w:w="1985"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现场会</w:t>
            </w:r>
          </w:p>
        </w:tc>
        <w:tc>
          <w:tcPr>
            <w:tcW w:w="2542"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2024年</w:t>
            </w:r>
            <w:r>
              <w:rPr>
                <w:rFonts w:ascii="仿宋_GB2312" w:eastAsia="仿宋_GB2312" w:hAnsi="宋体"/>
                <w:sz w:val="28"/>
                <w:szCs w:val="28"/>
              </w:rPr>
              <w:t>12</w:t>
            </w:r>
            <w:r>
              <w:rPr>
                <w:rFonts w:ascii="仿宋_GB2312" w:eastAsia="仿宋_GB2312" w:hAnsi="宋体" w:hint="eastAsia"/>
                <w:sz w:val="28"/>
                <w:szCs w:val="28"/>
              </w:rPr>
              <w:t>月</w:t>
            </w:r>
            <w:r>
              <w:rPr>
                <w:rFonts w:ascii="仿宋_GB2312" w:eastAsia="仿宋_GB2312" w:hAnsi="宋体"/>
                <w:sz w:val="28"/>
                <w:szCs w:val="28"/>
              </w:rPr>
              <w:t>19</w:t>
            </w:r>
            <w:r>
              <w:rPr>
                <w:rFonts w:ascii="仿宋_GB2312" w:eastAsia="仿宋_GB2312" w:hAnsi="宋体" w:hint="eastAsia"/>
                <w:sz w:val="28"/>
                <w:szCs w:val="28"/>
              </w:rPr>
              <w:t>日</w:t>
            </w:r>
          </w:p>
        </w:tc>
        <w:tc>
          <w:tcPr>
            <w:tcW w:w="1568"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上海</w:t>
            </w:r>
          </w:p>
        </w:tc>
        <w:tc>
          <w:tcPr>
            <w:tcW w:w="3251"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广发证券</w:t>
            </w:r>
            <w:r>
              <w:rPr>
                <w:rFonts w:ascii="仿宋_GB2312" w:eastAsia="仿宋_GB2312" w:hAnsi="宋体"/>
                <w:sz w:val="28"/>
                <w:szCs w:val="28"/>
              </w:rPr>
              <w:t>及其客户</w:t>
            </w:r>
          </w:p>
        </w:tc>
        <w:tc>
          <w:tcPr>
            <w:tcW w:w="2561" w:type="dxa"/>
            <w:vAlign w:val="center"/>
          </w:tcPr>
          <w:p>
            <w:pPr>
              <w:spacing w:line="360" w:lineRule="exact"/>
              <w:jc w:val="center"/>
              <w:rPr>
                <w:rFonts w:ascii="仿宋_GB2312" w:eastAsia="仿宋_GB2312" w:hAnsi="宋体"/>
                <w:sz w:val="28"/>
                <w:szCs w:val="28"/>
              </w:rPr>
            </w:pPr>
            <w:r>
              <w:rPr>
                <w:rFonts w:ascii="仿宋_GB2312" w:eastAsia="仿宋_GB2312" w:hAnsi="宋体"/>
                <w:sz w:val="28"/>
                <w:szCs w:val="28"/>
              </w:rPr>
              <w:t>证券事务代表</w:t>
            </w:r>
          </w:p>
        </w:tc>
        <w:tc>
          <w:tcPr>
            <w:tcW w:w="2126" w:type="dxa"/>
            <w:vAlign w:val="center"/>
          </w:tcPr>
          <w:p>
            <w:pPr>
              <w:spacing w:line="360" w:lineRule="exact"/>
              <w:jc w:val="center"/>
              <w:rPr>
                <w:rFonts w:ascii="仿宋_GB2312" w:eastAsia="仿宋_GB2312" w:hAnsi="宋体"/>
                <w:sz w:val="28"/>
                <w:szCs w:val="28"/>
              </w:rPr>
            </w:pPr>
            <w:r>
              <w:rPr>
                <w:rFonts w:ascii="仿宋_GB2312" w:eastAsia="仿宋_GB2312" w:hAnsi="宋体" w:hint="eastAsia"/>
                <w:sz w:val="28"/>
                <w:szCs w:val="28"/>
              </w:rPr>
              <w:t>否</w:t>
            </w:r>
          </w:p>
        </w:tc>
      </w:tr>
      <w:tr>
        <w:trPr>
          <w:jc w:val="center"/>
        </w:trPr>
        <w:tc>
          <w:tcPr>
            <w:tcW w:w="997" w:type="dxa"/>
            <w:tcBorders>
              <w:bottom w:val="single" w:sz="4" w:space="0" w:color="auto"/>
            </w:tcBorders>
            <w:shd w:val="clear" w:color="auto" w:fill="FFFFFF"/>
          </w:tcPr>
          <w:p>
            <w:pPr>
              <w:snapToGrid w:val="0"/>
              <w:spacing w:line="440" w:lineRule="exact"/>
              <w:ind w:firstLineChars="200" w:firstLine="562"/>
              <w:rPr>
                <w:rFonts w:ascii="宋体" w:hAnsi="宋体"/>
                <w:b/>
                <w:sz w:val="28"/>
                <w:szCs w:val="28"/>
              </w:rPr>
            </w:pPr>
          </w:p>
        </w:tc>
        <w:tc>
          <w:tcPr>
            <w:tcW w:w="14033" w:type="dxa"/>
            <w:gridSpan w:val="6"/>
            <w:tcBorders>
              <w:bottom w:val="single" w:sz="4" w:space="0" w:color="auto"/>
            </w:tcBorders>
            <w:shd w:val="clear" w:color="auto" w:fill="FFFFFF"/>
            <w:vAlign w:val="center"/>
          </w:tcPr>
          <w:p>
            <w:pPr>
              <w:snapToGrid w:val="0"/>
              <w:spacing w:line="440" w:lineRule="exact"/>
              <w:ind w:firstLineChars="200" w:firstLine="562"/>
              <w:rPr>
                <w:rFonts w:ascii="宋体" w:hAnsi="宋体"/>
                <w:b/>
                <w:sz w:val="28"/>
                <w:szCs w:val="28"/>
              </w:rPr>
            </w:pPr>
            <w:r>
              <w:rPr>
                <w:rFonts w:ascii="宋体" w:hAnsi="宋体" w:hint="eastAsia"/>
                <w:b/>
                <w:sz w:val="28"/>
                <w:szCs w:val="28"/>
              </w:rPr>
              <w:t>主要交流内容：</w:t>
            </w:r>
          </w:p>
          <w:p>
            <w:pPr>
              <w:snapToGrid w:val="0"/>
              <w:spacing w:line="440" w:lineRule="exact"/>
              <w:ind w:firstLineChars="200" w:firstLine="560"/>
              <w:rPr>
                <w:rFonts w:ascii="宋体" w:hAnsi="宋体"/>
                <w:bCs/>
                <w:sz w:val="28"/>
                <w:szCs w:val="28"/>
              </w:rPr>
            </w:pPr>
          </w:p>
          <w:p>
            <w:pPr>
              <w:snapToGrid w:val="0"/>
              <w:spacing w:line="440" w:lineRule="exact"/>
              <w:ind w:firstLineChars="200" w:firstLine="560"/>
              <w:rPr>
                <w:rFonts w:ascii="宋体" w:hAnsi="宋体"/>
                <w:bCs/>
                <w:sz w:val="28"/>
                <w:szCs w:val="28"/>
              </w:rPr>
            </w:pPr>
            <w:r>
              <w:rPr>
                <w:rFonts w:ascii="宋体" w:hAnsi="宋体" w:hint="eastAsia"/>
                <w:bCs/>
                <w:sz w:val="28"/>
                <w:szCs w:val="28"/>
              </w:rPr>
              <w:t>一、2024年前三季度商品煤产量如何？能否实现年初产量目标？</w:t>
            </w:r>
          </w:p>
          <w:p>
            <w:pPr>
              <w:snapToGrid w:val="0"/>
              <w:spacing w:line="440" w:lineRule="exact"/>
              <w:ind w:firstLineChars="200" w:firstLine="560"/>
              <w:rPr>
                <w:rFonts w:ascii="宋体" w:hAnsi="宋体"/>
                <w:bCs/>
                <w:sz w:val="28"/>
                <w:szCs w:val="28"/>
              </w:rPr>
            </w:pPr>
            <w:r>
              <w:rPr>
                <w:rFonts w:ascii="宋体" w:hAnsi="宋体" w:hint="eastAsia"/>
                <w:bCs/>
                <w:sz w:val="28"/>
                <w:szCs w:val="28"/>
              </w:rPr>
              <w:t>2024年前三季度本集团商品煤产量10,581万吨，同比增加852万吨或8.8%。其中：山东基地产量2,751万</w:t>
            </w:r>
            <w:r>
              <w:rPr>
                <w:rFonts w:ascii="宋体" w:hAnsi="宋体" w:hint="eastAsia"/>
                <w:bCs/>
                <w:sz w:val="28"/>
                <w:szCs w:val="28"/>
              </w:rPr>
              <w:lastRenderedPageBreak/>
              <w:t>吨，陕蒙基地产量3,266万吨，新疆基地产量1,447万吨，澳洲基地产量3,117万吨。</w:t>
            </w:r>
          </w:p>
          <w:p>
            <w:pPr>
              <w:snapToGrid w:val="0"/>
              <w:spacing w:line="440" w:lineRule="exact"/>
              <w:ind w:firstLineChars="200" w:firstLine="560"/>
              <w:rPr>
                <w:rFonts w:ascii="宋体" w:hAnsi="宋体"/>
                <w:bCs/>
                <w:sz w:val="28"/>
                <w:szCs w:val="28"/>
              </w:rPr>
            </w:pPr>
            <w:r>
              <w:rPr>
                <w:rFonts w:ascii="宋体" w:hAnsi="宋体" w:hint="eastAsia"/>
                <w:bCs/>
                <w:sz w:val="28"/>
                <w:szCs w:val="28"/>
              </w:rPr>
              <w:t>本集团将在优化生产组织上持续加力，能够完成全年1.4亿吨的商品煤产量目标。</w:t>
            </w:r>
          </w:p>
          <w:p>
            <w:pPr>
              <w:snapToGrid w:val="0"/>
              <w:spacing w:line="440" w:lineRule="exact"/>
              <w:ind w:firstLineChars="200" w:firstLine="560"/>
              <w:rPr>
                <w:rFonts w:ascii="宋体" w:hAnsi="宋体"/>
                <w:bCs/>
                <w:sz w:val="28"/>
                <w:szCs w:val="28"/>
              </w:rPr>
            </w:pPr>
          </w:p>
          <w:p>
            <w:pPr>
              <w:snapToGrid w:val="0"/>
              <w:spacing w:line="440" w:lineRule="exact"/>
              <w:ind w:firstLineChars="200" w:firstLine="560"/>
              <w:rPr>
                <w:rFonts w:ascii="宋体" w:hAnsi="宋体"/>
                <w:bCs/>
                <w:sz w:val="28"/>
                <w:szCs w:val="28"/>
              </w:rPr>
            </w:pPr>
            <w:r>
              <w:rPr>
                <w:rFonts w:ascii="宋体" w:hAnsi="宋体" w:hint="eastAsia"/>
                <w:bCs/>
                <w:sz w:val="28"/>
                <w:szCs w:val="28"/>
              </w:rPr>
              <w:t>二、公司吨煤销售成本如何？能否进一步下降？</w:t>
            </w:r>
          </w:p>
          <w:p>
            <w:pPr>
              <w:snapToGrid w:val="0"/>
              <w:spacing w:line="440" w:lineRule="exact"/>
              <w:ind w:firstLineChars="200" w:firstLine="560"/>
              <w:rPr>
                <w:rFonts w:ascii="宋体" w:hAnsi="宋体"/>
                <w:bCs/>
                <w:sz w:val="28"/>
                <w:szCs w:val="28"/>
              </w:rPr>
            </w:pPr>
            <w:r>
              <w:rPr>
                <w:rFonts w:ascii="宋体" w:hAnsi="宋体" w:hint="eastAsia"/>
                <w:bCs/>
                <w:sz w:val="28"/>
                <w:szCs w:val="28"/>
              </w:rPr>
              <w:t>根据中国会计准则，2024年前三季度自产商品煤吨煤销售成本342元/吨，同比减少7元/吨或1.9%。公司将巩固和扩大精益管理成效，加压实施降本增效针对性举措，优化工艺流程，提高生产效率，严控材料单耗，实现吨煤销售成本降低。</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 xml:space="preserve">三、公司2024年煤炭中长期合同？ </w:t>
            </w:r>
          </w:p>
          <w:p>
            <w:pPr>
              <w:snapToGrid w:val="0"/>
              <w:spacing w:line="440" w:lineRule="exact"/>
              <w:ind w:firstLineChars="200" w:firstLine="560"/>
              <w:rPr>
                <w:rFonts w:ascii="宋体" w:hAnsi="宋体"/>
                <w:bCs/>
                <w:sz w:val="28"/>
                <w:szCs w:val="28"/>
              </w:rPr>
            </w:pPr>
            <w:r>
              <w:rPr>
                <w:rFonts w:ascii="宋体" w:hAnsi="宋体" w:hint="eastAsia"/>
                <w:bCs/>
                <w:sz w:val="28"/>
                <w:szCs w:val="28"/>
              </w:rPr>
              <w:t>公司已按照相关政策规定签订2024年煤炭中长期合同，较2023年合同签订数量减少约220万吨，其中：山东基地减少88万吨，陕蒙基地减少132万吨。</w:t>
            </w:r>
          </w:p>
          <w:p>
            <w:pPr>
              <w:snapToGrid w:val="0"/>
              <w:spacing w:line="440" w:lineRule="exact"/>
              <w:ind w:firstLineChars="200" w:firstLine="560"/>
              <w:rPr>
                <w:rFonts w:ascii="宋体" w:hAnsi="宋体"/>
                <w:bCs/>
                <w:sz w:val="28"/>
                <w:szCs w:val="28"/>
              </w:rPr>
            </w:pPr>
            <w:r>
              <w:rPr>
                <w:rFonts w:ascii="宋体" w:hAnsi="宋体" w:hint="eastAsia"/>
                <w:bCs/>
                <w:sz w:val="28"/>
                <w:szCs w:val="28"/>
              </w:rPr>
              <w:t>电煤中长期合同定价机制与2023年相同，山东区域定价公式为基准价+浮动价，5500大卡基础价675元/吨。陕蒙区域价格延续执行区域限价，即5500大卡动力煤陕西不超过520元/吨，蒙西不超过460元/吨，山西不超过570元/吨。</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四、“双碳”战略背景下，公司如何看待煤炭发展前景？</w:t>
            </w:r>
          </w:p>
          <w:p>
            <w:pPr>
              <w:snapToGrid w:val="0"/>
              <w:spacing w:line="440" w:lineRule="exact"/>
              <w:ind w:firstLineChars="200" w:firstLine="560"/>
              <w:rPr>
                <w:rFonts w:ascii="宋体" w:hAnsi="宋体"/>
                <w:bCs/>
                <w:sz w:val="28"/>
                <w:szCs w:val="28"/>
              </w:rPr>
            </w:pPr>
            <w:r>
              <w:rPr>
                <w:rFonts w:ascii="宋体" w:hAnsi="宋体" w:hint="eastAsia"/>
                <w:bCs/>
                <w:sz w:val="28"/>
                <w:szCs w:val="28"/>
              </w:rPr>
              <w:t>“双碳”战略背景下，能源结构加速变革调整。近年来，可再生能源投资发展提速，但基于中国“富煤贫油少气”的能源禀赋特征，煤炭仍然是经济、安全、可靠的基础保障能源，中短期内不会被可再生能源大规模取代。</w:t>
            </w:r>
          </w:p>
          <w:p>
            <w:pPr>
              <w:snapToGrid w:val="0"/>
              <w:spacing w:line="440" w:lineRule="exact"/>
              <w:ind w:firstLineChars="200" w:firstLine="560"/>
              <w:rPr>
                <w:rFonts w:ascii="宋体" w:hAnsi="宋体"/>
                <w:bCs/>
                <w:sz w:val="28"/>
                <w:szCs w:val="28"/>
              </w:rPr>
            </w:pPr>
            <w:r>
              <w:rPr>
                <w:rFonts w:ascii="宋体" w:hAnsi="宋体" w:hint="eastAsia"/>
                <w:bCs/>
                <w:sz w:val="28"/>
                <w:szCs w:val="28"/>
              </w:rPr>
              <w:lastRenderedPageBreak/>
              <w:t>“双碳”战略是一场广泛而深刻的变革,中国正在加快新型能源体系建设。兖矿能源将顺应能源变革趋势，积极响应、统筹谋划。一是有序调整传统主导产业。加快煤炭产业转型升级步伐，大力推进智能矿山建设，向绿色智能方向发展；加强煤炭清洁高效利用，延伸发展高端精细煤化工产业，推动高碳能源低碳化。二是加快发展新兴产业。在发挥煤炭兜底保障作用的基础上，积极推动高端装备制造、智慧物流产业实施绿色低碳发展路径，逐步提升绿电产品，锻造新利润增长产业。三是推动传统能源和新能源优化组合。构建多能互补耦合发展格局，稳步布局新能源产业，由“一煤独大”向“多能互补”转变，促进传统能源与新能源协同发展。</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五、兖煤澳洲煤炭主要销往哪些国家和地区？</w:t>
            </w:r>
          </w:p>
          <w:p>
            <w:pPr>
              <w:snapToGrid w:val="0"/>
              <w:spacing w:line="440" w:lineRule="exact"/>
              <w:ind w:firstLineChars="200" w:firstLine="560"/>
              <w:rPr>
                <w:rFonts w:ascii="宋体" w:hAnsi="宋体"/>
                <w:bCs/>
                <w:sz w:val="28"/>
                <w:szCs w:val="28"/>
              </w:rPr>
            </w:pPr>
            <w:r>
              <w:rPr>
                <w:rFonts w:ascii="宋体" w:hAnsi="宋体" w:hint="eastAsia"/>
                <w:bCs/>
                <w:sz w:val="28"/>
                <w:szCs w:val="28"/>
              </w:rPr>
              <w:t>兖煤澳洲的煤炭主要销往中国、日本、韩国、泰国等市场。</w:t>
            </w:r>
          </w:p>
          <w:p>
            <w:pPr>
              <w:snapToGrid w:val="0"/>
              <w:spacing w:line="44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六、兖煤澳洲销售合同定价机制？</w:t>
            </w:r>
          </w:p>
          <w:p>
            <w:pPr>
              <w:snapToGrid w:val="0"/>
              <w:spacing w:line="440" w:lineRule="exact"/>
              <w:ind w:firstLineChars="200" w:firstLine="560"/>
              <w:rPr>
                <w:rFonts w:ascii="宋体" w:hAnsi="宋体"/>
                <w:bCs/>
                <w:sz w:val="28"/>
                <w:szCs w:val="28"/>
              </w:rPr>
            </w:pPr>
            <w:r>
              <w:rPr>
                <w:rFonts w:ascii="宋体" w:hAnsi="宋体" w:hint="eastAsia"/>
                <w:bCs/>
                <w:sz w:val="28"/>
                <w:szCs w:val="28"/>
              </w:rPr>
              <w:t>出口动力煤一般按指数价格或年度固定价格定价。一般而言，较低灰分产品根据纽卡斯尔指数定价，而较高灰分产品则根据API5动力煤指数定价。年度固定价格合约主要根据日本电厂基准价格定价，该参考价格为澳大利亚主要供货商与日本电力公司的合约价格。其余销售按交易当日相对于市场的现货价格定价，大多为固定价格。在此期间，延迟的合约交付会导致实际价格较基准现货价格出现“滞后效应”。</w:t>
            </w:r>
          </w:p>
          <w:p>
            <w:pPr>
              <w:snapToGrid w:val="0"/>
              <w:spacing w:line="440" w:lineRule="exact"/>
              <w:ind w:firstLineChars="200" w:firstLine="560"/>
              <w:rPr>
                <w:rFonts w:ascii="宋体" w:hAnsi="宋体"/>
                <w:bCs/>
                <w:sz w:val="28"/>
                <w:szCs w:val="28"/>
              </w:rPr>
            </w:pPr>
            <w:r>
              <w:rPr>
                <w:rFonts w:ascii="宋体" w:hAnsi="宋体" w:hint="eastAsia"/>
                <w:bCs/>
                <w:sz w:val="28"/>
                <w:szCs w:val="28"/>
              </w:rPr>
              <w:t>出口冶金煤按基准价或现货价格基准定价。大部分定期合约按照澳大利亚主要供货商与日本钢铁厂按季度价格基准协商的定价机制定价。现货销售按当日的市场价（普氏指数）定价。</w:t>
            </w:r>
          </w:p>
          <w:p>
            <w:pPr>
              <w:snapToGrid w:val="0"/>
              <w:spacing w:line="440" w:lineRule="exact"/>
              <w:ind w:firstLineChars="200" w:firstLine="560"/>
              <w:rPr>
                <w:rFonts w:ascii="宋体" w:hAnsi="宋体"/>
                <w:bCs/>
                <w:sz w:val="28"/>
                <w:szCs w:val="28"/>
              </w:rPr>
            </w:pPr>
          </w:p>
          <w:p>
            <w:pPr>
              <w:snapToGrid w:val="0"/>
              <w:spacing w:line="440" w:lineRule="exact"/>
              <w:ind w:firstLineChars="200" w:firstLine="560"/>
              <w:rPr>
                <w:rFonts w:ascii="宋体" w:hAnsi="宋体"/>
                <w:bCs/>
                <w:sz w:val="28"/>
                <w:szCs w:val="28"/>
              </w:rPr>
            </w:pPr>
            <w:r>
              <w:rPr>
                <w:rFonts w:ascii="宋体" w:hAnsi="宋体" w:hint="eastAsia"/>
                <w:bCs/>
                <w:sz w:val="28"/>
                <w:szCs w:val="28"/>
              </w:rPr>
              <w:lastRenderedPageBreak/>
              <w:t>七、公司2024年资本开支计划构成以及执行情况？</w:t>
            </w:r>
          </w:p>
          <w:p>
            <w:pPr>
              <w:spacing w:line="520" w:lineRule="exact"/>
              <w:ind w:firstLineChars="200" w:firstLine="560"/>
              <w:rPr>
                <w:rFonts w:ascii="宋体" w:hAnsi="宋体"/>
                <w:bCs/>
                <w:sz w:val="28"/>
                <w:szCs w:val="28"/>
              </w:rPr>
            </w:pPr>
            <w:r>
              <w:rPr>
                <w:rFonts w:ascii="宋体" w:hAnsi="宋体" w:hint="eastAsia"/>
                <w:bCs/>
                <w:sz w:val="28"/>
                <w:szCs w:val="28"/>
              </w:rPr>
              <w:t>2024年计划为197.02亿元，除新建投资项目投资外，正常维持简单再生产开支呈下降趋势。新建项目主要包括“陕蒙疆”区域矿井建设、高端化工新材料等增量创效项目。</w:t>
            </w:r>
          </w:p>
          <w:p>
            <w:pPr>
              <w:spacing w:line="520" w:lineRule="exact"/>
              <w:ind w:firstLineChars="200" w:firstLine="560"/>
              <w:rPr>
                <w:rFonts w:ascii="宋体" w:hAnsi="宋体" w:hint="eastAsia"/>
                <w:bCs/>
                <w:sz w:val="28"/>
                <w:szCs w:val="28"/>
              </w:rPr>
            </w:pPr>
            <w:r>
              <w:rPr>
                <w:rFonts w:ascii="宋体" w:hAnsi="宋体" w:hint="eastAsia"/>
                <w:bCs/>
                <w:sz w:val="28"/>
                <w:szCs w:val="28"/>
              </w:rPr>
              <w:t>具体执行数据将在2024年度报告中进行披露。</w:t>
            </w:r>
          </w:p>
          <w:p>
            <w:pPr>
              <w:spacing w:line="520" w:lineRule="exact"/>
              <w:ind w:firstLineChars="200" w:firstLine="560"/>
              <w:rPr>
                <w:rFonts w:ascii="宋体" w:hAnsi="宋体"/>
                <w:bCs/>
                <w:sz w:val="28"/>
                <w:szCs w:val="28"/>
              </w:rPr>
            </w:pPr>
          </w:p>
          <w:p>
            <w:pPr>
              <w:spacing w:line="520" w:lineRule="exact"/>
              <w:ind w:firstLineChars="200" w:firstLine="560"/>
              <w:rPr>
                <w:rFonts w:ascii="宋体" w:hAnsi="宋体"/>
                <w:bCs/>
                <w:sz w:val="28"/>
                <w:szCs w:val="28"/>
              </w:rPr>
            </w:pPr>
            <w:r>
              <w:rPr>
                <w:rFonts w:ascii="宋体" w:hAnsi="宋体" w:hint="eastAsia"/>
                <w:bCs/>
                <w:sz w:val="28"/>
                <w:szCs w:val="28"/>
              </w:rPr>
              <w:t>八、公司对煤炭市场的研判？</w:t>
            </w:r>
          </w:p>
          <w:p>
            <w:pPr>
              <w:spacing w:line="520" w:lineRule="exact"/>
              <w:ind w:firstLineChars="200" w:firstLine="560"/>
              <w:rPr>
                <w:rFonts w:ascii="宋体" w:hAnsi="宋体"/>
                <w:bCs/>
                <w:sz w:val="28"/>
                <w:szCs w:val="28"/>
              </w:rPr>
            </w:pPr>
            <w:r>
              <w:rPr>
                <w:rFonts w:ascii="宋体" w:hAnsi="宋体" w:hint="eastAsia"/>
                <w:bCs/>
                <w:sz w:val="28"/>
                <w:szCs w:val="28"/>
              </w:rPr>
              <w:t>今年以来，受煤炭供给宽松、进口量保持高位、水电发力较好等因素叠加影响，煤炭价格震荡波动。</w:t>
            </w:r>
          </w:p>
          <w:p>
            <w:pPr>
              <w:spacing w:line="520" w:lineRule="exact"/>
              <w:ind w:firstLineChars="200" w:firstLine="560"/>
              <w:rPr>
                <w:rFonts w:ascii="宋体" w:hAnsi="宋体"/>
                <w:bCs/>
                <w:sz w:val="28"/>
                <w:szCs w:val="28"/>
              </w:rPr>
            </w:pPr>
            <w:r>
              <w:rPr>
                <w:rFonts w:ascii="宋体" w:hAnsi="宋体" w:hint="eastAsia"/>
                <w:bCs/>
                <w:sz w:val="28"/>
                <w:szCs w:val="28"/>
              </w:rPr>
              <w:t>预计后期国内、国际煤价稳中偏强运行，中高位窄幅波动。随着大规模设备更新和消费品以旧换新、特别国债投放等一系列扩内需、稳增长措施显效发力，煤炭主体能源和兜底作用更加凸显。当前煤价下降幅度趋缓，预计后期煤炭供需格局将由略显宽松向平衡转变。</w:t>
            </w:r>
          </w:p>
          <w:p>
            <w:pPr>
              <w:spacing w:line="520" w:lineRule="exact"/>
              <w:ind w:firstLineChars="200" w:firstLine="560"/>
              <w:rPr>
                <w:rFonts w:ascii="宋体" w:hAnsi="宋体"/>
                <w:bCs/>
                <w:sz w:val="28"/>
                <w:szCs w:val="28"/>
              </w:rPr>
            </w:pPr>
          </w:p>
          <w:p>
            <w:pPr>
              <w:snapToGrid w:val="0"/>
              <w:spacing w:line="440" w:lineRule="exact"/>
              <w:ind w:left="567"/>
              <w:rPr>
                <w:rFonts w:ascii="宋体" w:hAnsi="宋体"/>
                <w:bCs/>
                <w:sz w:val="28"/>
                <w:szCs w:val="28"/>
              </w:rPr>
            </w:pPr>
            <w:r>
              <w:rPr>
                <w:rFonts w:ascii="宋体" w:hAnsi="宋体" w:hint="eastAsia"/>
                <w:bCs/>
                <w:sz w:val="28"/>
                <w:szCs w:val="28"/>
              </w:rPr>
              <w:t>九、公司3亿吨煤炭产量计划如何实现？</w:t>
            </w:r>
          </w:p>
          <w:p>
            <w:pPr>
              <w:spacing w:line="520" w:lineRule="exact"/>
              <w:ind w:firstLineChars="200" w:firstLine="560"/>
              <w:rPr>
                <w:rFonts w:ascii="宋体" w:hAnsi="宋体" w:hint="eastAsia"/>
                <w:bCs/>
                <w:sz w:val="28"/>
                <w:szCs w:val="28"/>
              </w:rPr>
            </w:pPr>
            <w:r>
              <w:rPr>
                <w:rFonts w:ascii="宋体" w:hAnsi="宋体" w:hint="eastAsia"/>
                <w:bCs/>
                <w:sz w:val="28"/>
                <w:szCs w:val="28"/>
              </w:rPr>
              <w:t>公司2021年12月制定的《发展战略纲要》提出，力争5-10年煤炭产量（100%权益的原煤产量）达到3亿吨/年。2023年公司完成鲁西矿业、新疆能化的收购，山东能源于山东、新疆区域的优质煤炭资产已注入上市公司。本集团2024年生产商品煤约1.42亿吨，对应原煤产量约1.7亿吨。</w:t>
            </w:r>
          </w:p>
          <w:p>
            <w:pPr>
              <w:spacing w:line="520" w:lineRule="exact"/>
              <w:ind w:firstLineChars="200" w:firstLine="560"/>
              <w:rPr>
                <w:rFonts w:ascii="宋体" w:hAnsi="宋体" w:hint="eastAsia"/>
                <w:bCs/>
                <w:sz w:val="28"/>
                <w:szCs w:val="28"/>
              </w:rPr>
            </w:pPr>
            <w:r>
              <w:rPr>
                <w:rFonts w:ascii="宋体" w:hAnsi="宋体" w:hint="eastAsia"/>
                <w:bCs/>
                <w:sz w:val="28"/>
                <w:szCs w:val="28"/>
              </w:rPr>
              <w:t>本集团将坚持内涵式增长与外延式增长并举，加快优质资源释放，高质高效推进增量项目建设，万福煤矿于</w:t>
            </w:r>
            <w:r>
              <w:rPr>
                <w:rFonts w:ascii="宋体" w:hAnsi="宋体" w:hint="eastAsia"/>
                <w:bCs/>
                <w:sz w:val="28"/>
                <w:szCs w:val="28"/>
              </w:rPr>
              <w:lastRenderedPageBreak/>
              <w:t>2024年12月实现联合试运转，规划2025年建成五彩湾四号露天矿，后续霍林河一号煤矿、曹四夭钼矿、刘三圪旦煤矿、嘎鲁图煤矿陆续开工。若上述项目规划如期完成，将进一步助力公司实现原煤产量3亿吨的目标。</w:t>
            </w:r>
          </w:p>
          <w:p>
            <w:pPr>
              <w:spacing w:line="520" w:lineRule="exact"/>
              <w:ind w:firstLineChars="200" w:firstLine="560"/>
              <w:rPr>
                <w:rFonts w:ascii="宋体" w:hAnsi="宋体" w:hint="eastAsia"/>
                <w:bCs/>
                <w:sz w:val="28"/>
                <w:szCs w:val="28"/>
              </w:rPr>
            </w:pPr>
            <w:r>
              <w:rPr>
                <w:rFonts w:ascii="宋体" w:hAnsi="宋体" w:hint="eastAsia"/>
                <w:bCs/>
                <w:sz w:val="28"/>
                <w:szCs w:val="28"/>
              </w:rPr>
              <w:t>同时，公司将持续关注境内外市场优质资产的并购机遇。</w:t>
            </w:r>
          </w:p>
          <w:p>
            <w:pPr>
              <w:spacing w:line="520" w:lineRule="exact"/>
              <w:ind w:firstLineChars="200" w:firstLine="560"/>
              <w:rPr>
                <w:rFonts w:ascii="宋体" w:hAnsi="宋体"/>
                <w:bCs/>
                <w:sz w:val="28"/>
                <w:szCs w:val="28"/>
              </w:rPr>
            </w:pPr>
          </w:p>
          <w:p>
            <w:pPr>
              <w:spacing w:line="520" w:lineRule="exact"/>
              <w:ind w:firstLineChars="200" w:firstLine="560"/>
              <w:rPr>
                <w:rFonts w:ascii="宋体" w:hAnsi="宋体"/>
                <w:bCs/>
                <w:sz w:val="28"/>
                <w:szCs w:val="28"/>
              </w:rPr>
            </w:pPr>
            <w:r>
              <w:rPr>
                <w:rFonts w:ascii="宋体" w:hAnsi="宋体" w:hint="eastAsia"/>
                <w:bCs/>
                <w:sz w:val="28"/>
                <w:szCs w:val="28"/>
              </w:rPr>
              <w:t>十、公司对化工板块的发展规划？</w:t>
            </w:r>
          </w:p>
          <w:p>
            <w:pPr>
              <w:spacing w:line="520" w:lineRule="exact"/>
              <w:ind w:firstLineChars="200" w:firstLine="560"/>
              <w:rPr>
                <w:rFonts w:ascii="宋体" w:hAnsi="宋体"/>
                <w:bCs/>
                <w:sz w:val="28"/>
                <w:szCs w:val="28"/>
              </w:rPr>
            </w:pPr>
            <w:r>
              <w:rPr>
                <w:rFonts w:ascii="宋体" w:hAnsi="宋体" w:hint="eastAsia"/>
                <w:bCs/>
                <w:sz w:val="28"/>
                <w:szCs w:val="28"/>
              </w:rPr>
              <w:t>公司对高端化工新材料产业的发展规划：一是加快延链增值。强化延链、补链和强链，拓展“一头多线”柔性生产，打造高技术、高附加值产品。二是绿色低碳转型。发挥煤化工在固碳、减碳方面的优势，加快煤炭转化关键核心技术攻关，发展高碳含量的煤基新材料；加快推动煤炭向燃料和原料并重发展。三是战略布局新疆。在做优做强鲁南化工、未来能源、荣信化工、榆林能化等4个化工园区的基础上，战略布局新疆区域，建设大煤化基地，发挥煤炭成本低、品种优、易开采等优势，推动煤炭深加工和高效利用。</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十一、鲁西矿业、新疆能化是否能够实现业绩承诺？</w:t>
            </w:r>
          </w:p>
          <w:p>
            <w:pPr>
              <w:spacing w:line="520" w:lineRule="exact"/>
              <w:ind w:firstLineChars="200" w:firstLine="560"/>
              <w:rPr>
                <w:rFonts w:ascii="宋体" w:hAnsi="宋体"/>
                <w:sz w:val="28"/>
                <w:szCs w:val="28"/>
              </w:rPr>
            </w:pPr>
            <w:r>
              <w:rPr>
                <w:rFonts w:ascii="宋体" w:hAnsi="宋体" w:hint="eastAsia"/>
                <w:sz w:val="28"/>
                <w:szCs w:val="28"/>
              </w:rPr>
              <w:t>业绩承诺协议约定期三年，2025年后将根据审计结果测算是否需要进行业绩补偿。</w:t>
            </w:r>
          </w:p>
          <w:p>
            <w:pPr>
              <w:spacing w:line="520" w:lineRule="exact"/>
              <w:ind w:firstLineChars="200" w:firstLine="560"/>
              <w:rPr>
                <w:rFonts w:ascii="宋体" w:hAnsi="宋体"/>
                <w:sz w:val="28"/>
                <w:szCs w:val="28"/>
              </w:rPr>
            </w:pPr>
            <w:r>
              <w:rPr>
                <w:rFonts w:ascii="宋体" w:hAnsi="宋体" w:hint="eastAsia"/>
                <w:sz w:val="28"/>
                <w:szCs w:val="28"/>
              </w:rPr>
              <w:t>公司相信鲁西矿业、新疆能化效益将稳步提升。一是随着千米深井开采试点的推进及完成，鲁西矿业高附加值的煤炭产能将有序释放；二是五彩湾露天矿的建成投产，将为新疆能化增添利润贡献。</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bCs/>
                <w:sz w:val="28"/>
                <w:szCs w:val="28"/>
              </w:rPr>
            </w:pPr>
            <w:r>
              <w:rPr>
                <w:rFonts w:ascii="宋体" w:hAnsi="宋体" w:hint="eastAsia"/>
                <w:bCs/>
                <w:sz w:val="28"/>
                <w:szCs w:val="28"/>
              </w:rPr>
              <w:t>十</w:t>
            </w:r>
            <w:r>
              <w:rPr>
                <w:rFonts w:ascii="宋体" w:hAnsi="宋体" w:hint="eastAsia"/>
                <w:bCs/>
                <w:sz w:val="28"/>
                <w:szCs w:val="28"/>
              </w:rPr>
              <w:t>二</w:t>
            </w:r>
            <w:r>
              <w:rPr>
                <w:rFonts w:ascii="宋体" w:hAnsi="宋体" w:hint="eastAsia"/>
                <w:bCs/>
                <w:sz w:val="28"/>
                <w:szCs w:val="28"/>
              </w:rPr>
              <w:t>、公司增资扩股物泊科技的原因？</w:t>
            </w:r>
          </w:p>
          <w:p>
            <w:pPr>
              <w:spacing w:line="520" w:lineRule="exact"/>
              <w:ind w:firstLineChars="200" w:firstLine="560"/>
              <w:rPr>
                <w:rFonts w:ascii="宋体" w:hAnsi="宋体"/>
                <w:bCs/>
                <w:sz w:val="28"/>
                <w:szCs w:val="28"/>
              </w:rPr>
            </w:pPr>
            <w:r>
              <w:rPr>
                <w:rFonts w:ascii="宋体" w:hAnsi="宋体" w:hint="eastAsia"/>
                <w:bCs/>
                <w:sz w:val="28"/>
                <w:szCs w:val="28"/>
              </w:rPr>
              <w:t>物泊科技为国内头部网络货运平台，主要业务模式为无车承运，即物泊科技通过线上平台，为货主和承运人提供车货匹配和运费结算业务，帮助货主及承运人提升业务效率和降低运输成本。</w:t>
            </w:r>
          </w:p>
          <w:p>
            <w:pPr>
              <w:spacing w:line="520" w:lineRule="exact"/>
              <w:ind w:firstLineChars="200" w:firstLine="560"/>
              <w:rPr>
                <w:rFonts w:ascii="宋体" w:hAnsi="宋体"/>
                <w:bCs/>
                <w:sz w:val="28"/>
                <w:szCs w:val="28"/>
              </w:rPr>
            </w:pPr>
            <w:r>
              <w:rPr>
                <w:rFonts w:ascii="宋体" w:hAnsi="宋体" w:hint="eastAsia"/>
                <w:bCs/>
                <w:sz w:val="28"/>
                <w:szCs w:val="28"/>
              </w:rPr>
              <w:t>智慧物流为本集团五大主业之一，物泊科技在大宗商品承运领域拥有较高的市场占有率，与公司有显著的协同效应，增资控股物泊科技，有助于本集团构建铁路、公路、港航、园区、平台“五位一体”的现代物流产业体系。</w:t>
            </w:r>
          </w:p>
          <w:p>
            <w:pPr>
              <w:spacing w:line="520" w:lineRule="exact"/>
              <w:ind w:firstLineChars="200" w:firstLine="560"/>
              <w:rPr>
                <w:rFonts w:ascii="宋体" w:hAnsi="宋体"/>
                <w:bCs/>
                <w:sz w:val="28"/>
                <w:szCs w:val="28"/>
              </w:rPr>
            </w:pPr>
            <w:r>
              <w:rPr>
                <w:rFonts w:ascii="宋体" w:hAnsi="宋体" w:hint="eastAsia"/>
                <w:bCs/>
                <w:sz w:val="28"/>
                <w:szCs w:val="28"/>
              </w:rPr>
              <w:t>目前公司主要产品销售以客户自提为主，其中大部分采取公路运输形式。完成物泊科技增资扩股后，可通过引导客户上平台，逐步实现“自提转配送”，为客户提供可靠、高效、平价的运输服务，以物流之力助力煤炭销售。</w:t>
            </w:r>
          </w:p>
          <w:p>
            <w:pPr>
              <w:spacing w:line="520" w:lineRule="exact"/>
              <w:ind w:firstLineChars="200" w:firstLine="560"/>
              <w:rPr>
                <w:rFonts w:ascii="宋体" w:hAnsi="宋体" w:hint="eastAsia"/>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十三、公司计划控股高地资源的目的？</w:t>
            </w:r>
          </w:p>
          <w:p>
            <w:pPr>
              <w:spacing w:line="520" w:lineRule="exact"/>
              <w:ind w:firstLineChars="200" w:firstLine="560"/>
              <w:rPr>
                <w:rFonts w:ascii="宋体" w:hAnsi="宋体"/>
                <w:sz w:val="28"/>
                <w:szCs w:val="28"/>
              </w:rPr>
            </w:pPr>
            <w:r>
              <w:rPr>
                <w:rFonts w:ascii="宋体" w:hAnsi="宋体" w:hint="eastAsia"/>
                <w:sz w:val="28"/>
                <w:szCs w:val="28"/>
              </w:rPr>
              <w:t>2024年9月23日，公司与高地资源签署《实施协议》和《股份认购协议》，拟通过资产注入和现金认购方式获得高地资源新增发股份，成为交易后高地资源的第一大股东并取得控制权。高地资源股份增发融资完成后，募集资金可以满足高地资源的建设运营需求。目前交易尚未完成，正在履行境内外审批程序。公司控股高地资源，主要有以下三点原因：</w:t>
            </w:r>
          </w:p>
          <w:p>
            <w:pPr>
              <w:spacing w:line="520" w:lineRule="exact"/>
              <w:ind w:firstLineChars="200" w:firstLine="560"/>
              <w:rPr>
                <w:rFonts w:ascii="宋体" w:hAnsi="宋体"/>
                <w:sz w:val="28"/>
                <w:szCs w:val="28"/>
              </w:rPr>
            </w:pPr>
            <w:r>
              <w:rPr>
                <w:rFonts w:ascii="宋体" w:hAnsi="宋体" w:hint="eastAsia"/>
                <w:sz w:val="28"/>
                <w:szCs w:val="28"/>
              </w:rPr>
              <w:t>（一）提升兖矿能源收入水平，打造矿业业务利润增长极</w:t>
            </w:r>
          </w:p>
          <w:p>
            <w:pPr>
              <w:spacing w:line="520" w:lineRule="exact"/>
              <w:ind w:firstLineChars="200" w:firstLine="560"/>
              <w:rPr>
                <w:rFonts w:ascii="宋体" w:hAnsi="宋体"/>
                <w:sz w:val="28"/>
                <w:szCs w:val="28"/>
              </w:rPr>
            </w:pPr>
            <w:r>
              <w:rPr>
                <w:rFonts w:ascii="宋体" w:hAnsi="宋体" w:hint="eastAsia"/>
                <w:sz w:val="28"/>
                <w:szCs w:val="28"/>
              </w:rPr>
              <w:lastRenderedPageBreak/>
              <w:t>通过本次交易，兖矿能源能够获取西班牙的优质钾矿资源(Muga项目)并与已有的加拿大钾矿资产形成协同，建成后将大幅提升公司的钾矿产能以及钾矿业务板块的收入水平，打造矿业业务利润增长极。</w:t>
            </w:r>
          </w:p>
          <w:p>
            <w:pPr>
              <w:spacing w:line="520" w:lineRule="exact"/>
              <w:ind w:firstLineChars="200" w:firstLine="560"/>
              <w:rPr>
                <w:rFonts w:ascii="宋体" w:hAnsi="宋体"/>
                <w:sz w:val="28"/>
                <w:szCs w:val="28"/>
              </w:rPr>
            </w:pPr>
            <w:r>
              <w:rPr>
                <w:rFonts w:ascii="宋体" w:hAnsi="宋体" w:hint="eastAsia"/>
                <w:sz w:val="28"/>
                <w:szCs w:val="28"/>
              </w:rPr>
              <w:t>（二）与兖煤加拿大钾矿项目协同，实现公司资产的保值增值</w:t>
            </w:r>
          </w:p>
          <w:p>
            <w:pPr>
              <w:spacing w:line="520" w:lineRule="exact"/>
              <w:ind w:firstLineChars="200" w:firstLine="560"/>
              <w:rPr>
                <w:rFonts w:ascii="宋体" w:hAnsi="宋体"/>
                <w:sz w:val="28"/>
                <w:szCs w:val="28"/>
              </w:rPr>
            </w:pPr>
            <w:r>
              <w:rPr>
                <w:rFonts w:ascii="宋体" w:hAnsi="宋体" w:hint="eastAsia"/>
                <w:sz w:val="28"/>
                <w:szCs w:val="28"/>
              </w:rPr>
              <w:t>本次交易能够为公司引入高地资源优秀团队，在技术、管理、资源等方面与公司协同共享，促进加拿大钾矿项目开发、运营效率。此外，Muga项目经营现金流以及高地资源的股权融资渠道，能为后续加拿大钾矿项目投资建设提供有效的资金补充，推进加拿大钾矿项目未来达产达效、提升资产价值，有利于实现公司资产的保值增值。</w:t>
            </w:r>
          </w:p>
          <w:p>
            <w:pPr>
              <w:spacing w:line="520" w:lineRule="exact"/>
              <w:ind w:firstLineChars="200" w:firstLine="560"/>
              <w:rPr>
                <w:rFonts w:ascii="宋体" w:hAnsi="宋体"/>
                <w:sz w:val="28"/>
                <w:szCs w:val="28"/>
              </w:rPr>
            </w:pPr>
            <w:r>
              <w:rPr>
                <w:rFonts w:ascii="宋体" w:hAnsi="宋体" w:hint="eastAsia"/>
                <w:sz w:val="28"/>
                <w:szCs w:val="28"/>
              </w:rPr>
              <w:t>（三）开发运营境外钾矿资源，做优做强公司矿业业务</w:t>
            </w:r>
          </w:p>
          <w:p>
            <w:pPr>
              <w:spacing w:line="520" w:lineRule="exact"/>
              <w:ind w:firstLineChars="200" w:firstLine="560"/>
              <w:rPr>
                <w:rFonts w:ascii="宋体" w:hAnsi="宋体"/>
                <w:sz w:val="28"/>
                <w:szCs w:val="28"/>
              </w:rPr>
            </w:pPr>
            <w:r>
              <w:rPr>
                <w:rFonts w:ascii="宋体" w:hAnsi="宋体" w:hint="eastAsia"/>
                <w:sz w:val="28"/>
                <w:szCs w:val="28"/>
              </w:rPr>
              <w:t>Muga项目和加拿大钾矿资产建设完成后，兖矿能源将通过控股高地资源拥有钾盐产能，由单一煤炭开采向多矿种开发转型，是战略规划的矿业发展方向，践行了做优做强矿业的公司战略。</w:t>
            </w:r>
          </w:p>
          <w:p>
            <w:pPr>
              <w:spacing w:line="520" w:lineRule="exact"/>
              <w:rPr>
                <w:rFonts w:ascii="宋体" w:hAnsi="宋体" w:hint="eastAsia"/>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w:t>
            </w:r>
            <w:r>
              <w:rPr>
                <w:rFonts w:ascii="宋体" w:hAnsi="宋体" w:hint="eastAsia"/>
                <w:sz w:val="28"/>
                <w:szCs w:val="28"/>
              </w:rPr>
              <w:t>四</w:t>
            </w:r>
            <w:r>
              <w:rPr>
                <w:rFonts w:ascii="宋体" w:hAnsi="宋体" w:hint="eastAsia"/>
                <w:sz w:val="28"/>
                <w:szCs w:val="28"/>
              </w:rPr>
              <w:t>、H股增发的背景及原因？</w:t>
            </w:r>
          </w:p>
          <w:p>
            <w:pPr>
              <w:spacing w:line="520" w:lineRule="exact"/>
              <w:ind w:firstLineChars="200" w:firstLine="560"/>
              <w:rPr>
                <w:rFonts w:ascii="宋体" w:hAnsi="宋体"/>
                <w:sz w:val="28"/>
                <w:szCs w:val="28"/>
              </w:rPr>
            </w:pPr>
            <w:r>
              <w:rPr>
                <w:rFonts w:ascii="宋体" w:hAnsi="宋体" w:hint="eastAsia"/>
                <w:sz w:val="28"/>
                <w:szCs w:val="28"/>
              </w:rPr>
              <w:t>6月12日，公司H股增发完成交割，本次共发行2.85亿股H股，筹集资金净额为49亿港元，约合45.8亿元人民币，发行后公司总股本由74.38亿股增至77.23亿股。</w:t>
            </w:r>
          </w:p>
          <w:p>
            <w:pPr>
              <w:spacing w:line="520" w:lineRule="exact"/>
              <w:ind w:firstLineChars="200" w:firstLine="560"/>
              <w:rPr>
                <w:rFonts w:ascii="宋体" w:hAnsi="宋体"/>
                <w:sz w:val="28"/>
                <w:szCs w:val="28"/>
              </w:rPr>
            </w:pPr>
            <w:r>
              <w:rPr>
                <w:rFonts w:ascii="宋体" w:hAnsi="宋体" w:hint="eastAsia"/>
                <w:sz w:val="28"/>
                <w:szCs w:val="28"/>
              </w:rPr>
              <w:t>本次发行是公司着眼于未来增量提效和长远发展，通过增发H股股票实施股权融资的方式，储备战略资金，优化负债结构。本次发行降低公司资产负债率的同时，也保证了未来如有好的投资机会，公司可以更加灵活、快</w:t>
            </w:r>
            <w:r>
              <w:rPr>
                <w:rFonts w:ascii="宋体" w:hAnsi="宋体" w:hint="eastAsia"/>
                <w:sz w:val="28"/>
                <w:szCs w:val="28"/>
              </w:rPr>
              <w:lastRenderedPageBreak/>
              <w:t>捷、低成本的统筹利用各种筹资方式。</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hint="eastAsia"/>
                <w:sz w:val="28"/>
                <w:szCs w:val="28"/>
              </w:rPr>
            </w:pPr>
            <w:r>
              <w:rPr>
                <w:rFonts w:ascii="宋体" w:hAnsi="宋体" w:hint="eastAsia"/>
                <w:sz w:val="28"/>
                <w:szCs w:val="28"/>
              </w:rPr>
              <w:t>十五</w:t>
            </w:r>
            <w:r>
              <w:rPr>
                <w:rFonts w:ascii="宋体" w:hAnsi="宋体" w:hint="eastAsia"/>
                <w:sz w:val="28"/>
                <w:szCs w:val="28"/>
              </w:rPr>
              <w:t>、公司负债率偏高是什么原因？</w:t>
            </w:r>
          </w:p>
          <w:p>
            <w:pPr>
              <w:spacing w:line="520" w:lineRule="exact"/>
              <w:ind w:firstLineChars="200" w:firstLine="560"/>
              <w:rPr>
                <w:rFonts w:ascii="宋体" w:hAnsi="宋体" w:hint="eastAsia"/>
                <w:sz w:val="28"/>
                <w:szCs w:val="28"/>
              </w:rPr>
            </w:pPr>
            <w:r>
              <w:rPr>
                <w:rFonts w:ascii="宋体" w:hAnsi="宋体" w:hint="eastAsia"/>
                <w:sz w:val="28"/>
                <w:szCs w:val="28"/>
              </w:rPr>
              <w:t>公司坚持利用低成本的融资获取投资回报率更高的优质项目，有效提升盈利能力和利润水平。</w:t>
            </w:r>
          </w:p>
          <w:p>
            <w:pPr>
              <w:spacing w:line="520" w:lineRule="exact"/>
              <w:ind w:firstLineChars="200" w:firstLine="560"/>
              <w:rPr>
                <w:rFonts w:ascii="宋体" w:hAnsi="宋体" w:hint="eastAsia"/>
                <w:sz w:val="28"/>
                <w:szCs w:val="28"/>
              </w:rPr>
            </w:pPr>
            <w:r>
              <w:rPr>
                <w:rFonts w:ascii="宋体" w:hAnsi="宋体" w:hint="eastAsia"/>
                <w:sz w:val="28"/>
                <w:szCs w:val="28"/>
              </w:rPr>
              <w:t>近年资产负债率较高的原因，主要是多次收购相关资产，导致并表负债增加，以及坚持实施现金分红回报投资者，一定程度影响净资产增速。</w:t>
            </w:r>
          </w:p>
          <w:p>
            <w:pPr>
              <w:spacing w:line="520" w:lineRule="exact"/>
              <w:ind w:firstLineChars="200" w:firstLine="560"/>
              <w:rPr>
                <w:rFonts w:ascii="宋体" w:hAnsi="宋体" w:hint="eastAsia"/>
                <w:sz w:val="28"/>
                <w:szCs w:val="28"/>
              </w:rPr>
            </w:pPr>
            <w:r>
              <w:rPr>
                <w:rFonts w:ascii="宋体" w:hAnsi="宋体" w:hint="eastAsia"/>
                <w:sz w:val="28"/>
                <w:szCs w:val="28"/>
              </w:rPr>
              <w:t>2024年以来，公司通过以低息融资置换存量高息融资、调整存量融资利率、优化融资结构等措施，有效控制融资成本，资产负债率得到改善。</w:t>
            </w:r>
          </w:p>
          <w:p>
            <w:pPr>
              <w:spacing w:line="520" w:lineRule="exact"/>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十六、公司2024年度中期分红具体情况？未来分红政策如何？</w:t>
            </w:r>
          </w:p>
          <w:p>
            <w:pPr>
              <w:spacing w:line="520" w:lineRule="exact"/>
              <w:ind w:firstLineChars="200" w:firstLine="560"/>
              <w:rPr>
                <w:rFonts w:ascii="宋体" w:hAnsi="宋体"/>
                <w:sz w:val="28"/>
                <w:szCs w:val="28"/>
              </w:rPr>
            </w:pPr>
            <w:r>
              <w:rPr>
                <w:rFonts w:ascii="宋体" w:hAnsi="宋体" w:hint="eastAsia"/>
                <w:sz w:val="28"/>
                <w:szCs w:val="28"/>
              </w:rPr>
              <w:t>（一）中期分红</w:t>
            </w:r>
          </w:p>
          <w:p>
            <w:pPr>
              <w:spacing w:line="520" w:lineRule="exact"/>
              <w:ind w:firstLineChars="200" w:firstLine="560"/>
              <w:rPr>
                <w:rFonts w:ascii="宋体" w:hAnsi="宋体"/>
                <w:sz w:val="28"/>
                <w:szCs w:val="28"/>
              </w:rPr>
            </w:pPr>
            <w:r>
              <w:rPr>
                <w:rFonts w:ascii="宋体" w:hAnsi="宋体" w:hint="eastAsia"/>
                <w:sz w:val="28"/>
                <w:szCs w:val="28"/>
              </w:rPr>
              <w:t>经公司2024年第一次临时股东大会审议批准，2024年中期每股派发现金股利0.23元（含税），分红总额23亿元，占H股净收益的31.2%，占A股净利润的30.5%。中期分红已顺利派发完毕。</w:t>
            </w:r>
          </w:p>
          <w:p>
            <w:pPr>
              <w:spacing w:line="520" w:lineRule="exact"/>
              <w:ind w:firstLineChars="200" w:firstLine="560"/>
              <w:rPr>
                <w:rFonts w:ascii="宋体" w:hAnsi="宋体"/>
                <w:sz w:val="28"/>
                <w:szCs w:val="28"/>
              </w:rPr>
            </w:pPr>
            <w:r>
              <w:rPr>
                <w:rFonts w:ascii="宋体" w:hAnsi="宋体" w:hint="eastAsia"/>
                <w:sz w:val="28"/>
                <w:szCs w:val="28"/>
              </w:rPr>
              <w:t>同时，公司董事会对《公司章程》关于中期分红的相关条款进行修订，由股东大会授权董事会决策分配中期股利，为未来灵活实施中期分红、更好回报投资者进行了制度准备。</w:t>
            </w:r>
          </w:p>
          <w:p>
            <w:pPr>
              <w:spacing w:line="520" w:lineRule="exact"/>
              <w:ind w:firstLineChars="200" w:firstLine="560"/>
              <w:rPr>
                <w:rFonts w:ascii="宋体" w:hAnsi="宋体"/>
                <w:sz w:val="28"/>
                <w:szCs w:val="28"/>
              </w:rPr>
            </w:pPr>
            <w:r>
              <w:rPr>
                <w:rFonts w:ascii="宋体" w:hAnsi="宋体" w:hint="eastAsia"/>
                <w:sz w:val="28"/>
                <w:szCs w:val="28"/>
              </w:rPr>
              <w:lastRenderedPageBreak/>
              <w:t>（二）未来分红政策</w:t>
            </w:r>
          </w:p>
          <w:p>
            <w:pPr>
              <w:spacing w:line="520" w:lineRule="exact"/>
              <w:ind w:firstLineChars="200" w:firstLine="560"/>
              <w:rPr>
                <w:rFonts w:ascii="宋体" w:hAnsi="宋体"/>
                <w:sz w:val="28"/>
                <w:szCs w:val="28"/>
              </w:rPr>
            </w:pPr>
            <w:r>
              <w:rPr>
                <w:rFonts w:ascii="宋体" w:hAnsi="宋体" w:hint="eastAsia"/>
                <w:sz w:val="28"/>
                <w:szCs w:val="28"/>
              </w:rPr>
              <w:t>兖矿能源始终践行“股东至上、价值共享”的理念，在央国企中率先坚持高比例现金分红，真诚回报投资者。公司上市后累计派发现金股利达到796亿元。近五年，年度现金分红金额占当年扣除法定储备后净利润的比例均保持60%-70%，分红比例位居行业前列。</w:t>
            </w:r>
          </w:p>
          <w:p>
            <w:pPr>
              <w:spacing w:line="520" w:lineRule="exact"/>
              <w:ind w:firstLineChars="200" w:firstLine="560"/>
              <w:rPr>
                <w:rFonts w:ascii="宋体" w:hAnsi="宋体"/>
                <w:sz w:val="28"/>
                <w:szCs w:val="28"/>
              </w:rPr>
            </w:pPr>
            <w:r>
              <w:rPr>
                <w:rFonts w:ascii="宋体" w:hAnsi="宋体" w:hint="eastAsia"/>
                <w:sz w:val="28"/>
                <w:szCs w:val="28"/>
              </w:rPr>
              <w:t>公司2023-2025年度分红政策：每年度现金分红金额占当年扣除法定储备后净利润约60%，且不低于0.5元/股。</w:t>
            </w:r>
          </w:p>
          <w:p>
            <w:pPr>
              <w:spacing w:line="520" w:lineRule="exact"/>
              <w:ind w:firstLineChars="200" w:firstLine="560"/>
              <w:rPr>
                <w:rFonts w:ascii="宋体" w:hAnsi="宋体"/>
                <w:sz w:val="28"/>
                <w:szCs w:val="28"/>
              </w:rPr>
            </w:pPr>
            <w:r>
              <w:rPr>
                <w:rFonts w:ascii="宋体" w:hAnsi="宋体" w:hint="eastAsia"/>
                <w:sz w:val="28"/>
                <w:szCs w:val="28"/>
              </w:rPr>
              <w:t>公司将坚定实施现金分红派息政策，科学安排资金使用。现金流优先用于保障正常运营和现金分红。公司将继续推动规模当量、经济效益、发展质量全面跃升，以优异成绩为股东及利益相关方创造更多价值和回报。</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十七、兖煤澳洲中期未分红的原因？</w:t>
            </w:r>
          </w:p>
          <w:p>
            <w:pPr>
              <w:spacing w:line="520" w:lineRule="exact"/>
              <w:ind w:firstLineChars="200" w:firstLine="560"/>
              <w:rPr>
                <w:rFonts w:ascii="宋体" w:hAnsi="宋体"/>
                <w:sz w:val="28"/>
                <w:szCs w:val="28"/>
              </w:rPr>
            </w:pPr>
            <w:r>
              <w:rPr>
                <w:rFonts w:ascii="宋体" w:hAnsi="宋体" w:hint="eastAsia"/>
                <w:sz w:val="28"/>
                <w:szCs w:val="28"/>
              </w:rPr>
              <w:t>经8月19日兖煤澳洲董事会审议，决定不派发2024年中期股息，预留现金为潜在企业活动提供灵活性；相关资金如果没有使用，将在未来进行分配。</w:t>
            </w:r>
          </w:p>
          <w:p>
            <w:pPr>
              <w:spacing w:line="520" w:lineRule="exact"/>
              <w:ind w:firstLineChars="200" w:firstLine="560"/>
              <w:rPr>
                <w:rFonts w:ascii="宋体" w:hAnsi="宋体"/>
                <w:sz w:val="28"/>
                <w:szCs w:val="28"/>
              </w:rPr>
            </w:pPr>
            <w:r>
              <w:rPr>
                <w:rFonts w:ascii="宋体" w:hAnsi="宋体" w:hint="eastAsia"/>
                <w:sz w:val="28"/>
                <w:szCs w:val="28"/>
              </w:rPr>
              <w:t>1.兖煤澳洲分红政策不变</w:t>
            </w:r>
          </w:p>
          <w:p>
            <w:pPr>
              <w:spacing w:line="520" w:lineRule="exact"/>
              <w:ind w:firstLineChars="200" w:firstLine="560"/>
              <w:rPr>
                <w:rFonts w:ascii="宋体" w:hAnsi="宋体"/>
                <w:sz w:val="28"/>
                <w:szCs w:val="28"/>
              </w:rPr>
            </w:pPr>
            <w:r>
              <w:rPr>
                <w:rFonts w:ascii="宋体" w:hAnsi="宋体" w:hint="eastAsia"/>
                <w:sz w:val="28"/>
                <w:szCs w:val="28"/>
              </w:rPr>
              <w:t>根据兖煤澳洲的公司章程，在符合法律要求并通过财务测试条件的前提下，股息派发应不低于税后净利润的50%或自由现金流的50%，以孰高为准。同时董事会拥有最终决定权。</w:t>
            </w:r>
          </w:p>
          <w:p>
            <w:pPr>
              <w:spacing w:line="520" w:lineRule="exact"/>
              <w:ind w:firstLineChars="200" w:firstLine="560"/>
              <w:rPr>
                <w:rFonts w:ascii="宋体" w:hAnsi="宋体"/>
                <w:sz w:val="28"/>
                <w:szCs w:val="28"/>
              </w:rPr>
            </w:pPr>
            <w:r>
              <w:rPr>
                <w:rFonts w:ascii="宋体" w:hAnsi="宋体" w:hint="eastAsia"/>
                <w:sz w:val="28"/>
                <w:szCs w:val="28"/>
              </w:rPr>
              <w:lastRenderedPageBreak/>
              <w:t>2.本次不宣派中期股息的主要考量</w:t>
            </w:r>
          </w:p>
          <w:p>
            <w:pPr>
              <w:spacing w:line="520" w:lineRule="exact"/>
              <w:ind w:firstLineChars="200" w:firstLine="560"/>
              <w:rPr>
                <w:rFonts w:ascii="宋体" w:hAnsi="宋体"/>
                <w:sz w:val="28"/>
                <w:szCs w:val="28"/>
              </w:rPr>
            </w:pPr>
            <w:r>
              <w:rPr>
                <w:rFonts w:ascii="宋体" w:hAnsi="宋体" w:hint="eastAsia"/>
                <w:sz w:val="28"/>
                <w:szCs w:val="28"/>
              </w:rPr>
              <w:t>兖煤澳洲的资本管理旨在平衡债务优化、股息分配和增长项目三者之间的关系，致力于持续创造价值，实现股东利益的最大化。在特定情况下，需要平衡短期收益和长期股东价值之间的关系。</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十八、控股股东增持公司股份进展情况？是否存在新的增持计划？</w:t>
            </w:r>
          </w:p>
          <w:p>
            <w:pPr>
              <w:spacing w:line="520" w:lineRule="exact"/>
              <w:ind w:firstLineChars="200" w:firstLine="560"/>
              <w:rPr>
                <w:rFonts w:ascii="宋体" w:hAnsi="宋体"/>
                <w:sz w:val="28"/>
                <w:szCs w:val="28"/>
              </w:rPr>
            </w:pPr>
            <w:r>
              <w:rPr>
                <w:rFonts w:ascii="宋体" w:hAnsi="宋体" w:hint="eastAsia"/>
                <w:sz w:val="28"/>
                <w:szCs w:val="28"/>
              </w:rPr>
              <w:t>控股股东对兖矿能源发展前景及价值持续提升充满信心。山东能源于2</w:t>
            </w:r>
            <w:r>
              <w:rPr>
                <w:rFonts w:ascii="宋体" w:hAnsi="宋体"/>
                <w:sz w:val="28"/>
                <w:szCs w:val="28"/>
              </w:rPr>
              <w:t>024</w:t>
            </w:r>
            <w:r>
              <w:rPr>
                <w:rFonts w:ascii="宋体" w:hAnsi="宋体" w:hint="eastAsia"/>
                <w:sz w:val="28"/>
                <w:szCs w:val="28"/>
              </w:rPr>
              <w:t>年11月19日前已累计增持A股和H股股份共计2771万股，增持金额约3亿元。其中：增持公司A股618.74万股，增持金额人民币1亿元；增持公司H股2152.80万股，增持金额人民币2亿元，增持计划已顺利完成。</w:t>
            </w:r>
          </w:p>
          <w:p>
            <w:pPr>
              <w:spacing w:line="520" w:lineRule="exact"/>
              <w:ind w:firstLineChars="200" w:firstLine="560"/>
              <w:rPr>
                <w:rFonts w:ascii="宋体" w:hAnsi="宋体"/>
                <w:sz w:val="28"/>
                <w:szCs w:val="28"/>
              </w:rPr>
            </w:pPr>
            <w:r>
              <w:rPr>
                <w:rFonts w:ascii="宋体" w:hAnsi="宋体" w:hint="eastAsia"/>
                <w:sz w:val="28"/>
                <w:szCs w:val="28"/>
              </w:rPr>
              <w:t>山东能源将综合考量市场状况、窗口期限制等多方面因素，决定是否实施新的增持计划。公司将严格按照上市地监管规定，在山东能源增持时及时履行上市公司信息披露义务。</w:t>
            </w:r>
          </w:p>
          <w:p>
            <w:pPr>
              <w:spacing w:line="520" w:lineRule="exact"/>
              <w:ind w:firstLineChars="200" w:firstLine="560"/>
              <w:rPr>
                <w:rFonts w:ascii="宋体" w:hAnsi="宋体"/>
                <w:sz w:val="28"/>
                <w:szCs w:val="28"/>
              </w:rPr>
            </w:pPr>
          </w:p>
          <w:p>
            <w:pPr>
              <w:spacing w:line="520" w:lineRule="exact"/>
              <w:ind w:firstLineChars="200" w:firstLine="560"/>
              <w:rPr>
                <w:rFonts w:ascii="宋体" w:hAnsi="宋体"/>
                <w:sz w:val="28"/>
                <w:szCs w:val="28"/>
              </w:rPr>
            </w:pPr>
            <w:r>
              <w:rPr>
                <w:rFonts w:ascii="宋体" w:hAnsi="宋体" w:hint="eastAsia"/>
                <w:sz w:val="28"/>
                <w:szCs w:val="28"/>
              </w:rPr>
              <w:t>十九、公司现金流是否可充分保障资本开支和分红需求？</w:t>
            </w:r>
          </w:p>
          <w:p>
            <w:pPr>
              <w:spacing w:line="520" w:lineRule="exact"/>
              <w:ind w:firstLineChars="200" w:firstLine="560"/>
              <w:rPr>
                <w:rFonts w:ascii="宋体" w:hAnsi="宋体"/>
                <w:sz w:val="28"/>
                <w:szCs w:val="28"/>
              </w:rPr>
            </w:pPr>
            <w:r>
              <w:rPr>
                <w:rFonts w:ascii="宋体" w:hAnsi="宋体" w:hint="eastAsia"/>
                <w:sz w:val="28"/>
                <w:szCs w:val="28"/>
              </w:rPr>
              <w:t>根据中国会计准则，2024年前三季度，本集团经营活动产生的现金流量净额</w:t>
            </w:r>
            <w:r>
              <w:rPr>
                <w:rFonts w:ascii="宋体" w:hAnsi="宋体"/>
                <w:sz w:val="28"/>
                <w:szCs w:val="28"/>
              </w:rPr>
              <w:t>182</w:t>
            </w:r>
            <w:r>
              <w:rPr>
                <w:rFonts w:ascii="宋体" w:hAnsi="宋体" w:hint="eastAsia"/>
                <w:sz w:val="28"/>
                <w:szCs w:val="28"/>
              </w:rPr>
              <w:t>亿元，扣除财务公司存贷款影响后，本集团经营性现金流</w:t>
            </w:r>
            <w:r>
              <w:rPr>
                <w:rFonts w:ascii="宋体" w:hAnsi="宋体"/>
                <w:sz w:val="28"/>
                <w:szCs w:val="28"/>
              </w:rPr>
              <w:t>226</w:t>
            </w:r>
            <w:r>
              <w:rPr>
                <w:rFonts w:ascii="宋体" w:hAnsi="宋体" w:hint="eastAsia"/>
                <w:sz w:val="28"/>
                <w:szCs w:val="28"/>
              </w:rPr>
              <w:t>亿元，全年现金流能够满足资本开支和分红的需求。</w:t>
            </w:r>
          </w:p>
        </w:tc>
      </w:tr>
    </w:tbl>
    <w:p/>
    <w:sectPr>
      <w:footerReference w:type="even" r:id="rId7"/>
      <w:footerReference w:type="default" r:id="rId8"/>
      <w:pgSz w:w="16838" w:h="11906" w:orient="landscape"/>
      <w:pgMar w:top="1800" w:right="1440" w:bottom="1800"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TBiaoSongSJ">
    <w:panose1 w:val="00000000000000000000"/>
    <w:charset w:val="86"/>
    <w:family w:val="auto"/>
    <w:pitch w:val="variable"/>
    <w:sig w:usb0="00000201" w:usb1="080F0000" w:usb2="00000010" w:usb3="00000000" w:csb0="00160004"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2</w:t>
    </w:r>
    <w:r>
      <w:rPr>
        <w:rStyle w:val="a9"/>
      </w:rPr>
      <w:fldChar w:fldCharType="end"/>
    </w:r>
  </w:p>
  <w:p>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Pr>
        <w:rStyle w:val="a9"/>
      </w:rPr>
      <w:t>1</w:t>
    </w:r>
    <w:r>
      <w:rPr>
        <w:rStyle w:val="a9"/>
      </w:rPr>
      <w:fldChar w:fldCharType="end"/>
    </w:r>
  </w:p>
  <w:p>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71032B"/>
    <w:multiLevelType w:val="hybridMultilevel"/>
    <w:tmpl w:val="AFB0A1BE"/>
    <w:lvl w:ilvl="0" w:tplc="E8DCDC72">
      <w:start w:val="1"/>
      <w:numFmt w:val="chineseCountingThousand"/>
      <w:suff w:val="nothing"/>
      <w:lvlText w:val="%1、"/>
      <w:lvlJc w:val="left"/>
      <w:pPr>
        <w:ind w:left="987" w:hanging="420"/>
      </w:pPr>
      <w:rPr>
        <w:rFonts w:hint="eastAsia"/>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1" w15:restartNumberingAfterBreak="0">
    <w:nsid w:val="736C469E"/>
    <w:multiLevelType w:val="hybridMultilevel"/>
    <w:tmpl w:val="1EC4CB1E"/>
    <w:lvl w:ilvl="0" w:tplc="A9628EEA">
      <w:start w:val="1"/>
      <w:numFmt w:val="decimal"/>
      <w:suff w:val="nothing"/>
      <w:lvlText w:val="%1"/>
      <w:lvlJc w:val="center"/>
      <w:pPr>
        <w:ind w:left="1129" w:hanging="420"/>
      </w:pPr>
      <w:rPr>
        <w:rFonts w:eastAsia="宋体" w:hint="eastAsia"/>
        <w:spacing w:val="0"/>
        <w:position w:val="0"/>
      </w:rPr>
    </w:lvl>
    <w:lvl w:ilvl="1" w:tplc="04090019" w:tentative="1">
      <w:start w:val="1"/>
      <w:numFmt w:val="lowerLetter"/>
      <w:lvlText w:val="%2)"/>
      <w:lvlJc w:val="left"/>
      <w:pPr>
        <w:ind w:left="1549" w:hanging="420"/>
      </w:pPr>
    </w:lvl>
    <w:lvl w:ilvl="2" w:tplc="0409001B" w:tentative="1">
      <w:start w:val="1"/>
      <w:numFmt w:val="lowerRoman"/>
      <w:lvlText w:val="%3."/>
      <w:lvlJc w:val="right"/>
      <w:pPr>
        <w:ind w:left="1969" w:hanging="420"/>
      </w:pPr>
    </w:lvl>
    <w:lvl w:ilvl="3" w:tplc="0409000F" w:tentative="1">
      <w:start w:val="1"/>
      <w:numFmt w:val="decimal"/>
      <w:lvlText w:val="%4."/>
      <w:lvlJc w:val="left"/>
      <w:pPr>
        <w:ind w:left="2389" w:hanging="420"/>
      </w:pPr>
    </w:lvl>
    <w:lvl w:ilvl="4" w:tplc="04090019" w:tentative="1">
      <w:start w:val="1"/>
      <w:numFmt w:val="lowerLetter"/>
      <w:lvlText w:val="%5)"/>
      <w:lvlJc w:val="left"/>
      <w:pPr>
        <w:ind w:left="2809" w:hanging="420"/>
      </w:pPr>
    </w:lvl>
    <w:lvl w:ilvl="5" w:tplc="0409001B" w:tentative="1">
      <w:start w:val="1"/>
      <w:numFmt w:val="lowerRoman"/>
      <w:lvlText w:val="%6."/>
      <w:lvlJc w:val="right"/>
      <w:pPr>
        <w:ind w:left="3229" w:hanging="420"/>
      </w:pPr>
    </w:lvl>
    <w:lvl w:ilvl="6" w:tplc="0409000F" w:tentative="1">
      <w:start w:val="1"/>
      <w:numFmt w:val="decimal"/>
      <w:lvlText w:val="%7."/>
      <w:lvlJc w:val="left"/>
      <w:pPr>
        <w:ind w:left="3649" w:hanging="420"/>
      </w:pPr>
    </w:lvl>
    <w:lvl w:ilvl="7" w:tplc="04090019" w:tentative="1">
      <w:start w:val="1"/>
      <w:numFmt w:val="lowerLetter"/>
      <w:lvlText w:val="%8)"/>
      <w:lvlJc w:val="left"/>
      <w:pPr>
        <w:ind w:left="4069" w:hanging="420"/>
      </w:pPr>
    </w:lvl>
    <w:lvl w:ilvl="8" w:tplc="0409001B" w:tentative="1">
      <w:start w:val="1"/>
      <w:numFmt w:val="lowerRoman"/>
      <w:lvlText w:val="%9."/>
      <w:lvlJc w:val="right"/>
      <w:pPr>
        <w:ind w:left="4489" w:hanging="420"/>
      </w:pPr>
    </w:lvl>
  </w:abstractNum>
  <w:abstractNum w:abstractNumId="2" w15:restartNumberingAfterBreak="0">
    <w:nsid w:val="76EA417F"/>
    <w:multiLevelType w:val="hybridMultilevel"/>
    <w:tmpl w:val="F73071D6"/>
    <w:lvl w:ilvl="0" w:tplc="F2880CA2">
      <w:start w:val="1"/>
      <w:numFmt w:val="chineseCountingThousand"/>
      <w:suff w:val="nothing"/>
      <w:lvlText w:val="%1、"/>
      <w:lvlJc w:val="left"/>
      <w:pPr>
        <w:ind w:left="0" w:firstLine="0"/>
      </w:pPr>
      <w:rPr>
        <w:rFonts w:hint="eastAsia"/>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16cid:durableId="816534179">
    <w:abstractNumId w:val="1"/>
  </w:num>
  <w:num w:numId="2" w16cid:durableId="260144969">
    <w:abstractNumId w:val="2"/>
  </w:num>
  <w:num w:numId="3" w16cid:durableId="13680199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zBmZWRlMmNlOTUzMDE2NWRlY2Y1YjE4ZTA3ZmJkOWQifQ=="/>
  </w:docVar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5:chartTrackingRefBased/>
  <w15:docId w15:val="{DE659FAD-52C0-4C01-92FE-629A99E81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page number"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lang w:val="zh-CN"/>
    </w:rPr>
  </w:style>
  <w:style w:type="character" w:customStyle="1" w:styleId="a4">
    <w:name w:val="批注框文本 字符"/>
    <w:link w:val="a3"/>
    <w:qFormat/>
    <w:rPr>
      <w:kern w:val="2"/>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lang w:val="zh-CN"/>
    </w:rPr>
  </w:style>
  <w:style w:type="character" w:customStyle="1" w:styleId="a7">
    <w:name w:val="页眉 字符"/>
    <w:link w:val="a6"/>
    <w:qFormat/>
    <w:rPr>
      <w:kern w:val="2"/>
      <w:sz w:val="18"/>
      <w:szCs w:val="18"/>
    </w:rPr>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qFormat/>
  </w:style>
  <w:style w:type="paragraph" w:styleId="aa">
    <w:name w:val="List Paragraph"/>
    <w:basedOn w:val="a"/>
    <w:link w:val="ab"/>
    <w:uiPriority w:val="34"/>
    <w:qFormat/>
    <w:pPr>
      <w:ind w:firstLineChars="200" w:firstLine="420"/>
    </w:pPr>
  </w:style>
  <w:style w:type="character" w:customStyle="1" w:styleId="ab">
    <w:name w:val="列表段落 字符"/>
    <w:basedOn w:val="a0"/>
    <w:link w:val="aa"/>
    <w:uiPriority w:val="3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658500">
      <w:bodyDiv w:val="1"/>
      <w:marLeft w:val="0"/>
      <w:marRight w:val="0"/>
      <w:marTop w:val="0"/>
      <w:marBottom w:val="0"/>
      <w:divBdr>
        <w:top w:val="none" w:sz="0" w:space="0" w:color="auto"/>
        <w:left w:val="none" w:sz="0" w:space="0" w:color="auto"/>
        <w:bottom w:val="none" w:sz="0" w:space="0" w:color="auto"/>
        <w:right w:val="none" w:sz="0" w:space="0" w:color="auto"/>
      </w:divBdr>
    </w:div>
    <w:div w:id="1801458928">
      <w:bodyDiv w:val="1"/>
      <w:marLeft w:val="0"/>
      <w:marRight w:val="0"/>
      <w:marTop w:val="0"/>
      <w:marBottom w:val="0"/>
      <w:divBdr>
        <w:top w:val="none" w:sz="0" w:space="0" w:color="auto"/>
        <w:left w:val="none" w:sz="0" w:space="0" w:color="auto"/>
        <w:bottom w:val="none" w:sz="0" w:space="0" w:color="auto"/>
        <w:right w:val="none" w:sz="0" w:space="0" w:color="auto"/>
      </w:divBdr>
    </w:div>
    <w:div w:id="194611562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12</Pages>
  <Words>883</Words>
  <Characters>5036</Characters>
  <Application>Microsoft Office Word</Application>
  <DocSecurity>0</DocSecurity>
  <Lines>41</Lines>
  <Paragraphs>11</Paragraphs>
  <ScaleCrop>false</ScaleCrop>
  <Company>yanzhoucoal</Company>
  <LinksUpToDate>false</LinksUpToDate>
  <CharactersWithSpaces>5908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投资者来访会谈记录</dc:title>
  <dc:subject/>
  <dc:creator>熊振中</dc:creator>
  <cp:keywords/>
  <cp:lastModifiedBy>1432642317@qq.com</cp:lastModifiedBy>
  <cp:revision>21</cp:revision>
  <cp:lastPrinted>2024-07-18T10:37:00Z</cp:lastPrinted>
  <dcterms:created xsi:type="dcterms:W3CDTF">2025-02-05T00:44:00Z</dcterms:created>
  <dcterms:modified xsi:type="dcterms:W3CDTF">2025-02-07T08:09:00Z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0B56D47173624FFE8CDF18E7E08809E5</vt:lpwstr>
  </property>
</Properties>
</file>