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6F886">
      <w:pPr>
        <w:pStyle w:val="19"/>
        <w:spacing w:line="360" w:lineRule="exact"/>
        <w:jc w:val="center"/>
        <w:rPr>
          <w:rFonts w:hint="eastAsia" w:ascii="宋体" w:hAnsi="宋体" w:eastAsia="宋体" w:cs="宋体"/>
          <w:b/>
          <w:bCs/>
          <w:sz w:val="32"/>
          <w:szCs w:val="36"/>
        </w:rPr>
      </w:pPr>
      <w:r>
        <w:rPr>
          <w:rFonts w:hint="eastAsia" w:ascii="宋体" w:hAnsi="宋体" w:eastAsia="宋体" w:cs="宋体"/>
          <w:b/>
          <w:bCs/>
          <w:sz w:val="32"/>
          <w:szCs w:val="36"/>
        </w:rPr>
        <w:t>中自科技股份有限公司</w:t>
      </w:r>
    </w:p>
    <w:p w14:paraId="1878EBEC">
      <w:pPr>
        <w:pStyle w:val="19"/>
        <w:spacing w:line="360" w:lineRule="exact"/>
        <w:jc w:val="center"/>
        <w:rPr>
          <w:rFonts w:hint="eastAsia" w:ascii="宋体" w:hAnsi="宋体" w:eastAsia="宋体" w:cs="宋体"/>
          <w:b/>
          <w:bCs/>
          <w:sz w:val="32"/>
          <w:szCs w:val="36"/>
        </w:rPr>
      </w:pPr>
      <w:r>
        <w:rPr>
          <w:rFonts w:hint="eastAsia" w:ascii="宋体" w:hAnsi="宋体" w:eastAsia="宋体" w:cs="宋体"/>
          <w:b/>
          <w:bCs/>
          <w:sz w:val="32"/>
          <w:szCs w:val="36"/>
        </w:rPr>
        <w:t>投资者关系活动记录表</w:t>
      </w:r>
    </w:p>
    <w:p w14:paraId="71FF7BE5">
      <w:pPr>
        <w:wordWrap w:val="0"/>
        <w:spacing w:line="360" w:lineRule="auto"/>
        <w:jc w:val="right"/>
        <w:rPr>
          <w:rFonts w:hint="eastAsia" w:ascii="宋体" w:hAnsi="宋体" w:eastAsia="宋体" w:cs="Times New Roman"/>
          <w:sz w:val="22"/>
        </w:rPr>
      </w:pPr>
      <w:r>
        <w:rPr>
          <w:rFonts w:hint="eastAsia" w:ascii="宋体" w:hAnsi="宋体" w:eastAsia="宋体" w:cs="Times New Roman"/>
          <w:sz w:val="22"/>
        </w:rPr>
        <w:t>编号</w:t>
      </w:r>
      <w:r>
        <w:rPr>
          <w:rFonts w:ascii="宋体" w:hAnsi="宋体" w:eastAsia="宋体" w:cs="Times New Roman"/>
          <w:sz w:val="22"/>
        </w:rPr>
        <w:t>：</w:t>
      </w:r>
      <w:r>
        <w:rPr>
          <w:rFonts w:hint="eastAsia" w:ascii="宋体" w:hAnsi="宋体" w:eastAsia="宋体" w:cs="Times New Roman"/>
          <w:sz w:val="22"/>
        </w:rPr>
        <w:t>2</w:t>
      </w:r>
      <w:r>
        <w:rPr>
          <w:rFonts w:ascii="宋体" w:hAnsi="宋体" w:eastAsia="宋体" w:cs="Times New Roman"/>
          <w:sz w:val="22"/>
        </w:rPr>
        <w:t>02</w:t>
      </w:r>
      <w:r>
        <w:rPr>
          <w:rFonts w:hint="eastAsia" w:ascii="宋体" w:hAnsi="宋体" w:eastAsia="宋体" w:cs="Times New Roman"/>
          <w:sz w:val="22"/>
        </w:rPr>
        <w:t>5-001</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04"/>
      </w:tblGrid>
      <w:tr w14:paraId="1D7F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838" w:type="dxa"/>
            <w:vAlign w:val="center"/>
          </w:tcPr>
          <w:p w14:paraId="7141051D">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投资者关系活动类别</w:t>
            </w:r>
          </w:p>
        </w:tc>
        <w:tc>
          <w:tcPr>
            <w:tcW w:w="6804" w:type="dxa"/>
          </w:tcPr>
          <w:p w14:paraId="666E0C5D">
            <w:pPr>
              <w:spacing w:line="360" w:lineRule="exact"/>
              <w:jc w:val="left"/>
              <w:rPr>
                <w:rFonts w:hint="eastAsia" w:ascii="宋体" w:hAnsi="宋体" w:eastAsia="宋体" w:cs="Times New Roman"/>
                <w:sz w:val="22"/>
              </w:rPr>
            </w:pPr>
            <w:r>
              <w:rPr>
                <w:rFonts w:hint="eastAsia" w:ascii="宋体" w:hAnsi="宋体" w:eastAsia="宋体" w:cs="Noto Sans CJK JP Regular"/>
                <w:kern w:val="0"/>
                <w:sz w:val="22"/>
              </w:rPr>
              <w:t>√</w:t>
            </w:r>
            <w:r>
              <w:rPr>
                <w:rFonts w:hint="eastAsia" w:ascii="宋体" w:hAnsi="宋体" w:eastAsia="宋体" w:cs="Times New Roman"/>
                <w:sz w:val="22"/>
              </w:rPr>
              <w:t xml:space="preserve">特定对象调研 </w:t>
            </w:r>
            <w:r>
              <w:rPr>
                <w:rFonts w:ascii="宋体" w:hAnsi="宋体" w:eastAsia="宋体" w:cs="Times New Roman"/>
                <w:sz w:val="22"/>
              </w:rPr>
              <w:t xml:space="preserve">   </w:t>
            </w:r>
            <w:r>
              <w:rPr>
                <w:rFonts w:hint="eastAsia" w:ascii="宋体" w:hAnsi="宋体" w:eastAsia="宋体" w:cs="Times New Roman"/>
                <w:sz w:val="22"/>
              </w:rPr>
              <w:t>□分析师会议</w:t>
            </w:r>
          </w:p>
          <w:p w14:paraId="26DD3C1B">
            <w:pPr>
              <w:autoSpaceDE w:val="0"/>
              <w:autoSpaceDN w:val="0"/>
              <w:spacing w:line="360" w:lineRule="exact"/>
              <w:jc w:val="left"/>
              <w:rPr>
                <w:rFonts w:hint="eastAsia" w:ascii="宋体" w:hAnsi="宋体" w:eastAsia="宋体" w:cs="Noto Sans CJK JP Regular"/>
                <w:kern w:val="0"/>
                <w:sz w:val="22"/>
              </w:rPr>
            </w:pPr>
            <w:r>
              <w:rPr>
                <w:rFonts w:hint="eastAsia" w:ascii="宋体" w:hAnsi="宋体" w:eastAsia="宋体" w:cs="Times New Roman"/>
                <w:sz w:val="22"/>
              </w:rPr>
              <w:t>□</w:t>
            </w:r>
            <w:r>
              <w:rPr>
                <w:rFonts w:hint="eastAsia" w:ascii="宋体" w:hAnsi="宋体" w:eastAsia="宋体" w:cs="Noto Sans CJK JP Regular"/>
                <w:kern w:val="0"/>
                <w:sz w:val="22"/>
              </w:rPr>
              <w:t xml:space="preserve">媒体采访 </w:t>
            </w:r>
            <w:r>
              <w:rPr>
                <w:rFonts w:ascii="宋体" w:hAnsi="宋体" w:eastAsia="宋体" w:cs="Noto Sans CJK JP Regular"/>
                <w:kern w:val="0"/>
                <w:sz w:val="22"/>
              </w:rPr>
              <w:t xml:space="preserve">       </w:t>
            </w:r>
            <w:r>
              <w:rPr>
                <w:rFonts w:hint="eastAsia" w:ascii="宋体" w:hAnsi="宋体" w:eastAsia="宋体" w:cs="Noto Sans CJK JP Regular"/>
                <w:kern w:val="0"/>
                <w:sz w:val="22"/>
              </w:rPr>
              <w:t>□业绩说明会</w:t>
            </w:r>
          </w:p>
          <w:p w14:paraId="10579601">
            <w:pPr>
              <w:autoSpaceDE w:val="0"/>
              <w:autoSpaceDN w:val="0"/>
              <w:spacing w:line="360" w:lineRule="exact"/>
              <w:jc w:val="left"/>
              <w:rPr>
                <w:rFonts w:hint="eastAsia" w:ascii="宋体" w:hAnsi="宋体" w:eastAsia="宋体" w:cs="Noto Sans CJK JP Regular"/>
                <w:kern w:val="0"/>
                <w:sz w:val="22"/>
              </w:rPr>
            </w:pPr>
            <w:r>
              <w:rPr>
                <w:rFonts w:hint="eastAsia" w:ascii="宋体" w:hAnsi="宋体" w:eastAsia="宋体" w:cs="Noto Sans CJK JP Regular"/>
                <w:kern w:val="0"/>
                <w:sz w:val="22"/>
              </w:rPr>
              <w:t xml:space="preserve">□新闻发布会 </w:t>
            </w:r>
            <w:r>
              <w:rPr>
                <w:rFonts w:ascii="宋体" w:hAnsi="宋体" w:eastAsia="宋体" w:cs="Noto Sans CJK JP Regular"/>
                <w:kern w:val="0"/>
                <w:sz w:val="22"/>
              </w:rPr>
              <w:t xml:space="preserve">     </w:t>
            </w:r>
            <w:r>
              <w:rPr>
                <w:rFonts w:hint="eastAsia" w:ascii="宋体" w:hAnsi="宋体" w:eastAsia="宋体" w:cs="Times New Roman"/>
                <w:sz w:val="22"/>
              </w:rPr>
              <w:t>□</w:t>
            </w:r>
            <w:r>
              <w:rPr>
                <w:rFonts w:hint="eastAsia" w:ascii="宋体" w:hAnsi="宋体" w:eastAsia="宋体" w:cs="Noto Sans CJK JP Regular"/>
                <w:kern w:val="0"/>
                <w:sz w:val="22"/>
              </w:rPr>
              <w:t>路演活动</w:t>
            </w:r>
          </w:p>
          <w:p w14:paraId="0B224EB4">
            <w:pPr>
              <w:spacing w:line="360" w:lineRule="exact"/>
              <w:jc w:val="left"/>
              <w:rPr>
                <w:rFonts w:hint="eastAsia" w:ascii="宋体" w:hAnsi="宋体" w:eastAsia="宋体" w:cs="Times New Roman"/>
                <w:sz w:val="22"/>
              </w:rPr>
            </w:pPr>
            <w:r>
              <w:rPr>
                <w:rFonts w:hint="eastAsia" w:ascii="宋体" w:hAnsi="宋体" w:eastAsia="宋体" w:cs="Noto Sans CJK JP Regular"/>
                <w:kern w:val="0"/>
                <w:sz w:val="22"/>
              </w:rPr>
              <w:t>√</w:t>
            </w:r>
            <w:r>
              <w:rPr>
                <w:rFonts w:hint="eastAsia" w:ascii="宋体" w:hAnsi="宋体" w:eastAsia="宋体" w:cs="Times New Roman"/>
                <w:sz w:val="22"/>
              </w:rPr>
              <w:t>现场参观</w:t>
            </w:r>
          </w:p>
          <w:p w14:paraId="3E31F48E">
            <w:pPr>
              <w:spacing w:line="360" w:lineRule="exact"/>
              <w:jc w:val="left"/>
              <w:rPr>
                <w:rFonts w:hint="eastAsia" w:ascii="宋体" w:hAnsi="宋体" w:eastAsia="宋体" w:cs="Times New Roman"/>
                <w:sz w:val="22"/>
              </w:rPr>
            </w:pPr>
            <w:r>
              <w:rPr>
                <w:rFonts w:hint="eastAsia" w:ascii="宋体" w:hAnsi="宋体" w:eastAsia="宋体" w:cs="Noto Sans CJK JP Regular"/>
                <w:kern w:val="0"/>
                <w:sz w:val="22"/>
              </w:rPr>
              <w:t>□</w:t>
            </w:r>
            <w:r>
              <w:rPr>
                <w:rFonts w:hint="eastAsia" w:ascii="宋体" w:hAnsi="宋体" w:eastAsia="宋体" w:cs="Times New Roman"/>
                <w:sz w:val="22"/>
              </w:rPr>
              <w:t>其他</w:t>
            </w:r>
          </w:p>
        </w:tc>
      </w:tr>
      <w:tr w14:paraId="2F0F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38" w:type="dxa"/>
            <w:vAlign w:val="center"/>
          </w:tcPr>
          <w:p w14:paraId="4A4FB210">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参与</w:t>
            </w:r>
            <w:r>
              <w:rPr>
                <w:rFonts w:ascii="宋体" w:hAnsi="宋体" w:eastAsia="宋体" w:cs="Times New Roman"/>
                <w:b/>
                <w:bCs/>
                <w:sz w:val="22"/>
              </w:rPr>
              <w:t>单位</w:t>
            </w:r>
          </w:p>
        </w:tc>
        <w:tc>
          <w:tcPr>
            <w:tcW w:w="6804" w:type="dxa"/>
            <w:vAlign w:val="center"/>
          </w:tcPr>
          <w:p w14:paraId="6E6EE335">
            <w:pPr>
              <w:spacing w:line="276" w:lineRule="auto"/>
              <w:rPr>
                <w:rFonts w:hint="eastAsia" w:ascii="宋体" w:hAnsi="宋体" w:eastAsia="宋体" w:cs="Times New Roman"/>
                <w:szCs w:val="21"/>
              </w:rPr>
            </w:pPr>
            <w:r>
              <w:rPr>
                <w:rFonts w:hint="eastAsia" w:ascii="宋体" w:hAnsi="宋体" w:eastAsia="宋体" w:cs="Times New Roman"/>
                <w:szCs w:val="21"/>
              </w:rPr>
              <w:t>西南证券、中航证券、中信建投等</w:t>
            </w:r>
          </w:p>
        </w:tc>
      </w:tr>
      <w:tr w14:paraId="5392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838" w:type="dxa"/>
            <w:vAlign w:val="center"/>
          </w:tcPr>
          <w:p w14:paraId="785BB965">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公司</w:t>
            </w:r>
            <w:r>
              <w:rPr>
                <w:rFonts w:ascii="宋体" w:hAnsi="宋体" w:eastAsia="宋体" w:cs="Times New Roman"/>
                <w:b/>
                <w:bCs/>
                <w:sz w:val="22"/>
              </w:rPr>
              <w:t>接待人员姓名</w:t>
            </w:r>
            <w:r>
              <w:rPr>
                <w:rFonts w:hint="eastAsia" w:ascii="宋体" w:hAnsi="宋体" w:eastAsia="宋体" w:cs="Times New Roman"/>
                <w:b/>
                <w:bCs/>
                <w:sz w:val="22"/>
              </w:rPr>
              <w:t>及职务</w:t>
            </w:r>
          </w:p>
        </w:tc>
        <w:tc>
          <w:tcPr>
            <w:tcW w:w="6804" w:type="dxa"/>
            <w:vAlign w:val="center"/>
          </w:tcPr>
          <w:p w14:paraId="38345160">
            <w:pPr>
              <w:spacing w:line="276" w:lineRule="auto"/>
              <w:rPr>
                <w:rFonts w:hint="eastAsia" w:ascii="宋体" w:hAnsi="宋体" w:eastAsia="宋体" w:cs="Times New Roman"/>
                <w:szCs w:val="21"/>
              </w:rPr>
            </w:pPr>
            <w:r>
              <w:rPr>
                <w:rFonts w:hint="eastAsia" w:ascii="宋体" w:hAnsi="宋体" w:eastAsia="宋体" w:cs="Times New Roman"/>
                <w:szCs w:val="21"/>
              </w:rPr>
              <w:t>董事会秘书：龚文旭</w:t>
            </w:r>
          </w:p>
          <w:p w14:paraId="4C5E2A85">
            <w:pPr>
              <w:spacing w:line="276" w:lineRule="auto"/>
              <w:rPr>
                <w:rFonts w:hint="eastAsia" w:ascii="宋体" w:hAnsi="宋体" w:eastAsia="宋体" w:cs="Times New Roman"/>
                <w:szCs w:val="21"/>
              </w:rPr>
            </w:pPr>
            <w:r>
              <w:rPr>
                <w:rFonts w:hint="eastAsia" w:ascii="宋体" w:hAnsi="宋体" w:eastAsia="宋体" w:cs="Times New Roman"/>
                <w:szCs w:val="21"/>
              </w:rPr>
              <w:t>证券事务部投资者关系团队</w:t>
            </w:r>
          </w:p>
        </w:tc>
      </w:tr>
      <w:tr w14:paraId="67E5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38" w:type="dxa"/>
            <w:vAlign w:val="center"/>
          </w:tcPr>
          <w:p w14:paraId="2600E22B">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时间</w:t>
            </w:r>
          </w:p>
        </w:tc>
        <w:tc>
          <w:tcPr>
            <w:tcW w:w="6804" w:type="dxa"/>
          </w:tcPr>
          <w:p w14:paraId="0AF158BA">
            <w:pPr>
              <w:spacing w:line="360" w:lineRule="exact"/>
              <w:jc w:val="left"/>
              <w:rPr>
                <w:rFonts w:hint="eastAsia" w:ascii="宋体" w:hAnsi="宋体" w:eastAsia="宋体" w:cs="Times New Roman"/>
                <w:sz w:val="22"/>
              </w:rPr>
            </w:pPr>
            <w:r>
              <w:rPr>
                <w:rFonts w:hint="eastAsia" w:ascii="宋体" w:hAnsi="宋体" w:eastAsia="宋体" w:cs="Times New Roman"/>
                <w:sz w:val="22"/>
              </w:rPr>
              <w:t>2</w:t>
            </w:r>
            <w:r>
              <w:rPr>
                <w:rFonts w:ascii="宋体" w:hAnsi="宋体" w:eastAsia="宋体" w:cs="Times New Roman"/>
                <w:sz w:val="22"/>
              </w:rPr>
              <w:t>02</w:t>
            </w:r>
            <w:r>
              <w:rPr>
                <w:rFonts w:hint="eastAsia" w:ascii="宋体" w:hAnsi="宋体" w:eastAsia="宋体" w:cs="Times New Roman"/>
                <w:sz w:val="22"/>
              </w:rPr>
              <w:t>5年1月1日-27日</w:t>
            </w:r>
          </w:p>
        </w:tc>
      </w:tr>
      <w:tr w14:paraId="422B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38" w:type="dxa"/>
            <w:vAlign w:val="center"/>
          </w:tcPr>
          <w:p w14:paraId="6B8D031B">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地点</w:t>
            </w:r>
          </w:p>
        </w:tc>
        <w:tc>
          <w:tcPr>
            <w:tcW w:w="6804" w:type="dxa"/>
          </w:tcPr>
          <w:p w14:paraId="1BBD2470">
            <w:pPr>
              <w:spacing w:line="360" w:lineRule="exact"/>
              <w:jc w:val="left"/>
              <w:rPr>
                <w:rFonts w:hint="eastAsia" w:ascii="宋体" w:hAnsi="宋体" w:eastAsia="宋体" w:cs="Times New Roman"/>
                <w:sz w:val="22"/>
              </w:rPr>
            </w:pPr>
            <w:r>
              <w:rPr>
                <w:rFonts w:hint="eastAsia" w:ascii="宋体" w:hAnsi="宋体" w:eastAsia="宋体" w:cs="Times New Roman"/>
                <w:sz w:val="22"/>
              </w:rPr>
              <w:t>成都高新区古楠街88号</w:t>
            </w:r>
          </w:p>
        </w:tc>
      </w:tr>
      <w:tr w14:paraId="7E35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838" w:type="dxa"/>
            <w:vAlign w:val="center"/>
          </w:tcPr>
          <w:p w14:paraId="1DAADCE5">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投资</w:t>
            </w:r>
            <w:r>
              <w:rPr>
                <w:rFonts w:ascii="宋体" w:hAnsi="宋体" w:eastAsia="宋体" w:cs="Times New Roman"/>
                <w:b/>
                <w:bCs/>
                <w:sz w:val="22"/>
              </w:rPr>
              <w:t>者关系活动</w:t>
            </w:r>
            <w:r>
              <w:rPr>
                <w:rFonts w:hint="eastAsia" w:ascii="宋体" w:hAnsi="宋体" w:eastAsia="宋体" w:cs="Times New Roman"/>
                <w:b/>
                <w:bCs/>
                <w:sz w:val="22"/>
              </w:rPr>
              <w:t>主要</w:t>
            </w:r>
            <w:r>
              <w:rPr>
                <w:rFonts w:ascii="宋体" w:hAnsi="宋体" w:eastAsia="宋体" w:cs="Times New Roman"/>
                <w:b/>
                <w:bCs/>
                <w:sz w:val="22"/>
              </w:rPr>
              <w:t>内容</w:t>
            </w:r>
            <w:r>
              <w:rPr>
                <w:rFonts w:hint="eastAsia" w:ascii="宋体" w:hAnsi="宋体" w:eastAsia="宋体" w:cs="Times New Roman"/>
                <w:b/>
                <w:bCs/>
                <w:sz w:val="22"/>
              </w:rPr>
              <w:t>介绍</w:t>
            </w:r>
          </w:p>
        </w:tc>
        <w:tc>
          <w:tcPr>
            <w:tcW w:w="6804" w:type="dxa"/>
          </w:tcPr>
          <w:p w14:paraId="7A746487">
            <w:pPr>
              <w:pStyle w:val="22"/>
              <w:rPr>
                <w:rFonts w:ascii="Times New Roman" w:hAnsi="Times New Roman" w:eastAsia="宋体"/>
                <w:bCs/>
                <w:szCs w:val="21"/>
              </w:rPr>
            </w:pPr>
          </w:p>
          <w:p w14:paraId="59517A88">
            <w:pPr>
              <w:pStyle w:val="16"/>
              <w:numPr>
                <w:ilvl w:val="0"/>
                <w:numId w:val="1"/>
              </w:numPr>
              <w:ind w:firstLineChars="0"/>
              <w:rPr>
                <w:rFonts w:ascii="Times New Roman" w:hAnsi="Times New Roman" w:eastAsia="宋体"/>
                <w:b/>
                <w:szCs w:val="21"/>
              </w:rPr>
            </w:pPr>
            <w:r>
              <w:rPr>
                <w:rFonts w:hint="eastAsia" w:ascii="Times New Roman" w:hAnsi="Times New Roman" w:eastAsia="宋体"/>
                <w:b/>
                <w:szCs w:val="21"/>
              </w:rPr>
              <w:t>公司2024年的业绩预告显示全年实现归母净利润由盈转亏，请问业绩下滑的主要原因是什么？</w:t>
            </w:r>
          </w:p>
          <w:p w14:paraId="4A0D25C7">
            <w:pPr>
              <w:pStyle w:val="16"/>
              <w:ind w:left="360" w:firstLine="0" w:firstLineChars="0"/>
              <w:rPr>
                <w:rFonts w:ascii="Times New Roman" w:hAnsi="Times New Roman" w:eastAsia="宋体"/>
                <w:bCs/>
                <w:szCs w:val="21"/>
              </w:rPr>
            </w:pPr>
            <w:r>
              <w:rPr>
                <w:rFonts w:hint="eastAsia" w:ascii="Times New Roman" w:hAnsi="Times New Roman" w:eastAsia="宋体"/>
                <w:bCs/>
                <w:szCs w:val="21"/>
              </w:rPr>
              <w:t>答：2024年，汽车行业总体销量增长但增速放缓，市场竞争愈发激</w:t>
            </w:r>
          </w:p>
          <w:p w14:paraId="56196F9D">
            <w:pPr>
              <w:rPr>
                <w:rFonts w:ascii="Times New Roman" w:hAnsi="Times New Roman" w:eastAsia="宋体"/>
                <w:bCs/>
                <w:szCs w:val="21"/>
              </w:rPr>
            </w:pPr>
            <w:r>
              <w:rPr>
                <w:rFonts w:hint="eastAsia" w:ascii="Times New Roman" w:hAnsi="Times New Roman" w:eastAsia="宋体"/>
                <w:bCs/>
                <w:szCs w:val="21"/>
              </w:rPr>
              <w:t>烈，尤其在商用车领域，受投资减弱及运价低迷影响，终端市场换车需求动力不足，市场表现疲弱。公司业绩下滑，主要原因如下：</w:t>
            </w:r>
          </w:p>
          <w:p w14:paraId="2D5A41CB">
            <w:pPr>
              <w:rPr>
                <w:rFonts w:ascii="Times New Roman" w:hAnsi="Times New Roman" w:eastAsia="宋体"/>
                <w:bCs/>
                <w:szCs w:val="21"/>
              </w:rPr>
            </w:pPr>
            <w:r>
              <w:rPr>
                <w:rFonts w:hint="eastAsia" w:ascii="Times New Roman" w:hAnsi="Times New Roman" w:eastAsia="宋体"/>
                <w:bCs/>
                <w:szCs w:val="21"/>
              </w:rPr>
              <w:t>（1）期间费用影响</w:t>
            </w:r>
          </w:p>
          <w:p w14:paraId="58D6A6AA">
            <w:pPr>
              <w:rPr>
                <w:rFonts w:ascii="Times New Roman" w:hAnsi="Times New Roman" w:eastAsia="宋体"/>
                <w:bCs/>
                <w:szCs w:val="21"/>
              </w:rPr>
            </w:pPr>
            <w:r>
              <w:rPr>
                <w:rFonts w:hint="eastAsia" w:ascii="Times New Roman" w:hAnsi="Times New Roman" w:eastAsia="宋体"/>
                <w:bCs/>
                <w:szCs w:val="21"/>
              </w:rPr>
              <w:t>报告期内，为满足公司新业务的发展需要，公司加大了在新材料、新能源产品研发投入和市场开发力度，同时，根据生产经营需求，增加了金融机构借款，银行利息增加，导致公司期间费用较去年同期大幅增长。</w:t>
            </w:r>
          </w:p>
          <w:p w14:paraId="222047A5">
            <w:pPr>
              <w:rPr>
                <w:rFonts w:ascii="Times New Roman" w:hAnsi="Times New Roman" w:eastAsia="宋体"/>
                <w:bCs/>
                <w:szCs w:val="21"/>
              </w:rPr>
            </w:pPr>
            <w:r>
              <w:rPr>
                <w:rFonts w:hint="eastAsia" w:ascii="Times New Roman" w:hAnsi="Times New Roman" w:eastAsia="宋体"/>
                <w:bCs/>
                <w:szCs w:val="21"/>
              </w:rPr>
              <w:t>（2）毛利率影响</w:t>
            </w:r>
          </w:p>
          <w:p w14:paraId="2C561C4E">
            <w:pPr>
              <w:rPr>
                <w:rFonts w:ascii="Times New Roman" w:hAnsi="Times New Roman" w:eastAsia="宋体"/>
                <w:bCs/>
                <w:szCs w:val="21"/>
              </w:rPr>
            </w:pPr>
            <w:r>
              <w:rPr>
                <w:rFonts w:hint="eastAsia" w:ascii="Times New Roman" w:hAnsi="Times New Roman" w:eastAsia="宋体"/>
                <w:bCs/>
                <w:szCs w:val="21"/>
              </w:rPr>
              <w:t>报告期内，为应对激烈的市场竞争以及满足客户降本需求，公司对部分产品进行降价销售。由于产品降价幅度超过了采购成本降价幅度，导致产品毛利率小幅下降。</w:t>
            </w:r>
          </w:p>
          <w:p w14:paraId="1F73B190">
            <w:pPr>
              <w:rPr>
                <w:rFonts w:ascii="Times New Roman" w:hAnsi="Times New Roman" w:eastAsia="宋体"/>
                <w:bCs/>
                <w:szCs w:val="21"/>
              </w:rPr>
            </w:pPr>
            <w:r>
              <w:rPr>
                <w:rFonts w:hint="eastAsia" w:ascii="Times New Roman" w:hAnsi="Times New Roman" w:eastAsia="宋体"/>
                <w:bCs/>
                <w:szCs w:val="21"/>
              </w:rPr>
              <w:t>（3）资产减值影响报告期内，公司按照一贯的计提减值政策进行测算，对与此相关的存货计提了减值损失。</w:t>
            </w:r>
          </w:p>
          <w:p w14:paraId="767D34A7">
            <w:pPr>
              <w:rPr>
                <w:rFonts w:ascii="Times New Roman" w:hAnsi="Times New Roman" w:eastAsia="宋体"/>
                <w:bCs/>
                <w:szCs w:val="21"/>
              </w:rPr>
            </w:pPr>
          </w:p>
          <w:p w14:paraId="5383FFDA">
            <w:pPr>
              <w:pStyle w:val="16"/>
              <w:numPr>
                <w:ilvl w:val="0"/>
                <w:numId w:val="1"/>
              </w:numPr>
              <w:ind w:firstLineChars="0"/>
              <w:rPr>
                <w:rFonts w:ascii="Times New Roman" w:hAnsi="Times New Roman" w:eastAsia="宋体"/>
                <w:b/>
                <w:szCs w:val="21"/>
              </w:rPr>
            </w:pPr>
            <w:r>
              <w:rPr>
                <w:rFonts w:hint="eastAsia" w:ascii="Times New Roman" w:hAnsi="Times New Roman" w:eastAsia="宋体"/>
                <w:b/>
                <w:szCs w:val="21"/>
              </w:rPr>
              <w:t>2025年汽车行业景气度变化及公司未来发展展望是怎样的？</w:t>
            </w:r>
          </w:p>
          <w:p w14:paraId="09FB3CCB">
            <w:pPr>
              <w:ind w:firstLine="420" w:firstLineChars="200"/>
              <w:rPr>
                <w:rFonts w:ascii="Times New Roman" w:hAnsi="Times New Roman" w:eastAsia="宋体"/>
                <w:bCs/>
                <w:szCs w:val="21"/>
              </w:rPr>
            </w:pPr>
            <w:r>
              <w:rPr>
                <w:rFonts w:hint="eastAsia" w:ascii="Times New Roman" w:hAnsi="Times New Roman" w:eastAsia="宋体"/>
                <w:bCs/>
                <w:szCs w:val="21"/>
              </w:rPr>
              <w:t>答：根据中汽协预测，预计2025年汽车总销量3290万辆，同比增长4.7%。其中，中汽协预计2025年乘用车市场销量为2890万辆，同比增长4.9%；预计商用车市场销量为400万辆，同比增长3.3%；预计新能源汽车销量1600万辆，同比增长24.4%，预计整体市场将保持稳健增长。</w:t>
            </w:r>
          </w:p>
          <w:p w14:paraId="2B0ACBF7">
            <w:pPr>
              <w:ind w:firstLine="420" w:firstLineChars="200"/>
              <w:rPr>
                <w:rFonts w:hint="eastAsia" w:ascii="Times New Roman" w:hAnsi="Times New Roman" w:eastAsia="宋体"/>
                <w:bCs/>
                <w:szCs w:val="21"/>
              </w:rPr>
            </w:pPr>
            <w:r>
              <w:rPr>
                <w:rFonts w:hint="eastAsia" w:ascii="Times New Roman" w:hAnsi="Times New Roman" w:eastAsia="宋体"/>
                <w:bCs/>
                <w:szCs w:val="21"/>
              </w:rPr>
              <w:t>未来公司将继续专注新材料、新能源领域，聚焦环境催化剂主业（内燃机尾气净化催化剂、氢燃料电池电催化剂和工业催化剂），同时积极培育储能与储能+和高端复合材料等</w:t>
            </w:r>
            <w:r>
              <w:rPr>
                <w:rFonts w:ascii="Times New Roman" w:hAnsi="Times New Roman" w:eastAsia="宋体"/>
                <w:bCs/>
                <w:szCs w:val="21"/>
              </w:rPr>
              <w:t>业绩增长新曲线</w:t>
            </w:r>
            <w:r>
              <w:rPr>
                <w:rFonts w:hint="eastAsia" w:ascii="Times New Roman" w:hAnsi="Times New Roman" w:eastAsia="宋体"/>
                <w:bCs/>
                <w:szCs w:val="21"/>
              </w:rPr>
              <w:t>，深化核心业务的新赛道探索。</w:t>
            </w:r>
          </w:p>
          <w:p w14:paraId="633C7907">
            <w:pPr>
              <w:rPr>
                <w:rFonts w:ascii="Times New Roman" w:hAnsi="Times New Roman" w:eastAsia="宋体"/>
                <w:bCs/>
                <w:szCs w:val="21"/>
              </w:rPr>
            </w:pPr>
          </w:p>
          <w:p w14:paraId="22B14924">
            <w:pPr>
              <w:pStyle w:val="16"/>
              <w:numPr>
                <w:ilvl w:val="0"/>
                <w:numId w:val="1"/>
              </w:numPr>
              <w:ind w:firstLineChars="0"/>
              <w:rPr>
                <w:rFonts w:ascii="Times New Roman" w:hAnsi="Times New Roman" w:eastAsia="宋体"/>
                <w:b/>
                <w:szCs w:val="21"/>
              </w:rPr>
            </w:pPr>
            <w:r>
              <w:rPr>
                <w:rFonts w:hint="eastAsia" w:ascii="Times New Roman" w:hAnsi="Times New Roman" w:eastAsia="宋体"/>
                <w:b/>
                <w:szCs w:val="21"/>
              </w:rPr>
              <w:t>公司股份回购计划的目的和进展？</w:t>
            </w:r>
          </w:p>
          <w:p w14:paraId="62BAA5FA">
            <w:pPr>
              <w:pStyle w:val="16"/>
              <w:rPr>
                <w:rFonts w:ascii="Times New Roman" w:hAnsi="Times New Roman" w:eastAsia="宋体"/>
                <w:bCs/>
                <w:szCs w:val="21"/>
              </w:rPr>
            </w:pPr>
            <w:r>
              <w:rPr>
                <w:rFonts w:hint="eastAsia" w:ascii="Times New Roman" w:hAnsi="Times New Roman" w:eastAsia="宋体"/>
                <w:bCs/>
                <w:szCs w:val="21"/>
              </w:rPr>
              <w:t>答：2023年以来，基于对公司未来发展前景的信心和对公司价值的高度认可，为有效维护广大投资者的利益、提升投资者回报水平、增强投资者对公司的投资信心，在保证公司正常经营和长期发展不受影响的前提下，公司已实施了两期股份回购计划。其中，一期股份回购方案（用于注销并减少注册资本）已实施完毕，累计回购678,377股，累计回购金额约2,499.58万元（回购股票已于2024年11月6日完成注销）。随着一期回购实施完毕，2024年6月7日公司公告同步启动第二期回购计划，计划以2000万元至4000万元回购股份，回购股份将全部用于股权激励</w:t>
            </w:r>
            <w:bookmarkStart w:id="0" w:name="_GoBack"/>
            <w:bookmarkEnd w:id="0"/>
            <w:r>
              <w:rPr>
                <w:rFonts w:hint="eastAsia" w:ascii="Times New Roman" w:hAnsi="Times New Roman" w:eastAsia="宋体"/>
                <w:bCs/>
                <w:szCs w:val="21"/>
              </w:rPr>
              <w:t>或员工持股计划。公司自2024年6月6日召开董事会审议通过第二期回购方案后，陆续完成了相关手续，并于2024年6月12日实施了第二期回购计划的首次回购。截至2025年1月31日，公司通过上海证券交易所交易系统以集中竞价交易方式累计回购公司股份2,062,238股，占公司总股本的比例为1.72%，回购使用的资金总额为人民币2,998.98万元（不含印花税、交易佣金等交易费用）。具体回购进展请参考公司发布的相关公告。</w:t>
            </w:r>
          </w:p>
          <w:p w14:paraId="1A1CECF1">
            <w:pPr>
              <w:rPr>
                <w:rFonts w:ascii="Times New Roman" w:hAnsi="Times New Roman" w:eastAsia="宋体"/>
                <w:bCs/>
                <w:szCs w:val="21"/>
              </w:rPr>
            </w:pPr>
          </w:p>
          <w:p w14:paraId="24C4B4C1">
            <w:pPr>
              <w:pStyle w:val="16"/>
              <w:numPr>
                <w:ilvl w:val="0"/>
                <w:numId w:val="1"/>
              </w:numPr>
              <w:ind w:firstLineChars="0"/>
              <w:rPr>
                <w:rFonts w:ascii="Times New Roman" w:hAnsi="Times New Roman" w:eastAsia="宋体"/>
                <w:b/>
                <w:szCs w:val="21"/>
              </w:rPr>
            </w:pPr>
            <w:r>
              <w:rPr>
                <w:rFonts w:hint="eastAsia" w:ascii="Times New Roman" w:hAnsi="Times New Roman" w:eastAsia="宋体"/>
                <w:b/>
                <w:szCs w:val="21"/>
              </w:rPr>
              <w:t>公司是否考虑通过并购重组的方式实现外延式的增长？如有，具体是哪些方向？</w:t>
            </w:r>
          </w:p>
          <w:p w14:paraId="18716B16">
            <w:pPr>
              <w:pStyle w:val="16"/>
              <w:rPr>
                <w:rFonts w:ascii="Times New Roman" w:hAnsi="Times New Roman" w:eastAsia="宋体"/>
                <w:bCs/>
                <w:szCs w:val="21"/>
              </w:rPr>
            </w:pPr>
            <w:r>
              <w:rPr>
                <w:rFonts w:hint="eastAsia" w:ascii="Times New Roman" w:hAnsi="Times New Roman" w:eastAsia="宋体"/>
                <w:bCs/>
                <w:szCs w:val="21"/>
              </w:rPr>
              <w:t>答：公司自成立以来一直深耕新材料、新能源领域，未来将遵循行业发展规律，结合实际经营需要，持续积极关注新材料、新能源领域的并购机会，力求通过内生式增长和外延式并购实现企业跨越式发展，如有确定性的投资标的，公司将按照相关监管规则履行信息披露义务。</w:t>
            </w:r>
          </w:p>
          <w:p w14:paraId="163614C1">
            <w:pPr>
              <w:pStyle w:val="16"/>
              <w:rPr>
                <w:rFonts w:ascii="Times New Roman" w:hAnsi="Times New Roman" w:eastAsia="宋体"/>
                <w:bCs/>
                <w:szCs w:val="21"/>
              </w:rPr>
            </w:pPr>
          </w:p>
          <w:p w14:paraId="7FF60E16">
            <w:pPr>
              <w:pStyle w:val="16"/>
              <w:numPr>
                <w:ilvl w:val="0"/>
                <w:numId w:val="1"/>
              </w:numPr>
              <w:ind w:firstLineChars="0"/>
              <w:rPr>
                <w:rFonts w:ascii="Times New Roman" w:hAnsi="Times New Roman" w:eastAsia="宋体"/>
                <w:b/>
                <w:szCs w:val="21"/>
              </w:rPr>
            </w:pPr>
            <w:r>
              <w:rPr>
                <w:rFonts w:hint="eastAsia" w:ascii="Times New Roman" w:hAnsi="Times New Roman" w:eastAsia="宋体"/>
                <w:b/>
                <w:szCs w:val="21"/>
              </w:rPr>
              <w:t>公司高端复合材料业务主要应用方向是什么？项目实施进展情况。</w:t>
            </w:r>
          </w:p>
          <w:p w14:paraId="1D875529">
            <w:pPr>
              <w:ind w:firstLine="420" w:firstLineChars="200"/>
              <w:rPr>
                <w:rFonts w:ascii="Times New Roman" w:hAnsi="Times New Roman" w:eastAsia="宋体"/>
                <w:bCs/>
                <w:szCs w:val="21"/>
              </w:rPr>
            </w:pPr>
            <w:r>
              <w:rPr>
                <w:rFonts w:hint="eastAsia" w:ascii="Times New Roman" w:hAnsi="Times New Roman" w:eastAsia="宋体"/>
                <w:bCs/>
                <w:szCs w:val="21"/>
              </w:rPr>
              <w:t>答：公司高端复合材料业务主要产品为预浸料及碳纤维复合材料结构件，产能规划为预浸料50万平方米/年、航空复合材料零部件30吨/年。终端应用以航空航天用复合材料为主，亦可应用于轨道交通、新能源汽车和人形机器人等轻量化应用场景。</w:t>
            </w:r>
          </w:p>
          <w:p w14:paraId="3E7734EA">
            <w:pPr>
              <w:ind w:firstLine="420" w:firstLineChars="200"/>
              <w:rPr>
                <w:rFonts w:ascii="Times New Roman" w:hAnsi="Times New Roman" w:eastAsia="宋体"/>
                <w:bCs/>
                <w:szCs w:val="21"/>
              </w:rPr>
            </w:pPr>
            <w:r>
              <w:rPr>
                <w:rFonts w:hint="eastAsia" w:ascii="Times New Roman" w:hAnsi="Times New Roman" w:eastAsia="宋体"/>
                <w:bCs/>
                <w:szCs w:val="21"/>
              </w:rPr>
              <w:t>公司已完成预浸料中试线的建设并投入使用，制造基地已进入建设阶段，预计将于2025年底达到可使用状态。</w:t>
            </w:r>
          </w:p>
        </w:tc>
      </w:tr>
      <w:tr w14:paraId="46EC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838" w:type="dxa"/>
            <w:vAlign w:val="center"/>
          </w:tcPr>
          <w:p w14:paraId="126FDED4">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关于本次活动是否涉及应当披露重大信息的说明</w:t>
            </w:r>
          </w:p>
        </w:tc>
        <w:tc>
          <w:tcPr>
            <w:tcW w:w="6804" w:type="dxa"/>
            <w:vAlign w:val="center"/>
          </w:tcPr>
          <w:p w14:paraId="68C41F2A">
            <w:pPr>
              <w:spacing w:line="360" w:lineRule="exact"/>
              <w:rPr>
                <w:rFonts w:hint="eastAsia" w:ascii="宋体" w:hAnsi="宋体" w:eastAsia="宋体" w:cs="Times New Roman"/>
                <w:sz w:val="22"/>
              </w:rPr>
            </w:pPr>
            <w:r>
              <w:rPr>
                <w:rFonts w:hint="eastAsia" w:ascii="宋体" w:hAnsi="宋体" w:eastAsia="宋体" w:cs="Times New Roman"/>
                <w:sz w:val="22"/>
              </w:rPr>
              <w:t>本次活动不涉及应当披露的重大信息。</w:t>
            </w:r>
          </w:p>
        </w:tc>
      </w:tr>
      <w:tr w14:paraId="7165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838" w:type="dxa"/>
            <w:vAlign w:val="center"/>
          </w:tcPr>
          <w:p w14:paraId="70085B1D">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附件</w:t>
            </w:r>
            <w:r>
              <w:rPr>
                <w:rFonts w:ascii="宋体" w:hAnsi="宋体" w:eastAsia="宋体" w:cs="Times New Roman"/>
                <w:b/>
                <w:bCs/>
                <w:sz w:val="22"/>
              </w:rPr>
              <w:t>清单</w:t>
            </w:r>
          </w:p>
          <w:p w14:paraId="0B9C6CB0">
            <w:pPr>
              <w:spacing w:line="360" w:lineRule="exact"/>
              <w:jc w:val="center"/>
              <w:rPr>
                <w:rFonts w:hint="eastAsia" w:ascii="宋体" w:hAnsi="宋体" w:eastAsia="宋体" w:cs="Times New Roman"/>
                <w:sz w:val="22"/>
              </w:rPr>
            </w:pPr>
            <w:r>
              <w:rPr>
                <w:rFonts w:hint="eastAsia" w:ascii="宋体" w:hAnsi="宋体" w:eastAsia="宋体" w:cs="Times New Roman"/>
                <w:b/>
                <w:bCs/>
                <w:sz w:val="22"/>
              </w:rPr>
              <w:t>（</w:t>
            </w:r>
            <w:r>
              <w:rPr>
                <w:rFonts w:ascii="宋体" w:hAnsi="宋体" w:eastAsia="宋体" w:cs="Times New Roman"/>
                <w:b/>
                <w:bCs/>
                <w:sz w:val="22"/>
              </w:rPr>
              <w:t>如有）</w:t>
            </w:r>
          </w:p>
        </w:tc>
        <w:tc>
          <w:tcPr>
            <w:tcW w:w="6804" w:type="dxa"/>
            <w:vAlign w:val="center"/>
          </w:tcPr>
          <w:p w14:paraId="0B0246E0">
            <w:pPr>
              <w:spacing w:line="360" w:lineRule="exact"/>
              <w:rPr>
                <w:rFonts w:hint="eastAsia" w:ascii="宋体" w:hAnsi="宋体" w:eastAsia="宋体" w:cs="Times New Roman"/>
                <w:sz w:val="22"/>
              </w:rPr>
            </w:pPr>
            <w:r>
              <w:rPr>
                <w:rFonts w:hint="eastAsia" w:ascii="宋体" w:hAnsi="宋体" w:eastAsia="宋体" w:cs="Times New Roman"/>
                <w:sz w:val="22"/>
              </w:rPr>
              <w:t>无</w:t>
            </w:r>
          </w:p>
        </w:tc>
      </w:tr>
      <w:tr w14:paraId="29CD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838" w:type="dxa"/>
            <w:vAlign w:val="center"/>
          </w:tcPr>
          <w:p w14:paraId="66010190">
            <w:pPr>
              <w:spacing w:line="360" w:lineRule="exact"/>
              <w:jc w:val="center"/>
              <w:rPr>
                <w:rFonts w:hint="eastAsia" w:ascii="宋体" w:hAnsi="宋体" w:eastAsia="宋体" w:cs="Times New Roman"/>
                <w:b/>
                <w:bCs/>
                <w:sz w:val="22"/>
              </w:rPr>
            </w:pPr>
            <w:r>
              <w:rPr>
                <w:rFonts w:hint="eastAsia" w:ascii="宋体" w:hAnsi="宋体" w:eastAsia="宋体" w:cs="Times New Roman"/>
                <w:b/>
                <w:bCs/>
                <w:sz w:val="22"/>
              </w:rPr>
              <w:t>日期</w:t>
            </w:r>
          </w:p>
        </w:tc>
        <w:tc>
          <w:tcPr>
            <w:tcW w:w="6804" w:type="dxa"/>
            <w:vAlign w:val="center"/>
          </w:tcPr>
          <w:p w14:paraId="4FA5E1A1">
            <w:pPr>
              <w:spacing w:line="360" w:lineRule="exact"/>
              <w:rPr>
                <w:rFonts w:hint="eastAsia" w:ascii="宋体" w:hAnsi="宋体" w:eastAsia="宋体" w:cs="Times New Roman"/>
                <w:sz w:val="22"/>
              </w:rPr>
            </w:pPr>
            <w:r>
              <w:rPr>
                <w:rFonts w:hint="eastAsia" w:ascii="宋体" w:hAnsi="宋体" w:eastAsia="宋体" w:cs="Times New Roman"/>
                <w:sz w:val="22"/>
              </w:rPr>
              <w:t>2</w:t>
            </w:r>
            <w:r>
              <w:rPr>
                <w:rFonts w:ascii="宋体" w:hAnsi="宋体" w:eastAsia="宋体" w:cs="Times New Roman"/>
                <w:sz w:val="22"/>
              </w:rPr>
              <w:t>02</w:t>
            </w:r>
            <w:r>
              <w:rPr>
                <w:rFonts w:hint="eastAsia" w:ascii="宋体" w:hAnsi="宋体" w:eastAsia="宋体" w:cs="Times New Roman"/>
                <w:sz w:val="22"/>
              </w:rPr>
              <w:t>5年2月12日</w:t>
            </w:r>
          </w:p>
        </w:tc>
      </w:tr>
    </w:tbl>
    <w:p w14:paraId="5599F0B1">
      <w:pPr>
        <w:rPr>
          <w:rFonts w:hint="eastAsia" w:ascii="宋体" w:hAnsi="宋体" w:eastAsia="宋体"/>
          <w:sz w:val="20"/>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200247B" w:usb2="00000009" w:usb3="00000000" w:csb0="200001FF" w:csb1="00000000"/>
  </w:font>
  <w:font w:name="Noto Sans CJK JP Regular">
    <w:altName w:val="微软雅黑"/>
    <w:panose1 w:val="000000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7ADC">
    <w:pPr>
      <w:pStyle w:val="6"/>
      <w:rPr>
        <w:rFonts w:hint="eastAsia" w:ascii="宋体" w:hAnsi="宋体" w:eastAsia="宋体"/>
      </w:rPr>
    </w:pPr>
    <w:r>
      <w:rPr>
        <w:rFonts w:hint="eastAsia" w:ascii="宋体" w:hAnsi="宋体" w:eastAsia="宋体"/>
      </w:rPr>
      <w:t>证券代码：6</w:t>
    </w:r>
    <w:r>
      <w:rPr>
        <w:rFonts w:ascii="宋体" w:hAnsi="宋体" w:eastAsia="宋体"/>
      </w:rPr>
      <w:t>88</w:t>
    </w:r>
    <w:r>
      <w:rPr>
        <w:rFonts w:hint="eastAsia" w:ascii="宋体" w:hAnsi="宋体" w:eastAsia="宋体"/>
      </w:rPr>
      <w:t>737</w:t>
    </w:r>
    <w:r>
      <w:rPr>
        <w:rFonts w:ascii="宋体" w:hAnsi="宋体" w:eastAsia="宋体"/>
      </w:rPr>
      <w:ptab w:relativeTo="margin" w:alignment="center" w:leader="none"/>
    </w:r>
    <w:r>
      <w:rPr>
        <w:rFonts w:ascii="宋体" w:hAnsi="宋体" w:eastAsia="宋体"/>
      </w:rPr>
      <w:ptab w:relativeTo="margin" w:alignment="right" w:leader="none"/>
    </w:r>
    <w:r>
      <w:rPr>
        <w:rFonts w:hint="eastAsia" w:ascii="宋体" w:hAnsi="宋体" w:eastAsia="宋体"/>
      </w:rPr>
      <w:t>证券简称：中自科技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55542"/>
    <w:multiLevelType w:val="multilevel"/>
    <w:tmpl w:val="1D655542"/>
    <w:lvl w:ilvl="0" w:tentative="0">
      <w:start w:val="1"/>
      <w:numFmt w:val="decimal"/>
      <w:suff w:val="nothing"/>
      <w:lvlText w:val="%1．"/>
      <w:lvlJc w:val="left"/>
      <w:pPr>
        <w:ind w:left="360" w:hanging="360"/>
      </w:pPr>
      <w:rPr>
        <w:rFonts w:hint="default"/>
      </w:rPr>
    </w:lvl>
    <w:lvl w:ilvl="1" w:tentative="0">
      <w:start w:val="1"/>
      <w:numFmt w:val="decimal"/>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B4"/>
    <w:rsid w:val="00001B4D"/>
    <w:rsid w:val="0000741E"/>
    <w:rsid w:val="00016F90"/>
    <w:rsid w:val="00017802"/>
    <w:rsid w:val="00021389"/>
    <w:rsid w:val="00027B58"/>
    <w:rsid w:val="00032A09"/>
    <w:rsid w:val="00032A4D"/>
    <w:rsid w:val="0003634A"/>
    <w:rsid w:val="000535B6"/>
    <w:rsid w:val="00054633"/>
    <w:rsid w:val="000600FB"/>
    <w:rsid w:val="000602B5"/>
    <w:rsid w:val="0006186F"/>
    <w:rsid w:val="00063270"/>
    <w:rsid w:val="000671B4"/>
    <w:rsid w:val="000672FC"/>
    <w:rsid w:val="000723EB"/>
    <w:rsid w:val="00072DB9"/>
    <w:rsid w:val="00072F9D"/>
    <w:rsid w:val="00075060"/>
    <w:rsid w:val="000822AE"/>
    <w:rsid w:val="000830DA"/>
    <w:rsid w:val="00086F3A"/>
    <w:rsid w:val="00090600"/>
    <w:rsid w:val="00093793"/>
    <w:rsid w:val="0009692B"/>
    <w:rsid w:val="00096F73"/>
    <w:rsid w:val="000A4079"/>
    <w:rsid w:val="000A4735"/>
    <w:rsid w:val="000B2247"/>
    <w:rsid w:val="000B795A"/>
    <w:rsid w:val="000C0D7D"/>
    <w:rsid w:val="000C3A8F"/>
    <w:rsid w:val="000C7374"/>
    <w:rsid w:val="000D0940"/>
    <w:rsid w:val="000F035F"/>
    <w:rsid w:val="000F0EF2"/>
    <w:rsid w:val="000F27D5"/>
    <w:rsid w:val="0010061B"/>
    <w:rsid w:val="00100C2E"/>
    <w:rsid w:val="0011039C"/>
    <w:rsid w:val="00122D74"/>
    <w:rsid w:val="0012457F"/>
    <w:rsid w:val="00127FC4"/>
    <w:rsid w:val="001305AA"/>
    <w:rsid w:val="001351E9"/>
    <w:rsid w:val="00136911"/>
    <w:rsid w:val="0014305E"/>
    <w:rsid w:val="00146077"/>
    <w:rsid w:val="00150477"/>
    <w:rsid w:val="00151A5F"/>
    <w:rsid w:val="001554F9"/>
    <w:rsid w:val="0016050F"/>
    <w:rsid w:val="001638AC"/>
    <w:rsid w:val="00163E5C"/>
    <w:rsid w:val="00171BD5"/>
    <w:rsid w:val="001763FD"/>
    <w:rsid w:val="00177C4D"/>
    <w:rsid w:val="0018283A"/>
    <w:rsid w:val="00184A1E"/>
    <w:rsid w:val="00193ECB"/>
    <w:rsid w:val="00194586"/>
    <w:rsid w:val="00195698"/>
    <w:rsid w:val="00197040"/>
    <w:rsid w:val="001A4521"/>
    <w:rsid w:val="001B2FFE"/>
    <w:rsid w:val="001B5E14"/>
    <w:rsid w:val="001C3EED"/>
    <w:rsid w:val="001D6035"/>
    <w:rsid w:val="001E1416"/>
    <w:rsid w:val="001E254C"/>
    <w:rsid w:val="001F397D"/>
    <w:rsid w:val="00201831"/>
    <w:rsid w:val="00236FCA"/>
    <w:rsid w:val="00240227"/>
    <w:rsid w:val="00243714"/>
    <w:rsid w:val="00255719"/>
    <w:rsid w:val="00267674"/>
    <w:rsid w:val="00267E1E"/>
    <w:rsid w:val="00276EBC"/>
    <w:rsid w:val="002839FD"/>
    <w:rsid w:val="00290C21"/>
    <w:rsid w:val="00291483"/>
    <w:rsid w:val="002977CB"/>
    <w:rsid w:val="002A0126"/>
    <w:rsid w:val="002A0A81"/>
    <w:rsid w:val="002A7179"/>
    <w:rsid w:val="002B3A46"/>
    <w:rsid w:val="002B477F"/>
    <w:rsid w:val="002B5517"/>
    <w:rsid w:val="002B71D2"/>
    <w:rsid w:val="002B791E"/>
    <w:rsid w:val="002C2715"/>
    <w:rsid w:val="002C756F"/>
    <w:rsid w:val="002D3182"/>
    <w:rsid w:val="002D454A"/>
    <w:rsid w:val="002D7DDF"/>
    <w:rsid w:val="002E511D"/>
    <w:rsid w:val="002E752A"/>
    <w:rsid w:val="002F763C"/>
    <w:rsid w:val="00301AEF"/>
    <w:rsid w:val="00301ED2"/>
    <w:rsid w:val="00322035"/>
    <w:rsid w:val="00323CB4"/>
    <w:rsid w:val="00332C80"/>
    <w:rsid w:val="00335500"/>
    <w:rsid w:val="003375B8"/>
    <w:rsid w:val="00345EE7"/>
    <w:rsid w:val="003466C9"/>
    <w:rsid w:val="003539F0"/>
    <w:rsid w:val="003718A3"/>
    <w:rsid w:val="00372117"/>
    <w:rsid w:val="00380A76"/>
    <w:rsid w:val="0038497E"/>
    <w:rsid w:val="003855E9"/>
    <w:rsid w:val="00396F7D"/>
    <w:rsid w:val="003A7B78"/>
    <w:rsid w:val="003C11B2"/>
    <w:rsid w:val="003C13DB"/>
    <w:rsid w:val="003C4699"/>
    <w:rsid w:val="003D0424"/>
    <w:rsid w:val="003F3FD2"/>
    <w:rsid w:val="003F4089"/>
    <w:rsid w:val="00410527"/>
    <w:rsid w:val="0041515B"/>
    <w:rsid w:val="00420556"/>
    <w:rsid w:val="004315F4"/>
    <w:rsid w:val="004361B4"/>
    <w:rsid w:val="00444911"/>
    <w:rsid w:val="00444BC0"/>
    <w:rsid w:val="004462E8"/>
    <w:rsid w:val="0045490C"/>
    <w:rsid w:val="00457135"/>
    <w:rsid w:val="004571B2"/>
    <w:rsid w:val="0046350A"/>
    <w:rsid w:val="0047238E"/>
    <w:rsid w:val="00482903"/>
    <w:rsid w:val="00483FA8"/>
    <w:rsid w:val="00490F04"/>
    <w:rsid w:val="004A2BFF"/>
    <w:rsid w:val="004A352D"/>
    <w:rsid w:val="004B6CB5"/>
    <w:rsid w:val="004C2C96"/>
    <w:rsid w:val="004C3AE2"/>
    <w:rsid w:val="004C5400"/>
    <w:rsid w:val="004C7455"/>
    <w:rsid w:val="004E2903"/>
    <w:rsid w:val="004E5CD2"/>
    <w:rsid w:val="004F3540"/>
    <w:rsid w:val="0050122F"/>
    <w:rsid w:val="00525429"/>
    <w:rsid w:val="00525D67"/>
    <w:rsid w:val="005345F1"/>
    <w:rsid w:val="0054021E"/>
    <w:rsid w:val="00555A60"/>
    <w:rsid w:val="005573AA"/>
    <w:rsid w:val="0056407B"/>
    <w:rsid w:val="00564E73"/>
    <w:rsid w:val="005664B4"/>
    <w:rsid w:val="00566B73"/>
    <w:rsid w:val="00572B85"/>
    <w:rsid w:val="0057392C"/>
    <w:rsid w:val="005762BF"/>
    <w:rsid w:val="0057648F"/>
    <w:rsid w:val="00580E91"/>
    <w:rsid w:val="00585A72"/>
    <w:rsid w:val="00593230"/>
    <w:rsid w:val="00595FE3"/>
    <w:rsid w:val="005A326D"/>
    <w:rsid w:val="005A4111"/>
    <w:rsid w:val="005E097E"/>
    <w:rsid w:val="005E3907"/>
    <w:rsid w:val="005F0DD3"/>
    <w:rsid w:val="005F56A9"/>
    <w:rsid w:val="00600DD5"/>
    <w:rsid w:val="00602954"/>
    <w:rsid w:val="00623865"/>
    <w:rsid w:val="00624D13"/>
    <w:rsid w:val="006376F1"/>
    <w:rsid w:val="006408B4"/>
    <w:rsid w:val="006472AB"/>
    <w:rsid w:val="0065329B"/>
    <w:rsid w:val="00654AE2"/>
    <w:rsid w:val="00655BBA"/>
    <w:rsid w:val="00662DE3"/>
    <w:rsid w:val="00666790"/>
    <w:rsid w:val="0067528F"/>
    <w:rsid w:val="00685A77"/>
    <w:rsid w:val="006911C0"/>
    <w:rsid w:val="006946E1"/>
    <w:rsid w:val="00695E7E"/>
    <w:rsid w:val="006A350B"/>
    <w:rsid w:val="006B4E98"/>
    <w:rsid w:val="006C3575"/>
    <w:rsid w:val="006C5322"/>
    <w:rsid w:val="006D1E88"/>
    <w:rsid w:val="006E0DB5"/>
    <w:rsid w:val="006E3153"/>
    <w:rsid w:val="006F319E"/>
    <w:rsid w:val="006F3C78"/>
    <w:rsid w:val="007005D2"/>
    <w:rsid w:val="00700C8F"/>
    <w:rsid w:val="007017E1"/>
    <w:rsid w:val="00702179"/>
    <w:rsid w:val="00706436"/>
    <w:rsid w:val="00713CED"/>
    <w:rsid w:val="00715779"/>
    <w:rsid w:val="0072439B"/>
    <w:rsid w:val="00747592"/>
    <w:rsid w:val="00752401"/>
    <w:rsid w:val="007546C7"/>
    <w:rsid w:val="00765CC3"/>
    <w:rsid w:val="00774461"/>
    <w:rsid w:val="0077459F"/>
    <w:rsid w:val="007803AD"/>
    <w:rsid w:val="00781C0C"/>
    <w:rsid w:val="0078529C"/>
    <w:rsid w:val="00793DA8"/>
    <w:rsid w:val="007A0472"/>
    <w:rsid w:val="007A655E"/>
    <w:rsid w:val="007B758A"/>
    <w:rsid w:val="007C1592"/>
    <w:rsid w:val="007C24F0"/>
    <w:rsid w:val="007C3C99"/>
    <w:rsid w:val="007C785C"/>
    <w:rsid w:val="007D1855"/>
    <w:rsid w:val="007D4C9A"/>
    <w:rsid w:val="007E78C1"/>
    <w:rsid w:val="007F3F89"/>
    <w:rsid w:val="007F63DD"/>
    <w:rsid w:val="007F70AD"/>
    <w:rsid w:val="00807277"/>
    <w:rsid w:val="00807CAD"/>
    <w:rsid w:val="008146C0"/>
    <w:rsid w:val="00817212"/>
    <w:rsid w:val="0083781A"/>
    <w:rsid w:val="0084638D"/>
    <w:rsid w:val="00856E27"/>
    <w:rsid w:val="0087120E"/>
    <w:rsid w:val="00880937"/>
    <w:rsid w:val="00881CB7"/>
    <w:rsid w:val="008851E7"/>
    <w:rsid w:val="00886E7E"/>
    <w:rsid w:val="00887452"/>
    <w:rsid w:val="008B3910"/>
    <w:rsid w:val="008B58BB"/>
    <w:rsid w:val="008B59C2"/>
    <w:rsid w:val="008C55A5"/>
    <w:rsid w:val="008D06EC"/>
    <w:rsid w:val="008D0839"/>
    <w:rsid w:val="008E2CA4"/>
    <w:rsid w:val="008F311B"/>
    <w:rsid w:val="008F5F69"/>
    <w:rsid w:val="008F739F"/>
    <w:rsid w:val="00902C1D"/>
    <w:rsid w:val="00902F93"/>
    <w:rsid w:val="0091054A"/>
    <w:rsid w:val="00913AB1"/>
    <w:rsid w:val="00916E80"/>
    <w:rsid w:val="00922D1E"/>
    <w:rsid w:val="00930CB4"/>
    <w:rsid w:val="009312D6"/>
    <w:rsid w:val="00932D0F"/>
    <w:rsid w:val="0094064E"/>
    <w:rsid w:val="00941B99"/>
    <w:rsid w:val="00943855"/>
    <w:rsid w:val="009457B8"/>
    <w:rsid w:val="00955000"/>
    <w:rsid w:val="00956A36"/>
    <w:rsid w:val="00965A27"/>
    <w:rsid w:val="00965BDC"/>
    <w:rsid w:val="00977CA1"/>
    <w:rsid w:val="00980FFC"/>
    <w:rsid w:val="00982D71"/>
    <w:rsid w:val="00985168"/>
    <w:rsid w:val="00987FAF"/>
    <w:rsid w:val="009914C4"/>
    <w:rsid w:val="00992D1C"/>
    <w:rsid w:val="009A1684"/>
    <w:rsid w:val="009B3131"/>
    <w:rsid w:val="009B491B"/>
    <w:rsid w:val="009B4C27"/>
    <w:rsid w:val="009B6965"/>
    <w:rsid w:val="009B7921"/>
    <w:rsid w:val="009C5A4E"/>
    <w:rsid w:val="009D313C"/>
    <w:rsid w:val="009D67AB"/>
    <w:rsid w:val="009D7B69"/>
    <w:rsid w:val="009E75C3"/>
    <w:rsid w:val="00A045A6"/>
    <w:rsid w:val="00A127DA"/>
    <w:rsid w:val="00A139A1"/>
    <w:rsid w:val="00A146E9"/>
    <w:rsid w:val="00A2376C"/>
    <w:rsid w:val="00A32FB8"/>
    <w:rsid w:val="00A36A44"/>
    <w:rsid w:val="00A37186"/>
    <w:rsid w:val="00A40971"/>
    <w:rsid w:val="00A42BDE"/>
    <w:rsid w:val="00A47FEB"/>
    <w:rsid w:val="00A75A11"/>
    <w:rsid w:val="00A81BE3"/>
    <w:rsid w:val="00A850B5"/>
    <w:rsid w:val="00A87BEE"/>
    <w:rsid w:val="00A9235E"/>
    <w:rsid w:val="00AA0670"/>
    <w:rsid w:val="00AA0CDA"/>
    <w:rsid w:val="00AA4B75"/>
    <w:rsid w:val="00AA7E02"/>
    <w:rsid w:val="00AB2A09"/>
    <w:rsid w:val="00AB4103"/>
    <w:rsid w:val="00AC4720"/>
    <w:rsid w:val="00AC75AC"/>
    <w:rsid w:val="00AE335E"/>
    <w:rsid w:val="00AE5AF1"/>
    <w:rsid w:val="00AF0641"/>
    <w:rsid w:val="00B12F7B"/>
    <w:rsid w:val="00B176F9"/>
    <w:rsid w:val="00B216C4"/>
    <w:rsid w:val="00B22B09"/>
    <w:rsid w:val="00B308E5"/>
    <w:rsid w:val="00B30CEB"/>
    <w:rsid w:val="00B33744"/>
    <w:rsid w:val="00B36680"/>
    <w:rsid w:val="00B36D41"/>
    <w:rsid w:val="00B43404"/>
    <w:rsid w:val="00B43638"/>
    <w:rsid w:val="00B5116C"/>
    <w:rsid w:val="00B556D9"/>
    <w:rsid w:val="00B55DB1"/>
    <w:rsid w:val="00B56C40"/>
    <w:rsid w:val="00B579C8"/>
    <w:rsid w:val="00B65B5E"/>
    <w:rsid w:val="00B6708E"/>
    <w:rsid w:val="00B701C9"/>
    <w:rsid w:val="00B704D0"/>
    <w:rsid w:val="00B8549B"/>
    <w:rsid w:val="00B85C57"/>
    <w:rsid w:val="00B860CF"/>
    <w:rsid w:val="00BA64A1"/>
    <w:rsid w:val="00BA69D9"/>
    <w:rsid w:val="00BB46D2"/>
    <w:rsid w:val="00BC02B6"/>
    <w:rsid w:val="00BC4C3E"/>
    <w:rsid w:val="00BC522E"/>
    <w:rsid w:val="00BC68F2"/>
    <w:rsid w:val="00BD02F2"/>
    <w:rsid w:val="00BD37C8"/>
    <w:rsid w:val="00BF290E"/>
    <w:rsid w:val="00BF33E5"/>
    <w:rsid w:val="00BF532E"/>
    <w:rsid w:val="00C01F56"/>
    <w:rsid w:val="00C055B4"/>
    <w:rsid w:val="00C06784"/>
    <w:rsid w:val="00C14788"/>
    <w:rsid w:val="00C15147"/>
    <w:rsid w:val="00C53447"/>
    <w:rsid w:val="00C57715"/>
    <w:rsid w:val="00C57A48"/>
    <w:rsid w:val="00C62645"/>
    <w:rsid w:val="00C733C8"/>
    <w:rsid w:val="00C85820"/>
    <w:rsid w:val="00C876C9"/>
    <w:rsid w:val="00C943F6"/>
    <w:rsid w:val="00CA00EB"/>
    <w:rsid w:val="00CA0618"/>
    <w:rsid w:val="00CA1DC2"/>
    <w:rsid w:val="00CA3B9F"/>
    <w:rsid w:val="00CB4BA4"/>
    <w:rsid w:val="00CC3631"/>
    <w:rsid w:val="00CC6615"/>
    <w:rsid w:val="00CC7668"/>
    <w:rsid w:val="00CD0D0A"/>
    <w:rsid w:val="00CD21DD"/>
    <w:rsid w:val="00CD3CB2"/>
    <w:rsid w:val="00CD4F87"/>
    <w:rsid w:val="00CE12CF"/>
    <w:rsid w:val="00CE580B"/>
    <w:rsid w:val="00CF33A4"/>
    <w:rsid w:val="00CF34EC"/>
    <w:rsid w:val="00CF43A9"/>
    <w:rsid w:val="00CF4C76"/>
    <w:rsid w:val="00CF6A74"/>
    <w:rsid w:val="00D11A1C"/>
    <w:rsid w:val="00D1472F"/>
    <w:rsid w:val="00D16D82"/>
    <w:rsid w:val="00D26843"/>
    <w:rsid w:val="00D3218C"/>
    <w:rsid w:val="00D357EE"/>
    <w:rsid w:val="00D41FB1"/>
    <w:rsid w:val="00D42816"/>
    <w:rsid w:val="00D42CDF"/>
    <w:rsid w:val="00D43D03"/>
    <w:rsid w:val="00D47458"/>
    <w:rsid w:val="00D61D97"/>
    <w:rsid w:val="00D623D1"/>
    <w:rsid w:val="00D72D83"/>
    <w:rsid w:val="00D80CE0"/>
    <w:rsid w:val="00D86A8A"/>
    <w:rsid w:val="00D97E7C"/>
    <w:rsid w:val="00DA798E"/>
    <w:rsid w:val="00DB4ACC"/>
    <w:rsid w:val="00DB67E8"/>
    <w:rsid w:val="00DC01AA"/>
    <w:rsid w:val="00DC2415"/>
    <w:rsid w:val="00DC4B5A"/>
    <w:rsid w:val="00DC622F"/>
    <w:rsid w:val="00DD088B"/>
    <w:rsid w:val="00DD3FBD"/>
    <w:rsid w:val="00DE16C5"/>
    <w:rsid w:val="00DF05FB"/>
    <w:rsid w:val="00DF505F"/>
    <w:rsid w:val="00DF73B2"/>
    <w:rsid w:val="00E002B9"/>
    <w:rsid w:val="00E0086A"/>
    <w:rsid w:val="00E03463"/>
    <w:rsid w:val="00E048E9"/>
    <w:rsid w:val="00E059A4"/>
    <w:rsid w:val="00E157BE"/>
    <w:rsid w:val="00E15D38"/>
    <w:rsid w:val="00E304D9"/>
    <w:rsid w:val="00E345BE"/>
    <w:rsid w:val="00E357F8"/>
    <w:rsid w:val="00E37941"/>
    <w:rsid w:val="00E45931"/>
    <w:rsid w:val="00E46941"/>
    <w:rsid w:val="00E4799D"/>
    <w:rsid w:val="00E62E35"/>
    <w:rsid w:val="00E65148"/>
    <w:rsid w:val="00E72CC2"/>
    <w:rsid w:val="00E74EB9"/>
    <w:rsid w:val="00E777F1"/>
    <w:rsid w:val="00E837CC"/>
    <w:rsid w:val="00E84E16"/>
    <w:rsid w:val="00E914F3"/>
    <w:rsid w:val="00E92C9B"/>
    <w:rsid w:val="00E93AA6"/>
    <w:rsid w:val="00E9647C"/>
    <w:rsid w:val="00E97E72"/>
    <w:rsid w:val="00EA239E"/>
    <w:rsid w:val="00EA2957"/>
    <w:rsid w:val="00EA7A96"/>
    <w:rsid w:val="00EB3AF4"/>
    <w:rsid w:val="00EB41E5"/>
    <w:rsid w:val="00EB610A"/>
    <w:rsid w:val="00EC059F"/>
    <w:rsid w:val="00EC7DF3"/>
    <w:rsid w:val="00ED6D7C"/>
    <w:rsid w:val="00EF0C0A"/>
    <w:rsid w:val="00EF46B4"/>
    <w:rsid w:val="00EF7D58"/>
    <w:rsid w:val="00F0068F"/>
    <w:rsid w:val="00F06F16"/>
    <w:rsid w:val="00F111D0"/>
    <w:rsid w:val="00F14E7E"/>
    <w:rsid w:val="00F20249"/>
    <w:rsid w:val="00F34209"/>
    <w:rsid w:val="00F37EED"/>
    <w:rsid w:val="00F42130"/>
    <w:rsid w:val="00F4268B"/>
    <w:rsid w:val="00F45E2C"/>
    <w:rsid w:val="00F46A01"/>
    <w:rsid w:val="00F4780C"/>
    <w:rsid w:val="00F51CE2"/>
    <w:rsid w:val="00F52723"/>
    <w:rsid w:val="00F539A4"/>
    <w:rsid w:val="00F60963"/>
    <w:rsid w:val="00F643A5"/>
    <w:rsid w:val="00F64AB7"/>
    <w:rsid w:val="00F66625"/>
    <w:rsid w:val="00F67AE6"/>
    <w:rsid w:val="00F72B30"/>
    <w:rsid w:val="00F83CA7"/>
    <w:rsid w:val="00F936F0"/>
    <w:rsid w:val="00F973FF"/>
    <w:rsid w:val="00FB228B"/>
    <w:rsid w:val="00FC243C"/>
    <w:rsid w:val="00FD1D73"/>
    <w:rsid w:val="00FD3254"/>
    <w:rsid w:val="00FD79A0"/>
    <w:rsid w:val="00FE014B"/>
    <w:rsid w:val="00FE76BB"/>
    <w:rsid w:val="00FF217C"/>
    <w:rsid w:val="2A6E0DC1"/>
    <w:rsid w:val="2A6F2F01"/>
    <w:rsid w:val="63FB96B2"/>
    <w:rsid w:val="7CBD7C2A"/>
    <w:rsid w:val="7FFE8089"/>
    <w:rsid w:val="B59B74B3"/>
    <w:rsid w:val="D3FFDBCA"/>
    <w:rsid w:val="EFDE42B3"/>
    <w:rsid w:val="FCFF4A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rPr>
      <w14:ligatures w14:val="standardContextual"/>
    </w:rPr>
  </w:style>
  <w:style w:type="paragraph" w:styleId="4">
    <w:name w:val="Balloon Text"/>
    <w:basedOn w:val="1"/>
    <w:link w:val="21"/>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Title"/>
    <w:basedOn w:val="1"/>
    <w:next w:val="1"/>
    <w:link w:val="23"/>
    <w:qFormat/>
    <w:uiPriority w:val="10"/>
    <w:pPr>
      <w:spacing w:before="120" w:after="120"/>
      <w:ind w:firstLine="200" w:firstLineChars="200"/>
      <w:jc w:val="left"/>
      <w:outlineLvl w:val="0"/>
    </w:pPr>
    <w:rPr>
      <w:rFonts w:asciiTheme="majorHAnsi" w:hAnsiTheme="majorHAnsi" w:cstheme="majorBidi"/>
      <w:bCs/>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uiPriority w:val="99"/>
    <w:rPr>
      <w:sz w:val="18"/>
      <w:szCs w:val="18"/>
    </w:rPr>
  </w:style>
  <w:style w:type="character" w:customStyle="1" w:styleId="15">
    <w:name w:val="页脚 字符"/>
    <w:basedOn w:val="11"/>
    <w:link w:val="5"/>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1"/>
    <w:link w:val="3"/>
    <w:semiHidden/>
    <w:qFormat/>
    <w:uiPriority w:val="99"/>
    <w:rPr>
      <w:rFonts w:asciiTheme="minorHAnsi" w:hAnsiTheme="minorHAnsi" w:eastAsiaTheme="minorEastAsia" w:cstheme="minorBidi"/>
      <w:kern w:val="2"/>
      <w:sz w:val="21"/>
      <w:szCs w:val="22"/>
      <w14:ligatures w14:val="standardContextual"/>
    </w:rPr>
  </w:style>
  <w:style w:type="character" w:customStyle="1" w:styleId="18">
    <w:name w:val="标题 1 字符"/>
    <w:basedOn w:val="11"/>
    <w:link w:val="2"/>
    <w:qFormat/>
    <w:uiPriority w:val="9"/>
    <w:rPr>
      <w:rFonts w:asciiTheme="minorHAnsi" w:hAnsiTheme="minorHAnsi" w:eastAsiaTheme="minorEastAsia" w:cstheme="minorBidi"/>
      <w:b/>
      <w:bCs/>
      <w:kern w:val="44"/>
      <w:sz w:val="44"/>
      <w:szCs w:val="44"/>
    </w:rPr>
  </w:style>
  <w:style w:type="paragraph" w:customStyle="1" w:styleId="19">
    <w:name w:val="Defaul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table" w:customStyle="1" w:styleId="20">
    <w:name w:val="网格型1"/>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批注框文本 字符"/>
    <w:basedOn w:val="11"/>
    <w:link w:val="4"/>
    <w:semiHidden/>
    <w:qFormat/>
    <w:uiPriority w:val="99"/>
    <w:rPr>
      <w:sz w:val="18"/>
      <w:szCs w:val="18"/>
    </w:rPr>
  </w:style>
  <w:style w:type="paragraph" w:customStyle="1" w:styleId="22">
    <w:name w:val="列表段落1"/>
    <w:basedOn w:val="1"/>
    <w:qFormat/>
    <w:uiPriority w:val="34"/>
    <w:pPr>
      <w:ind w:firstLine="420" w:firstLineChars="200"/>
    </w:pPr>
  </w:style>
  <w:style w:type="character" w:customStyle="1" w:styleId="23">
    <w:name w:val="标题 字符"/>
    <w:basedOn w:val="11"/>
    <w:link w:val="8"/>
    <w:qFormat/>
    <w:uiPriority w:val="10"/>
    <w:rPr>
      <w:rFonts w:asciiTheme="majorHAnsi" w:hAnsiTheme="majorHAnsi" w:cstheme="majorBidi"/>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1578</Words>
  <Characters>1698</Characters>
  <Lines>12</Lines>
  <Paragraphs>3</Paragraphs>
  <TotalTime>1</TotalTime>
  <ScaleCrop>false</ScaleCrop>
  <LinksUpToDate>false</LinksUpToDate>
  <CharactersWithSpaces>1716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2025-02-12T06:04:00Z</dcterms:created>
  <dc:creator>mao olivia</dc:creator>
  <cp:lastModifiedBy>zxy</cp:lastModifiedBy>
  <cp:lastPrinted>2024-12-02T08:30:00Z</cp:lastPrinted>
  <dcterms:modified xsi:type="dcterms:W3CDTF">2025-02-12T06:28:12Z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9CDA413DFA2C37A01D322B661B597530_33</vt:lpwstr>
  </property>
  <property fmtid="{D5CDD505-2E9C-101B-9397-08002B2CF9AE}" pid="3" name="KSOProductBuildVer">
    <vt:lpwstr>2052-12.1.0.19770</vt:lpwstr>
  </property>
  <property fmtid="{D5CDD505-2E9C-101B-9397-08002B2CF9AE}" pid="4" name="KSOTemplateDocerSaveRecord">
    <vt:lpwstr>eyJoZGlkIjoiYmQ0ZTZjMmNhZTNlYzY1Nzk5MmE1MWRmZDEyYWIyNjAiLCJ1c2VySWQiOiI0NzIzNzA3NTYifQ==</vt:lpwstr>
  </property>
</Properties>
</file>