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line="600" w:lineRule="exact"/>
        <w:jc w:val="both"/>
        <w:rPr>
          <w:rFonts w:ascii="宋体" w:hAnsi="宋体" w:eastAsia="宋体" w:cs="Times New Roman"/>
          <w:kern w:val="2"/>
          <w:sz w:val="24"/>
          <w:szCs w:val="20"/>
          <w:lang w:val="en-US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0"/>
          <w:lang w:val="en-US" w:bidi="ar-SA"/>
        </w:rPr>
        <w:t>证券代码：688</w:t>
      </w:r>
      <w:r>
        <w:rPr>
          <w:rFonts w:ascii="宋体" w:hAnsi="宋体" w:eastAsia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hint="eastAsia" w:ascii="宋体" w:hAnsi="宋体" w:eastAsia="宋体" w:cs="Times New Roman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hAnsi="宋体" w:eastAsia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0"/>
          <w:lang w:val="en-US" w:bidi="ar-SA"/>
        </w:rPr>
        <w:t>证券简称：斯瑞新材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0"/>
          <w:szCs w:val="30"/>
          <w:lang w:val="en-US" w:bidi="ar-SA"/>
        </w:rPr>
        <w:t>投资者关系活动记录表</w:t>
      </w:r>
    </w:p>
    <w:p>
      <w:pPr>
        <w:autoSpaceDE/>
        <w:adjustRightInd w:val="0"/>
        <w:snapToGrid w:val="0"/>
        <w:spacing w:line="600" w:lineRule="exact"/>
        <w:jc w:val="right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  <w:t>编号：20</w:t>
      </w:r>
      <w:r>
        <w:rPr>
          <w:rFonts w:ascii="宋体" w:hAnsi="宋体" w:eastAsia="宋体" w:cs="Times New Roman"/>
          <w:kern w:val="2"/>
          <w:sz w:val="24"/>
          <w:szCs w:val="24"/>
          <w:lang w:val="en-US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  <w:t>-0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04</w:t>
      </w:r>
    </w:p>
    <w:tbl>
      <w:tblPr>
        <w:tblStyle w:val="10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7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投资者关系</w:t>
            </w:r>
          </w:p>
          <w:p>
            <w:pPr>
              <w:pStyle w:val="14"/>
              <w:spacing w:before="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>
            <w:pPr>
              <w:pStyle w:val="14"/>
              <w:tabs>
                <w:tab w:val="left" w:pos="2418"/>
              </w:tabs>
              <w:spacing w:before="1"/>
              <w:ind w:left="10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议</w:t>
            </w:r>
          </w:p>
          <w:p>
            <w:pPr>
              <w:pStyle w:val="14"/>
              <w:spacing w:before="11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4"/>
              <w:tabs>
                <w:tab w:val="left" w:pos="2418"/>
              </w:tabs>
              <w:ind w:left="10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媒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>
            <w:pPr>
              <w:pStyle w:val="14"/>
              <w:spacing w:before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4"/>
              <w:tabs>
                <w:tab w:val="left" w:pos="2418"/>
              </w:tabs>
              <w:ind w:left="10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活动</w:t>
            </w:r>
          </w:p>
          <w:p>
            <w:pPr>
              <w:pStyle w:val="14"/>
              <w:spacing w:before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4"/>
              <w:ind w:left="10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Theme="minorEastAsia" w:cstheme="minorEastAsia"/>
                    <w:sz w:val="24"/>
                    <w:szCs w:val="24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现场参观</w:t>
            </w:r>
          </w:p>
          <w:p>
            <w:pPr>
              <w:pStyle w:val="14"/>
              <w:spacing w:before="11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4"/>
              <w:ind w:left="107"/>
              <w:rPr>
                <w:rFonts w:ascii="宋体" w:hAnsi="宋体" w:eastAsia="宋体" w:cs="宋体"/>
                <w:sz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sz w:val="24"/>
                    <w:szCs w:val="24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line="560" w:lineRule="exact"/>
              <w:ind w:right="9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>
            <w:pPr>
              <w:pStyle w:val="14"/>
              <w:spacing w:before="240" w:beforeLines="100" w:line="360" w:lineRule="auto"/>
              <w:ind w:left="108"/>
              <w:rPr>
                <w:rFonts w:ascii="宋体" w:hAnsi="宋体" w:eastAsia="宋体" w:cs="宋体"/>
                <w:sz w:val="26"/>
                <w:lang w:val="en-US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sz w:val="24"/>
                    <w:szCs w:val="24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line="360" w:lineRule="auto"/>
              <w:ind w:right="96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11"/>
              <w:tblW w:w="4564" w:type="pct"/>
              <w:tblInd w:w="3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"/>
              <w:gridCol w:w="2303"/>
              <w:gridCol w:w="33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cs="楷体" w:asciiTheme="minorEastAsia" w:hAnsiTheme="minorEastAsia" w:eastAsiaTheme="minor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浙商证券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孙旭鹏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cs="楷体" w:asciiTheme="minorEastAsia" w:hAnsiTheme="minorEastAsia" w:eastAsiaTheme="minor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开源证券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时维佳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财通基金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吴帆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朱雀基金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李萌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742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736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国联安基金</w:t>
                  </w:r>
                </w:p>
              </w:tc>
              <w:tc>
                <w:tcPr>
                  <w:tcW w:w="2520" w:type="pct"/>
                </w:tcPr>
                <w:p>
                  <w:pPr>
                    <w:spacing w:line="360" w:lineRule="exact"/>
                    <w:ind w:right="96"/>
                    <w:jc w:val="center"/>
                    <w:rPr>
                      <w:rFonts w:hint="default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楷体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王栋</w:t>
                  </w:r>
                </w:p>
              </w:tc>
            </w:tr>
          </w:tbl>
          <w:p>
            <w:pPr>
              <w:spacing w:line="360" w:lineRule="exact"/>
              <w:ind w:right="96"/>
              <w:jc w:val="both"/>
              <w:rPr>
                <w:rFonts w:cs="楷体"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ind w:left="107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before="50" w:line="360" w:lineRule="exact"/>
              <w:ind w:left="108" w:right="96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ind w:left="107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before="50" w:line="360" w:lineRule="exact"/>
              <w:ind w:left="107" w:right="96"/>
              <w:rPr>
                <w:rFonts w:ascii="宋体" w:hAnsi="宋体" w:eastAsia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/>
              </w:rPr>
              <w:t>公司会议室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上市公司接</w:t>
            </w:r>
          </w:p>
          <w:p>
            <w:pPr>
              <w:pStyle w:val="14"/>
              <w:spacing w:before="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before="120" w:beforeLines="50" w:after="120" w:afterLines="50" w:line="360" w:lineRule="exact"/>
              <w:ind w:left="96" w:right="96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董事会秘书：徐润升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证券事务代表：王磊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 w:line="499" w:lineRule="auto"/>
              <w:ind w:right="9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>
            <w:pPr>
              <w:spacing w:line="400" w:lineRule="exact"/>
              <w:ind w:left="96" w:right="96"/>
              <w:rPr>
                <w:rFonts w:hint="default" w:ascii="宋体" w:hAnsi="宋体" w:eastAsia="宋体" w:cs="宋体"/>
                <w:b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Cs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iCs/>
                <w:lang w:val="en-US" w:eastAsia="zh-CN"/>
              </w:rPr>
              <w:t>、公司产品在3D打印方面有哪些技术储备吗？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eastAsia" w:ascii="宋体" w:hAnsi="宋体" w:eastAsia="宋体" w:cs="宋体"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答：公司是一家新材料研发制造企业，产品主要服务于轨道交通、航空航天、电力电子、医疗影像、新能源汽车、人工智能等领域。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eastAsia" w:ascii="宋体" w:hAnsi="宋体" w:eastAsia="宋体" w:cs="宋体"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公司通过在高强高导铜合金领域的积累，已经具备了较为雄厚的技术基础、产业基础和市场基础，同时具备全球一流的高强高导铜合金的材料设计/改性、柔性制造、个性化非标深加工零组件能力。不断拓展新的应用领域，围绕航空航天、新能源等高端应用持续进行材料开发，积极探索3D打印增材制造、粉末冶金等新工艺，以保持在行业中的领先地位。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default" w:ascii="宋体" w:hAnsi="宋体" w:eastAsia="宋体" w:cs="宋体"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中高压电接触材料及制品领域，公司自主开发了CuCr电触头3D打印技术，能够生产多品种、复杂结构的产品，并获得多项授权发明专利。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default" w:ascii="宋体" w:hAnsi="宋体" w:eastAsia="宋体" w:cs="宋体"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一直以来，公司密切关注3D打印技术的发展，参与投资了增材制造企业西安空天机电智能制造有限公司。</w:t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br w:type="textWrapping"/>
            </w:r>
          </w:p>
          <w:p>
            <w:pPr>
              <w:numPr>
                <w:ilvl w:val="-1"/>
                <w:numId w:val="0"/>
              </w:numPr>
              <w:spacing w:line="400" w:lineRule="exact"/>
              <w:ind w:left="96" w:right="96"/>
              <w:rPr>
                <w:rFonts w:hint="default" w:ascii="宋体" w:hAnsi="宋体" w:eastAsia="宋体" w:cs="宋体"/>
                <w:b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Cs/>
                <w:lang w:val="en-US" w:eastAsia="zh-CN"/>
              </w:rPr>
              <w:t>2、近期，千帆星座在进行发射服务的招标，原计划在2024年进行的108星组网，截至目前共发射4批72颗星，另有两组共36星在准备中。按此推算，完成第一阶段的648星组网还需再发射540颗卫星，对火箭的运力、发射频次等方面有了更高的需求，公司液体火箭发动机这个项目也在做定增，目前情况怎么样？</w:t>
            </w:r>
          </w:p>
          <w:p>
            <w:pPr>
              <w:spacing w:line="400" w:lineRule="exact"/>
              <w:ind w:right="96" w:firstLine="440" w:firstLineChars="200"/>
              <w:rPr>
                <w:rFonts w:hint="eastAsia" w:ascii="宋体" w:hAnsi="宋体" w:eastAsia="宋体" w:cs="宋体"/>
                <w:iCs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lang w:val="en-US"/>
              </w:rPr>
              <w:t>答：卫星发射是火箭的主要应用场景,推力室内壁是火箭发动机的重要组成部分,随着频繁的航天发射活动,该产品需求量也随之越来越多</w:t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t>对于推力室内壁产品而言，具有市场准入条件高、工艺技术成熟、质量性能可靠、供应链的稳定保证、可持续发展等要求，推力室内壁主要由耐高温高导热铜合金材料设计、制备、3D打印或锻造旋压、精密加工及组装焊接等产业环节构成，同时也是技术壁垒较高的关键环节。</w:t>
            </w:r>
          </w:p>
          <w:p>
            <w:pPr>
              <w:spacing w:line="400" w:lineRule="exact"/>
              <w:ind w:right="96" w:firstLine="440" w:firstLineChars="200"/>
              <w:rPr>
                <w:rFonts w:hint="eastAsia" w:ascii="宋体" w:hAnsi="宋体" w:eastAsia="宋体" w:cs="宋体"/>
                <w:iCs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2024年，公司已使用自有资金进行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t>液体火箭发动机推力室材料、零件、组件产业化项目（一阶段）</w:t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的建设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项目达产后，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t>预计将实现年产约200吨锻件、200套火箭发动机喷注器面板、500套火箭发动机推力室内壁、外壁等零组件</w:t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>。目前，该定增工作正稳步有序的推进中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t>。</w:t>
            </w:r>
          </w:p>
          <w:p>
            <w:pPr>
              <w:spacing w:line="400" w:lineRule="exact"/>
              <w:ind w:right="96"/>
              <w:rPr>
                <w:rFonts w:hint="eastAsia" w:ascii="宋体" w:hAnsi="宋体" w:eastAsia="宋体" w:cs="宋体"/>
                <w:iCs/>
                <w:lang w:val="en-US"/>
              </w:rPr>
            </w:pPr>
          </w:p>
          <w:p>
            <w:pPr>
              <w:numPr>
                <w:ilvl w:val="-1"/>
                <w:numId w:val="0"/>
              </w:numPr>
              <w:spacing w:line="400" w:lineRule="exact"/>
              <w:ind w:left="96" w:right="96"/>
              <w:rPr>
                <w:rFonts w:hint="default" w:ascii="宋体" w:hAnsi="宋体" w:eastAsia="宋体" w:cs="宋体"/>
                <w:b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Cs/>
                <w:lang w:val="en-US" w:eastAsia="zh-CN"/>
              </w:rPr>
              <w:t>3、公司在医疗板块的CT领域核心零部件的国产替代进展如何？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eastAsia" w:ascii="宋体" w:hAnsi="宋体" w:eastAsia="宋体" w:cs="宋体"/>
                <w:iCs/>
                <w:lang w:val="en-US"/>
              </w:rPr>
            </w:pPr>
            <w:r>
              <w:rPr>
                <w:rFonts w:hint="eastAsia" w:ascii="宋体" w:hAnsi="宋体" w:eastAsia="宋体" w:cs="宋体"/>
                <w:iCs/>
                <w:lang w:val="en-US"/>
              </w:rPr>
              <w:t xml:space="preserve">答：公司致力于解决国家关键基础材料的进口替代和“卡脖子”问题，打造了高性能金属材料设计、生产设备设计和生产工艺设计的综合能力，形成从材料制备到下游零组件产品精密加工的一体化生产体系。 </w:t>
            </w:r>
          </w:p>
          <w:p>
            <w:pPr>
              <w:spacing w:line="400" w:lineRule="exact"/>
              <w:ind w:left="96" w:right="96" w:firstLine="440" w:firstLineChars="200"/>
              <w:rPr>
                <w:rFonts w:hint="eastAsia" w:ascii="宋体" w:hAnsi="宋体" w:eastAsia="宋体" w:cs="宋体"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lang w:val="en-US"/>
              </w:rPr>
              <w:t>公司研发和生产的CT和DR球管零组件，应用于亟需国产化替代的高端医疗影像领域，已经实现对联影医疗、西门子、昆山医源、无锡麦默等国产设备及球管主要生产企业的供货，通过进口替代逐步成为我国CT球管和DR球管零组件的国内主要供应商。</w:t>
            </w:r>
            <w:r>
              <w:rPr>
                <w:rFonts w:hint="eastAsia" w:ascii="宋体" w:hAnsi="宋体" w:eastAsia="宋体" w:cs="宋体"/>
                <w:iCs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iCs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附件清单</w:t>
            </w:r>
          </w:p>
          <w:p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line="360" w:lineRule="exact"/>
              <w:ind w:left="108" w:righ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line="360" w:lineRule="exact"/>
              <w:ind w:left="108" w:right="96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pStyle w:val="14"/>
              <w:spacing w:before="1"/>
              <w:ind w:left="10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>
            <w:pPr>
              <w:pStyle w:val="14"/>
              <w:spacing w:before="72" w:beforeLines="30" w:after="72" w:afterLines="30" w:line="400" w:lineRule="exact"/>
              <w:ind w:left="108" w:right="96"/>
              <w:rPr>
                <w:rFonts w:ascii="宋体" w:hAnsi="宋体" w:eastAsia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>
      <w:pPr>
        <w:spacing w:line="20" w:lineRule="exact"/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Y2NiOWZjYzRmYjQyMTYyMDhkMWIzYmUxNGE4OGMifQ=="/>
    <w:docVar w:name="KSO_WPS_MARK_KEY" w:val="88f27b7e-cb3e-4312-8117-a55fa9a2a2a0"/>
  </w:docVars>
  <w:rsids>
    <w:rsidRoot w:val="00172A27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3647C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333029"/>
    <w:rsid w:val="0A71587A"/>
    <w:rsid w:val="0B792C38"/>
    <w:rsid w:val="0C28640C"/>
    <w:rsid w:val="0C650BD6"/>
    <w:rsid w:val="0D0B777A"/>
    <w:rsid w:val="0DE25B7D"/>
    <w:rsid w:val="0E90599A"/>
    <w:rsid w:val="0ED720CD"/>
    <w:rsid w:val="0F096F10"/>
    <w:rsid w:val="0FA964A5"/>
    <w:rsid w:val="0FF7237E"/>
    <w:rsid w:val="100E1475"/>
    <w:rsid w:val="12070CAE"/>
    <w:rsid w:val="12403D1B"/>
    <w:rsid w:val="12582B20"/>
    <w:rsid w:val="127F2161"/>
    <w:rsid w:val="12E017EF"/>
    <w:rsid w:val="13F13588"/>
    <w:rsid w:val="145F688C"/>
    <w:rsid w:val="14A8633C"/>
    <w:rsid w:val="15DD2205"/>
    <w:rsid w:val="161A5018"/>
    <w:rsid w:val="168C5DC3"/>
    <w:rsid w:val="16B438BD"/>
    <w:rsid w:val="17A67110"/>
    <w:rsid w:val="18221B75"/>
    <w:rsid w:val="1864189B"/>
    <w:rsid w:val="18D73A7D"/>
    <w:rsid w:val="19297320"/>
    <w:rsid w:val="19557370"/>
    <w:rsid w:val="1A4E1523"/>
    <w:rsid w:val="1A7E6258"/>
    <w:rsid w:val="1AF22E73"/>
    <w:rsid w:val="1BD06B6A"/>
    <w:rsid w:val="1C633D09"/>
    <w:rsid w:val="1D7D523F"/>
    <w:rsid w:val="1D8F0333"/>
    <w:rsid w:val="1EBF79AF"/>
    <w:rsid w:val="1F782BDE"/>
    <w:rsid w:val="20250841"/>
    <w:rsid w:val="20452C91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CAF6062"/>
    <w:rsid w:val="2D173798"/>
    <w:rsid w:val="2D356C58"/>
    <w:rsid w:val="2DC378EB"/>
    <w:rsid w:val="2DE5106D"/>
    <w:rsid w:val="2EF90F16"/>
    <w:rsid w:val="2F125C63"/>
    <w:rsid w:val="2F6F7D2B"/>
    <w:rsid w:val="2FB6213D"/>
    <w:rsid w:val="302C3D0A"/>
    <w:rsid w:val="32054C26"/>
    <w:rsid w:val="322E57C9"/>
    <w:rsid w:val="32A41A99"/>
    <w:rsid w:val="331134C5"/>
    <w:rsid w:val="33DE31BB"/>
    <w:rsid w:val="383657B7"/>
    <w:rsid w:val="389C49C0"/>
    <w:rsid w:val="39BC78F4"/>
    <w:rsid w:val="3A225A50"/>
    <w:rsid w:val="3B111C96"/>
    <w:rsid w:val="3C8A61A4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8C06A4A"/>
    <w:rsid w:val="498B6799"/>
    <w:rsid w:val="4A445BB8"/>
    <w:rsid w:val="4A9D7706"/>
    <w:rsid w:val="4B756271"/>
    <w:rsid w:val="4C1C1A73"/>
    <w:rsid w:val="4C8E1CA8"/>
    <w:rsid w:val="4CD74C68"/>
    <w:rsid w:val="4CE865CF"/>
    <w:rsid w:val="4D6D36A4"/>
    <w:rsid w:val="4EC55959"/>
    <w:rsid w:val="4FD70F36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5AC288F"/>
    <w:rsid w:val="56680AA6"/>
    <w:rsid w:val="56850CBB"/>
    <w:rsid w:val="57623B4D"/>
    <w:rsid w:val="57EC5EE9"/>
    <w:rsid w:val="58381C29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9335B0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46C7CD0"/>
    <w:rsid w:val="65A62C59"/>
    <w:rsid w:val="66E70103"/>
    <w:rsid w:val="67095496"/>
    <w:rsid w:val="67EC43D0"/>
    <w:rsid w:val="67ED7463"/>
    <w:rsid w:val="681A546A"/>
    <w:rsid w:val="686F7E78"/>
    <w:rsid w:val="69AF24F6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0AE50FA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6E71507"/>
    <w:rsid w:val="77101DD8"/>
    <w:rsid w:val="77E27A63"/>
    <w:rsid w:val="788C25F5"/>
    <w:rsid w:val="79D858ED"/>
    <w:rsid w:val="79F72AA9"/>
    <w:rsid w:val="7B7A4F7D"/>
    <w:rsid w:val="7BF02C26"/>
    <w:rsid w:val="7C923B05"/>
    <w:rsid w:val="7D2F59D0"/>
    <w:rsid w:val="7DD37FAE"/>
    <w:rsid w:val="7F3D0160"/>
    <w:rsid w:val="7F3E1EFB"/>
    <w:rsid w:val="DFADC93D"/>
    <w:rsid w:val="FD7E5497"/>
    <w:rsid w:val="FFF39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widowControl/>
      <w:spacing w:line="360" w:lineRule="auto"/>
      <w:ind w:firstLine="200" w:firstLineChars="200"/>
      <w:outlineLvl w:val="3"/>
    </w:pPr>
    <w:rPr>
      <w:rFonts w:ascii="Times New Roman" w:hAnsi="Times New Roman" w:eastAsia="宋体" w:cs="Times New Roman (标题 CS)"/>
      <w:b/>
      <w:bCs/>
      <w:sz w:val="24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qFormat/>
    <w:uiPriority w:val="0"/>
  </w:style>
  <w:style w:type="paragraph" w:styleId="5">
    <w:name w:val="Body Text"/>
    <w:basedOn w:val="1"/>
    <w:autoRedefine/>
    <w:qFormat/>
    <w:uiPriority w:val="1"/>
    <w:pPr>
      <w:ind w:left="220"/>
    </w:pPr>
    <w:rPr>
      <w:sz w:val="32"/>
      <w:szCs w:val="32"/>
    </w:r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8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字符"/>
    <w:basedOn w:val="12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批注文字 字符"/>
    <w:basedOn w:val="12"/>
    <w:link w:val="4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8">
    <w:name w:val="批注主题 字符"/>
    <w:basedOn w:val="17"/>
    <w:link w:val="9"/>
    <w:autoRedefine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9">
    <w:name w:val="批注框文本 字符"/>
    <w:basedOn w:val="12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0">
    <w:name w:val="修订1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1">
    <w:name w:val="修订2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2">
    <w:name w:val="修订3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3">
    <w:name w:val="修订4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4">
    <w:name w:val="修订5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5">
    <w:name w:val="修订6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6">
    <w:name w:val="修订7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7">
    <w:name w:val="修订8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8">
    <w:name w:val="修订9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9">
    <w:name w:val="修订10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0">
    <w:name w:val="修订11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1">
    <w:name w:val="修订12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2">
    <w:name w:val="修订13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3">
    <w:name w:val="修订14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4">
    <w:name w:val="修订15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5">
    <w:name w:val="修订16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6">
    <w:name w:val="修订17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7">
    <w:name w:val="修订18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8">
    <w:name w:val="修订19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39">
    <w:name w:val="修订20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0">
    <w:name w:val="修订21"/>
    <w:autoRedefine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1">
    <w:name w:val="修订22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2">
    <w:name w:val="修订23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3">
    <w:name w:val="修订24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4">
    <w:name w:val="大象正文"/>
    <w:basedOn w:val="5"/>
    <w:autoRedefine/>
    <w:qFormat/>
    <w:uiPriority w:val="0"/>
    <w:pPr>
      <w:widowControl/>
      <w:spacing w:before="30" w:beforeLines="30" w:after="30" w:afterLines="30" w:line="360" w:lineRule="auto"/>
      <w:ind w:firstLine="420" w:firstLineChars="200"/>
    </w:pPr>
    <w:rPr>
      <w:rFonts w:hint="eastAsia" w:ascii="Times New Roman" w:hAnsi="Times New Roman" w:eastAsia="宋体" w:cs="Arial"/>
      <w:sz w:val="24"/>
      <w:szCs w:val="21"/>
    </w:rPr>
  </w:style>
  <w:style w:type="paragraph" w:customStyle="1" w:styleId="45">
    <w:name w:val="修订25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6">
    <w:name w:val="修订26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7">
    <w:name w:val="修订27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8">
    <w:name w:val="修订28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49">
    <w:name w:val="修订29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50">
    <w:name w:val="修订30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51">
    <w:name w:val="Revision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102096\AppData\Roaming\Microsoft\Templates\SSEReport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</Template>
  <Pages>3</Pages>
  <Words>1792</Words>
  <Characters>1897</Characters>
  <Lines>14</Lines>
  <Paragraphs>4</Paragraphs>
  <TotalTime>218</TotalTime>
  <ScaleCrop>false</ScaleCrop>
  <LinksUpToDate>false</LinksUpToDate>
  <CharactersWithSpaces>1953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2022-06-03T20:33:00Z</dcterms:created>
  <dc:creator>jie.huang</dc:creator>
  <cp:lastModifiedBy>_Ｔbing丶</cp:lastModifiedBy>
  <cp:lastPrinted>2024-05-24T08:57:00Z</cp:lastPrinted>
  <dcterms:modified xsi:type="dcterms:W3CDTF">2025-02-12T03:58:46Z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02A9BDAE9D9546C18E255E017EBE7924_13</vt:lpwstr>
  </property>
</Properties>
</file>