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48833" w14:textId="77777777" w:rsidR="007D2C8B" w:rsidRDefault="000C18AF">
      <w:pPr>
        <w:jc w:val="right"/>
        <w:rPr>
          <w:rFonts w:ascii="宋体" w:eastAsia="宋体" w:hAnsi="宋体"/>
          <w:b/>
          <w:szCs w:val="21"/>
        </w:rPr>
      </w:pPr>
      <w:r>
        <w:rPr>
          <w:rFonts w:ascii="宋体" w:eastAsia="宋体" w:hAnsi="宋体" w:hint="eastAsia"/>
          <w:b/>
          <w:szCs w:val="21"/>
        </w:rPr>
        <w:t>证券代码：</w:t>
      </w:r>
      <w:r>
        <w:rPr>
          <w:rFonts w:ascii="宋体" w:eastAsia="宋体" w:hAnsi="宋体"/>
          <w:b/>
          <w:szCs w:val="21"/>
        </w:rPr>
        <w:t>688</w:t>
      </w:r>
      <w:r>
        <w:rPr>
          <w:rFonts w:ascii="宋体" w:eastAsia="宋体" w:hAnsi="宋体" w:hint="eastAsia"/>
          <w:b/>
          <w:szCs w:val="21"/>
        </w:rPr>
        <w:t>347</w:t>
      </w:r>
      <w:r>
        <w:rPr>
          <w:rFonts w:ascii="宋体" w:eastAsia="宋体" w:hAnsi="宋体"/>
          <w:b/>
          <w:szCs w:val="21"/>
        </w:rPr>
        <w:t xml:space="preserve">                                         </w:t>
      </w:r>
      <w:r>
        <w:rPr>
          <w:rFonts w:ascii="宋体" w:eastAsia="宋体" w:hAnsi="宋体" w:hint="eastAsia"/>
          <w:b/>
          <w:szCs w:val="21"/>
        </w:rPr>
        <w:t>证券简称：华虹公司</w:t>
      </w:r>
    </w:p>
    <w:p w14:paraId="43BF47C3" w14:textId="77777777" w:rsidR="007D2C8B" w:rsidRDefault="007D2C8B">
      <w:pPr>
        <w:jc w:val="right"/>
        <w:rPr>
          <w:rFonts w:ascii="宋体" w:eastAsia="宋体" w:hAnsi="宋体"/>
          <w:b/>
          <w:szCs w:val="21"/>
        </w:rPr>
      </w:pPr>
    </w:p>
    <w:p w14:paraId="40F45D6D" w14:textId="77777777" w:rsidR="007D2C8B" w:rsidRDefault="000C18AF">
      <w:pPr>
        <w:spacing w:line="500" w:lineRule="exact"/>
        <w:jc w:val="center"/>
        <w:rPr>
          <w:rFonts w:ascii="宋体" w:eastAsia="宋体" w:hAnsi="宋体"/>
          <w:b/>
          <w:sz w:val="30"/>
          <w:szCs w:val="30"/>
        </w:rPr>
      </w:pPr>
      <w:r>
        <w:rPr>
          <w:rFonts w:ascii="宋体" w:eastAsia="宋体" w:hAnsi="宋体" w:hint="eastAsia"/>
          <w:b/>
          <w:sz w:val="30"/>
          <w:szCs w:val="30"/>
        </w:rPr>
        <w:t>华虹半导体有限公司</w:t>
      </w:r>
    </w:p>
    <w:p w14:paraId="6A67DEBC" w14:textId="77777777" w:rsidR="007D2C8B" w:rsidRDefault="000C18AF">
      <w:pPr>
        <w:spacing w:line="500" w:lineRule="exact"/>
        <w:jc w:val="center"/>
        <w:rPr>
          <w:rFonts w:ascii="宋体" w:eastAsia="宋体" w:hAnsi="宋体"/>
          <w:b/>
          <w:sz w:val="30"/>
          <w:szCs w:val="30"/>
        </w:rPr>
      </w:pPr>
      <w:r>
        <w:rPr>
          <w:rFonts w:ascii="宋体" w:eastAsia="宋体" w:hAnsi="宋体" w:hint="eastAsia"/>
          <w:b/>
          <w:sz w:val="30"/>
          <w:szCs w:val="30"/>
        </w:rPr>
        <w:t>投资者关系活动记录表</w:t>
      </w:r>
    </w:p>
    <w:p w14:paraId="07351144" w14:textId="77777777" w:rsidR="007D2C8B" w:rsidRDefault="007D2C8B">
      <w:pPr>
        <w:spacing w:line="500" w:lineRule="exact"/>
        <w:jc w:val="center"/>
        <w:rPr>
          <w:rFonts w:ascii="宋体" w:eastAsia="宋体" w:hAnsi="宋体"/>
          <w:b/>
          <w:sz w:val="30"/>
          <w:szCs w:val="30"/>
        </w:rPr>
      </w:pPr>
    </w:p>
    <w:tbl>
      <w:tblPr>
        <w:tblStyle w:val="ab"/>
        <w:tblW w:w="0" w:type="auto"/>
        <w:tblLook w:val="04A0" w:firstRow="1" w:lastRow="0" w:firstColumn="1" w:lastColumn="0" w:noHBand="0" w:noVBand="1"/>
      </w:tblPr>
      <w:tblGrid>
        <w:gridCol w:w="2122"/>
        <w:gridCol w:w="6174"/>
      </w:tblGrid>
      <w:tr w:rsidR="007D2C8B" w14:paraId="779B172A" w14:textId="77777777">
        <w:tc>
          <w:tcPr>
            <w:tcW w:w="2122" w:type="dxa"/>
            <w:vAlign w:val="center"/>
          </w:tcPr>
          <w:p w14:paraId="5A932A7D" w14:textId="77777777" w:rsidR="007D2C8B" w:rsidRDefault="000C18AF">
            <w:pPr>
              <w:spacing w:line="360" w:lineRule="auto"/>
              <w:rPr>
                <w:rFonts w:ascii="宋体" w:eastAsia="宋体" w:hAnsi="宋体"/>
                <w:szCs w:val="21"/>
              </w:rPr>
            </w:pPr>
            <w:r>
              <w:rPr>
                <w:rFonts w:ascii="宋体" w:eastAsia="宋体" w:hAnsi="宋体" w:hint="eastAsia"/>
                <w:szCs w:val="21"/>
              </w:rPr>
              <w:t>投资者关系活动类别</w:t>
            </w:r>
          </w:p>
        </w:tc>
        <w:tc>
          <w:tcPr>
            <w:tcW w:w="6174" w:type="dxa"/>
            <w:vAlign w:val="center"/>
          </w:tcPr>
          <w:p w14:paraId="2BFE5497" w14:textId="77777777" w:rsidR="007D2C8B" w:rsidRDefault="000C18AF">
            <w:pPr>
              <w:spacing w:line="360" w:lineRule="auto"/>
              <w:rPr>
                <w:rFonts w:ascii="宋体" w:eastAsia="宋体" w:hAnsi="宋体"/>
                <w:szCs w:val="21"/>
              </w:rPr>
            </w:pPr>
            <w:r>
              <w:rPr>
                <w:rFonts w:ascii="宋体" w:eastAsia="宋体" w:hAnsi="宋体" w:hint="eastAsia"/>
                <w:szCs w:val="21"/>
              </w:rPr>
              <w:t xml:space="preserve">□特定对象调研 </w:t>
            </w:r>
            <w:r>
              <w:rPr>
                <w:rFonts w:ascii="宋体" w:eastAsia="宋体" w:hAnsi="宋体"/>
                <w:szCs w:val="21"/>
              </w:rPr>
              <w:t xml:space="preserve">     </w:t>
            </w:r>
            <w:r>
              <w:rPr>
                <w:rFonts w:ascii="宋体" w:eastAsia="宋体" w:hAnsi="宋体" w:hint="eastAsia"/>
                <w:szCs w:val="21"/>
              </w:rPr>
              <w:t>□分析</w:t>
            </w:r>
            <w:proofErr w:type="gramStart"/>
            <w:r>
              <w:rPr>
                <w:rFonts w:ascii="宋体" w:eastAsia="宋体" w:hAnsi="宋体" w:hint="eastAsia"/>
                <w:szCs w:val="21"/>
              </w:rPr>
              <w:t>师会议</w:t>
            </w:r>
            <w:proofErr w:type="gramEnd"/>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□媒体采访</w:t>
            </w:r>
          </w:p>
          <w:p w14:paraId="797088A7" w14:textId="77777777" w:rsidR="007D2C8B" w:rsidRDefault="000C18AF">
            <w:pPr>
              <w:spacing w:line="360" w:lineRule="auto"/>
              <w:rPr>
                <w:rFonts w:ascii="宋体" w:eastAsia="宋体" w:hAnsi="宋体"/>
                <w:szCs w:val="21"/>
              </w:rPr>
            </w:pPr>
            <w:r>
              <w:rPr>
                <w:rFonts w:ascii="宋体" w:eastAsia="宋体" w:hAnsi="宋体" w:hint="eastAsia"/>
                <w:szCs w:val="21"/>
              </w:rPr>
              <w:sym w:font="Wingdings 2" w:char="F052"/>
            </w:r>
            <w:r>
              <w:rPr>
                <w:rFonts w:ascii="宋体" w:eastAsia="宋体" w:hAnsi="宋体" w:hint="eastAsia"/>
                <w:szCs w:val="21"/>
              </w:rPr>
              <w:t xml:space="preserve">业绩说明会 </w:t>
            </w:r>
            <w:r>
              <w:rPr>
                <w:rFonts w:ascii="宋体" w:eastAsia="宋体" w:hAnsi="宋体"/>
                <w:szCs w:val="21"/>
              </w:rPr>
              <w:t xml:space="preserve">       </w:t>
            </w:r>
            <w:r>
              <w:rPr>
                <w:rFonts w:ascii="宋体" w:eastAsia="宋体" w:hAnsi="宋体" w:hint="eastAsia"/>
                <w:szCs w:val="21"/>
              </w:rPr>
              <w:t xml:space="preserve">□新闻发布会 </w:t>
            </w:r>
            <w:r>
              <w:rPr>
                <w:rFonts w:ascii="宋体" w:eastAsia="宋体" w:hAnsi="宋体"/>
                <w:szCs w:val="21"/>
              </w:rPr>
              <w:t xml:space="preserve">     </w:t>
            </w:r>
            <w:r>
              <w:rPr>
                <w:rFonts w:ascii="宋体" w:eastAsia="宋体" w:hAnsi="宋体" w:hint="eastAsia"/>
                <w:szCs w:val="21"/>
              </w:rPr>
              <w:t>□路演活动</w:t>
            </w:r>
          </w:p>
          <w:p w14:paraId="115A321A" w14:textId="77777777" w:rsidR="007D2C8B" w:rsidRDefault="000C18AF">
            <w:pPr>
              <w:spacing w:line="360" w:lineRule="auto"/>
              <w:rPr>
                <w:rFonts w:ascii="宋体" w:eastAsia="宋体" w:hAnsi="宋体"/>
                <w:szCs w:val="21"/>
              </w:rPr>
            </w:pPr>
            <w:r>
              <w:rPr>
                <w:rFonts w:ascii="宋体" w:eastAsia="宋体" w:hAnsi="宋体" w:hint="eastAsia"/>
                <w:szCs w:val="21"/>
              </w:rPr>
              <w:t xml:space="preserve">□现场参观 </w:t>
            </w:r>
            <w:r>
              <w:rPr>
                <w:rFonts w:ascii="宋体" w:eastAsia="宋体" w:hAnsi="宋体"/>
                <w:szCs w:val="21"/>
              </w:rPr>
              <w:t xml:space="preserve">         </w:t>
            </w:r>
            <w:r>
              <w:rPr>
                <w:rFonts w:ascii="宋体" w:eastAsia="宋体" w:hAnsi="宋体" w:hint="eastAsia"/>
                <w:szCs w:val="21"/>
              </w:rPr>
              <w:t>□其他</w:t>
            </w:r>
            <w:r>
              <w:rPr>
                <w:rFonts w:ascii="宋体" w:eastAsia="宋体" w:hAnsi="宋体" w:hint="eastAsia"/>
                <w:szCs w:val="21"/>
                <w:u w:val="single"/>
              </w:rPr>
              <w:t xml:space="preserve">  </w:t>
            </w:r>
            <w:r>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szCs w:val="21"/>
                <w:u w:val="single"/>
              </w:rPr>
              <w:t xml:space="preserve"> </w:t>
            </w:r>
          </w:p>
        </w:tc>
      </w:tr>
      <w:tr w:rsidR="007D2C8B" w14:paraId="1FD4A497" w14:textId="77777777">
        <w:tc>
          <w:tcPr>
            <w:tcW w:w="2122" w:type="dxa"/>
            <w:vAlign w:val="center"/>
          </w:tcPr>
          <w:p w14:paraId="51C26EE6" w14:textId="77777777" w:rsidR="007D2C8B" w:rsidRDefault="000C18AF">
            <w:pPr>
              <w:spacing w:line="360" w:lineRule="auto"/>
              <w:rPr>
                <w:rFonts w:ascii="宋体" w:eastAsia="宋体" w:hAnsi="宋体"/>
                <w:szCs w:val="21"/>
              </w:rPr>
            </w:pPr>
            <w:r>
              <w:rPr>
                <w:rFonts w:ascii="宋体" w:eastAsia="宋体" w:hAnsi="宋体" w:hint="eastAsia"/>
                <w:szCs w:val="21"/>
              </w:rPr>
              <w:t>参与对象</w:t>
            </w:r>
          </w:p>
        </w:tc>
        <w:tc>
          <w:tcPr>
            <w:tcW w:w="6174" w:type="dxa"/>
            <w:vAlign w:val="center"/>
          </w:tcPr>
          <w:p w14:paraId="1B35C25D" w14:textId="77777777" w:rsidR="007D2C8B" w:rsidRDefault="000C18AF">
            <w:pPr>
              <w:spacing w:line="500" w:lineRule="exact"/>
              <w:jc w:val="left"/>
              <w:rPr>
                <w:rFonts w:ascii="宋体" w:eastAsia="宋体" w:hAnsi="宋体" w:cs="Arial"/>
                <w:kern w:val="0"/>
                <w:szCs w:val="21"/>
              </w:rPr>
            </w:pPr>
            <w:r>
              <w:rPr>
                <w:rFonts w:ascii="宋体" w:eastAsia="宋体" w:hAnsi="宋体" w:cs="Arial"/>
                <w:kern w:val="0"/>
                <w:szCs w:val="21"/>
              </w:rPr>
              <w:t>中信证券、</w:t>
            </w:r>
            <w:r>
              <w:rPr>
                <w:rFonts w:ascii="宋体" w:eastAsia="宋体" w:hAnsi="宋体" w:cs="Arial" w:hint="eastAsia"/>
                <w:kern w:val="0"/>
                <w:szCs w:val="21"/>
              </w:rPr>
              <w:t>华泰证券、东方证券、</w:t>
            </w:r>
            <w:proofErr w:type="gramStart"/>
            <w:r>
              <w:rPr>
                <w:rFonts w:ascii="宋体" w:eastAsia="宋体" w:hAnsi="宋体" w:cs="Arial" w:hint="eastAsia"/>
                <w:kern w:val="0"/>
                <w:szCs w:val="21"/>
              </w:rPr>
              <w:t>浦银国际</w:t>
            </w:r>
            <w:proofErr w:type="gramEnd"/>
            <w:r>
              <w:rPr>
                <w:rFonts w:ascii="宋体" w:eastAsia="宋体" w:hAnsi="宋体" w:cs="Arial" w:hint="eastAsia"/>
                <w:kern w:val="0"/>
                <w:szCs w:val="21"/>
              </w:rPr>
              <w:t>、盛博及其他通过电话或网络方式参</w:t>
            </w:r>
            <w:r>
              <w:rPr>
                <w:rFonts w:ascii="宋体" w:eastAsia="宋体" w:hAnsi="宋体" w:cs="Arial"/>
                <w:kern w:val="0"/>
                <w:szCs w:val="21"/>
              </w:rPr>
              <w:t>与</w:t>
            </w:r>
            <w:r>
              <w:rPr>
                <w:rFonts w:ascii="宋体" w:eastAsia="宋体" w:hAnsi="宋体" w:cs="Arial" w:hint="eastAsia"/>
                <w:kern w:val="0"/>
                <w:szCs w:val="21"/>
              </w:rPr>
              <w:t>华虹半导体</w:t>
            </w:r>
            <w:r>
              <w:rPr>
                <w:rFonts w:ascii="宋体" w:eastAsia="宋体" w:hAnsi="宋体" w:cs="Arial"/>
                <w:kern w:val="0"/>
                <w:szCs w:val="21"/>
              </w:rPr>
              <w:t>202</w:t>
            </w:r>
            <w:r>
              <w:rPr>
                <w:rFonts w:ascii="宋体" w:eastAsia="宋体" w:hAnsi="宋体" w:cs="Arial" w:hint="eastAsia"/>
                <w:kern w:val="0"/>
                <w:szCs w:val="21"/>
              </w:rPr>
              <w:t>4年第四季度</w:t>
            </w:r>
            <w:r>
              <w:rPr>
                <w:rFonts w:ascii="宋体" w:eastAsia="宋体" w:hAnsi="宋体" w:cs="Arial"/>
                <w:kern w:val="0"/>
                <w:szCs w:val="21"/>
              </w:rPr>
              <w:t>业绩说明会的广大</w:t>
            </w:r>
            <w:r>
              <w:rPr>
                <w:rFonts w:ascii="宋体" w:eastAsia="宋体" w:hAnsi="宋体" w:cs="Arial" w:hint="eastAsia"/>
                <w:kern w:val="0"/>
                <w:szCs w:val="21"/>
              </w:rPr>
              <w:t>机构与个人</w:t>
            </w:r>
            <w:r>
              <w:rPr>
                <w:rFonts w:ascii="宋体" w:eastAsia="宋体" w:hAnsi="宋体" w:cs="Arial"/>
                <w:kern w:val="0"/>
                <w:szCs w:val="21"/>
              </w:rPr>
              <w:t>投资者</w:t>
            </w:r>
            <w:r>
              <w:rPr>
                <w:rFonts w:ascii="宋体" w:eastAsia="宋体" w:hAnsi="宋体" w:cs="Arial" w:hint="eastAsia"/>
                <w:kern w:val="0"/>
                <w:szCs w:val="21"/>
              </w:rPr>
              <w:t>。</w:t>
            </w:r>
          </w:p>
        </w:tc>
      </w:tr>
      <w:tr w:rsidR="007D2C8B" w14:paraId="523DAA0E" w14:textId="77777777">
        <w:trPr>
          <w:trHeight w:val="450"/>
        </w:trPr>
        <w:tc>
          <w:tcPr>
            <w:tcW w:w="2122" w:type="dxa"/>
            <w:vAlign w:val="center"/>
          </w:tcPr>
          <w:p w14:paraId="6D079D01" w14:textId="77777777" w:rsidR="007D2C8B" w:rsidRDefault="000C18AF">
            <w:pPr>
              <w:spacing w:line="360" w:lineRule="auto"/>
              <w:rPr>
                <w:rFonts w:ascii="宋体" w:eastAsia="宋体" w:hAnsi="宋体"/>
                <w:szCs w:val="21"/>
              </w:rPr>
            </w:pPr>
            <w:r>
              <w:rPr>
                <w:rFonts w:ascii="宋体" w:eastAsia="宋体" w:hAnsi="宋体" w:hint="eastAsia"/>
                <w:szCs w:val="21"/>
              </w:rPr>
              <w:t>时间</w:t>
            </w:r>
          </w:p>
        </w:tc>
        <w:tc>
          <w:tcPr>
            <w:tcW w:w="6174" w:type="dxa"/>
            <w:vAlign w:val="center"/>
          </w:tcPr>
          <w:p w14:paraId="69C1AB37" w14:textId="77777777" w:rsidR="007D2C8B" w:rsidRDefault="000C18AF">
            <w:pPr>
              <w:spacing w:line="500" w:lineRule="exact"/>
              <w:rPr>
                <w:rFonts w:ascii="宋体" w:eastAsia="宋体" w:hAnsi="宋体" w:cs="Times New Roman"/>
                <w:szCs w:val="21"/>
              </w:rPr>
            </w:pPr>
            <w:r>
              <w:rPr>
                <w:rFonts w:ascii="宋体" w:eastAsia="宋体" w:hAnsi="宋体" w:cs="Times New Roman"/>
                <w:szCs w:val="21"/>
              </w:rPr>
              <w:t>202</w:t>
            </w:r>
            <w:r>
              <w:rPr>
                <w:rFonts w:ascii="宋体" w:eastAsia="宋体" w:hAnsi="宋体" w:cs="Times New Roman" w:hint="eastAsia"/>
                <w:szCs w:val="21"/>
              </w:rPr>
              <w:t>5</w:t>
            </w:r>
            <w:r>
              <w:rPr>
                <w:rFonts w:ascii="宋体" w:eastAsia="宋体" w:hAnsi="宋体" w:cs="Times New Roman"/>
                <w:szCs w:val="21"/>
              </w:rPr>
              <w:t>年</w:t>
            </w:r>
            <w:r>
              <w:rPr>
                <w:rFonts w:ascii="宋体" w:eastAsia="宋体" w:hAnsi="宋体" w:cs="Times New Roman" w:hint="eastAsia"/>
                <w:szCs w:val="21"/>
              </w:rPr>
              <w:t>2</w:t>
            </w:r>
            <w:r>
              <w:rPr>
                <w:rFonts w:ascii="宋体" w:eastAsia="宋体" w:hAnsi="宋体" w:cs="Times New Roman"/>
                <w:szCs w:val="21"/>
              </w:rPr>
              <w:t>月</w:t>
            </w:r>
            <w:r>
              <w:rPr>
                <w:rFonts w:ascii="宋体" w:eastAsia="宋体" w:hAnsi="宋体" w:cs="Times New Roman" w:hint="eastAsia"/>
                <w:szCs w:val="21"/>
              </w:rPr>
              <w:t>13</w:t>
            </w:r>
            <w:r>
              <w:rPr>
                <w:rFonts w:ascii="宋体" w:eastAsia="宋体" w:hAnsi="宋体" w:cs="Times New Roman"/>
                <w:szCs w:val="21"/>
              </w:rPr>
              <w:t>日</w:t>
            </w:r>
            <w:r>
              <w:rPr>
                <w:rFonts w:ascii="宋体" w:eastAsia="宋体" w:hAnsi="宋体" w:cs="Times New Roman" w:hint="eastAsia"/>
                <w:szCs w:val="21"/>
              </w:rPr>
              <w:t xml:space="preserve"> 17：00</w:t>
            </w:r>
          </w:p>
        </w:tc>
      </w:tr>
      <w:tr w:rsidR="007D2C8B" w14:paraId="2D9E8D57" w14:textId="77777777">
        <w:trPr>
          <w:trHeight w:val="774"/>
        </w:trPr>
        <w:tc>
          <w:tcPr>
            <w:tcW w:w="2122" w:type="dxa"/>
            <w:vAlign w:val="center"/>
          </w:tcPr>
          <w:p w14:paraId="45BFB28D" w14:textId="77777777" w:rsidR="007D2C8B" w:rsidRDefault="000C18AF">
            <w:pPr>
              <w:spacing w:line="360" w:lineRule="auto"/>
              <w:rPr>
                <w:rFonts w:ascii="宋体" w:eastAsia="宋体" w:hAnsi="宋体"/>
                <w:szCs w:val="21"/>
              </w:rPr>
            </w:pPr>
            <w:r>
              <w:rPr>
                <w:rFonts w:ascii="宋体" w:eastAsia="宋体" w:hAnsi="宋体" w:hint="eastAsia"/>
                <w:szCs w:val="21"/>
              </w:rPr>
              <w:t>地点</w:t>
            </w:r>
          </w:p>
        </w:tc>
        <w:tc>
          <w:tcPr>
            <w:tcW w:w="6174" w:type="dxa"/>
            <w:vAlign w:val="center"/>
          </w:tcPr>
          <w:p w14:paraId="61B627AF" w14:textId="77777777" w:rsidR="007D2C8B" w:rsidRDefault="000C18AF">
            <w:pPr>
              <w:widowControl/>
              <w:jc w:val="left"/>
              <w:rPr>
                <w:rFonts w:ascii="宋体" w:eastAsia="宋体" w:hAnsi="宋体" w:cs="Times New Roman"/>
                <w:szCs w:val="21"/>
              </w:rPr>
            </w:pPr>
            <w:r>
              <w:rPr>
                <w:rFonts w:ascii="宋体" w:eastAsia="宋体" w:hAnsi="宋体" w:cs="Times New Roman" w:hint="eastAsia"/>
                <w:szCs w:val="21"/>
              </w:rPr>
              <w:t>电话/网络会议</w:t>
            </w:r>
          </w:p>
          <w:p w14:paraId="1E39D41A" w14:textId="77777777" w:rsidR="007D2C8B" w:rsidRDefault="000C18AF">
            <w:pPr>
              <w:widowControl/>
              <w:jc w:val="left"/>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https://www.huahonggrace.com/c/ir_calendar.php</w:t>
            </w:r>
            <w:r>
              <w:rPr>
                <w:rFonts w:ascii="宋体" w:eastAsia="宋体" w:hAnsi="宋体" w:cs="Times New Roman" w:hint="eastAsia"/>
                <w:szCs w:val="21"/>
              </w:rPr>
              <w:t>）</w:t>
            </w:r>
          </w:p>
        </w:tc>
      </w:tr>
      <w:tr w:rsidR="007D2C8B" w14:paraId="21AAAD6A" w14:textId="77777777">
        <w:tc>
          <w:tcPr>
            <w:tcW w:w="2122" w:type="dxa"/>
            <w:vAlign w:val="center"/>
          </w:tcPr>
          <w:p w14:paraId="379DF586" w14:textId="77777777" w:rsidR="007D2C8B" w:rsidRDefault="000C18AF">
            <w:pPr>
              <w:spacing w:line="360" w:lineRule="auto"/>
              <w:rPr>
                <w:rFonts w:ascii="宋体" w:eastAsia="宋体" w:hAnsi="宋体"/>
                <w:szCs w:val="21"/>
              </w:rPr>
            </w:pPr>
            <w:r>
              <w:rPr>
                <w:rFonts w:ascii="宋体" w:eastAsia="宋体" w:hAnsi="宋体" w:hint="eastAsia"/>
                <w:szCs w:val="21"/>
              </w:rPr>
              <w:t>上市公司出席人员</w:t>
            </w:r>
          </w:p>
        </w:tc>
        <w:tc>
          <w:tcPr>
            <w:tcW w:w="6174" w:type="dxa"/>
            <w:vAlign w:val="center"/>
          </w:tcPr>
          <w:p w14:paraId="1A41A9DA" w14:textId="77777777" w:rsidR="007D2C8B" w:rsidRDefault="000C18AF">
            <w:pPr>
              <w:spacing w:line="500" w:lineRule="exact"/>
              <w:rPr>
                <w:rFonts w:ascii="宋体" w:eastAsia="宋体" w:hAnsi="宋体"/>
                <w:szCs w:val="21"/>
              </w:rPr>
            </w:pPr>
            <w:r>
              <w:rPr>
                <w:rFonts w:ascii="宋体" w:eastAsia="宋体" w:hAnsi="宋体" w:hint="eastAsia"/>
                <w:szCs w:val="21"/>
              </w:rPr>
              <w:t xml:space="preserve">白鹏   </w:t>
            </w:r>
            <w:r>
              <w:rPr>
                <w:rFonts w:ascii="宋体" w:eastAsia="宋体" w:hAnsi="宋体"/>
                <w:szCs w:val="21"/>
              </w:rPr>
              <w:t>总裁兼执行董事</w:t>
            </w:r>
          </w:p>
          <w:p w14:paraId="41CBC3B9" w14:textId="77777777" w:rsidR="007D2C8B" w:rsidRDefault="000C18AF">
            <w:pPr>
              <w:spacing w:line="500" w:lineRule="exact"/>
              <w:rPr>
                <w:rFonts w:ascii="宋体" w:eastAsia="宋体" w:hAnsi="宋体"/>
                <w:szCs w:val="21"/>
              </w:rPr>
            </w:pPr>
            <w:r>
              <w:rPr>
                <w:rFonts w:ascii="宋体" w:eastAsia="宋体" w:hAnsi="宋体" w:hint="eastAsia"/>
                <w:szCs w:val="21"/>
              </w:rPr>
              <w:t xml:space="preserve">王鼎 </w:t>
            </w:r>
            <w:r>
              <w:rPr>
                <w:rFonts w:ascii="宋体" w:eastAsia="宋体" w:hAnsi="宋体"/>
                <w:szCs w:val="21"/>
              </w:rPr>
              <w:t xml:space="preserve">  </w:t>
            </w:r>
            <w:r>
              <w:rPr>
                <w:rFonts w:ascii="宋体" w:eastAsia="宋体" w:hAnsi="宋体" w:hint="eastAsia"/>
                <w:szCs w:val="21"/>
              </w:rPr>
              <w:t>执行副总裁兼首席财务官</w:t>
            </w:r>
          </w:p>
          <w:p w14:paraId="0B3478CC" w14:textId="77777777" w:rsidR="007D2C8B" w:rsidRDefault="000C18AF">
            <w:pPr>
              <w:spacing w:line="500" w:lineRule="exact"/>
              <w:rPr>
                <w:rFonts w:ascii="宋体" w:eastAsia="宋体" w:hAnsi="宋体"/>
                <w:szCs w:val="21"/>
              </w:rPr>
            </w:pPr>
            <w:proofErr w:type="gramStart"/>
            <w:r>
              <w:rPr>
                <w:rFonts w:ascii="宋体" w:eastAsia="宋体" w:hAnsi="宋体" w:hint="eastAsia"/>
                <w:szCs w:val="21"/>
              </w:rPr>
              <w:t>钱蕾</w:t>
            </w:r>
            <w:proofErr w:type="gramEnd"/>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董办副部长</w:t>
            </w:r>
          </w:p>
        </w:tc>
      </w:tr>
      <w:tr w:rsidR="007D2C8B" w14:paraId="4BFD5E4E" w14:textId="77777777">
        <w:tc>
          <w:tcPr>
            <w:tcW w:w="2122" w:type="dxa"/>
            <w:vAlign w:val="center"/>
          </w:tcPr>
          <w:p w14:paraId="673A4BA0" w14:textId="77777777" w:rsidR="007D2C8B" w:rsidRDefault="000C18AF">
            <w:pPr>
              <w:spacing w:line="360" w:lineRule="auto"/>
              <w:rPr>
                <w:rFonts w:ascii="宋体" w:eastAsia="宋体" w:hAnsi="宋体"/>
                <w:szCs w:val="21"/>
              </w:rPr>
            </w:pPr>
            <w:r>
              <w:rPr>
                <w:rFonts w:ascii="宋体" w:eastAsia="宋体" w:hAnsi="宋体" w:hint="eastAsia"/>
                <w:szCs w:val="21"/>
              </w:rPr>
              <w:t>公司介绍</w:t>
            </w:r>
          </w:p>
        </w:tc>
        <w:tc>
          <w:tcPr>
            <w:tcW w:w="6174" w:type="dxa"/>
            <w:vAlign w:val="center"/>
          </w:tcPr>
          <w:p w14:paraId="24FABAC2" w14:textId="77777777" w:rsidR="007D2C8B" w:rsidRDefault="000C18AF">
            <w:pPr>
              <w:spacing w:line="500" w:lineRule="exact"/>
              <w:rPr>
                <w:rFonts w:ascii="宋体" w:eastAsia="宋体" w:hAnsi="宋体"/>
                <w:szCs w:val="21"/>
              </w:rPr>
            </w:pPr>
            <w:r>
              <w:rPr>
                <w:rFonts w:ascii="宋体" w:eastAsia="宋体" w:hAnsi="宋体" w:hint="eastAsia"/>
                <w:szCs w:val="21"/>
              </w:rPr>
              <w:t>华虹半导体有限公司（</w:t>
            </w:r>
            <w:r>
              <w:rPr>
                <w:rFonts w:ascii="宋体" w:eastAsia="宋体" w:hAnsi="宋体"/>
                <w:szCs w:val="21"/>
              </w:rPr>
              <w:t>A股简称: 华虹公司，688347；港股简称：华虹半导体，01347）（“本公司”）是全球领先的特色</w:t>
            </w:r>
            <w:proofErr w:type="gramStart"/>
            <w:r>
              <w:rPr>
                <w:rFonts w:ascii="宋体" w:eastAsia="宋体" w:hAnsi="宋体"/>
                <w:szCs w:val="21"/>
              </w:rPr>
              <w:t>工艺纯晶圆</w:t>
            </w:r>
            <w:proofErr w:type="gramEnd"/>
            <w:r>
              <w:rPr>
                <w:rFonts w:ascii="宋体" w:eastAsia="宋体" w:hAnsi="宋体"/>
                <w:szCs w:val="21"/>
              </w:rPr>
              <w:t>代工企业，秉持“8英寸 + 12英寸”、先进“特色IC + Power Discrete”的发展战略，为客户提供多元化的晶圆代工及配套服务。本公司专注于嵌入式/独立式非易失性存储器、功率器件、模拟与电源管理和逻辑与射频等“8英寸 + 12英寸”特色工艺技术的持续创新，有力支持新能源汽车、绿色能源、物联网等新兴领域应用，其卓越的质量管理体系亦满足汽车电子芯片生产的严苛要求。本公司是</w:t>
            </w:r>
            <w:r>
              <w:rPr>
                <w:rFonts w:ascii="宋体" w:eastAsia="宋体" w:hAnsi="宋体" w:hint="eastAsia"/>
                <w:szCs w:val="21"/>
              </w:rPr>
              <w:t>华虹集团的一员，而华虹集团是中国拥有“</w:t>
            </w:r>
            <w:r>
              <w:rPr>
                <w:rFonts w:ascii="宋体" w:eastAsia="宋体" w:hAnsi="宋体"/>
                <w:szCs w:val="21"/>
              </w:rPr>
              <w:t>8英寸 + 12英寸”先进集成电路制造主流工艺技术的产业集团。</w:t>
            </w:r>
          </w:p>
          <w:p w14:paraId="71690E8B" w14:textId="77777777" w:rsidR="007D2C8B" w:rsidRDefault="007D2C8B">
            <w:pPr>
              <w:spacing w:line="500" w:lineRule="exact"/>
              <w:rPr>
                <w:rFonts w:ascii="宋体" w:eastAsia="宋体" w:hAnsi="宋体"/>
                <w:szCs w:val="21"/>
              </w:rPr>
            </w:pPr>
          </w:p>
          <w:p w14:paraId="7DF1C344" w14:textId="77777777" w:rsidR="007D2C8B" w:rsidRDefault="000C18AF">
            <w:pPr>
              <w:spacing w:line="500" w:lineRule="exact"/>
              <w:rPr>
                <w:rFonts w:ascii="宋体" w:eastAsia="宋体" w:hAnsi="宋体"/>
                <w:szCs w:val="21"/>
              </w:rPr>
            </w:pPr>
            <w:r>
              <w:rPr>
                <w:rFonts w:ascii="宋体" w:eastAsia="宋体" w:hAnsi="宋体" w:hint="eastAsia"/>
                <w:szCs w:val="21"/>
              </w:rPr>
              <w:t>本公司在上海金桥和张江建有三座</w:t>
            </w:r>
            <w:r>
              <w:rPr>
                <w:rFonts w:ascii="宋体" w:eastAsia="宋体" w:hAnsi="宋体"/>
                <w:szCs w:val="21"/>
              </w:rPr>
              <w:t>8英寸晶圆厂，</w:t>
            </w:r>
            <w:r>
              <w:rPr>
                <w:rFonts w:ascii="宋体" w:eastAsia="宋体" w:hAnsi="宋体" w:hint="eastAsia"/>
                <w:szCs w:val="21"/>
              </w:rPr>
              <w:t>另在无锡高新</w:t>
            </w:r>
            <w:r>
              <w:rPr>
                <w:rFonts w:ascii="宋体" w:eastAsia="宋体" w:hAnsi="宋体" w:hint="eastAsia"/>
                <w:szCs w:val="21"/>
              </w:rPr>
              <w:lastRenderedPageBreak/>
              <w:t>技术开发区内建有两座全球领先的12英寸特色工艺晶圆厂，其中之一是全球第一条12英寸功率器件代工生产线</w:t>
            </w:r>
            <w:r>
              <w:rPr>
                <w:rFonts w:ascii="宋体" w:eastAsia="宋体" w:hAnsi="宋体"/>
                <w:szCs w:val="21"/>
              </w:rPr>
              <w:t>。</w:t>
            </w:r>
          </w:p>
          <w:p w14:paraId="616C8DD1" w14:textId="77777777" w:rsidR="007D2C8B" w:rsidRDefault="000C18AF">
            <w:pPr>
              <w:spacing w:line="500" w:lineRule="exact"/>
              <w:rPr>
                <w:rFonts w:ascii="宋体" w:eastAsia="宋体" w:hAnsi="宋体"/>
                <w:color w:val="333333"/>
                <w:spacing w:val="8"/>
                <w:szCs w:val="21"/>
                <w:shd w:val="clear" w:color="auto" w:fill="FFFFFF"/>
              </w:rPr>
            </w:pPr>
            <w:r>
              <w:rPr>
                <w:rFonts w:ascii="宋体" w:eastAsia="宋体" w:hAnsi="宋体" w:hint="eastAsia"/>
                <w:szCs w:val="21"/>
              </w:rPr>
              <w:t>如欲取得更多公司相关资料，请浏览：</w:t>
            </w:r>
            <w:r>
              <w:rPr>
                <w:rFonts w:ascii="宋体" w:eastAsia="宋体" w:hAnsi="宋体"/>
                <w:szCs w:val="21"/>
              </w:rPr>
              <w:t>www.huahonggrace.com.</w:t>
            </w:r>
          </w:p>
        </w:tc>
      </w:tr>
      <w:tr w:rsidR="007D2C8B" w14:paraId="1FD42EF9" w14:textId="77777777">
        <w:tc>
          <w:tcPr>
            <w:tcW w:w="2122" w:type="dxa"/>
            <w:vAlign w:val="center"/>
          </w:tcPr>
          <w:p w14:paraId="095D2BD8" w14:textId="77777777" w:rsidR="007D2C8B" w:rsidRDefault="000C18AF">
            <w:pPr>
              <w:spacing w:line="360" w:lineRule="auto"/>
              <w:rPr>
                <w:rFonts w:ascii="宋体" w:eastAsia="宋体" w:hAnsi="宋体"/>
                <w:szCs w:val="21"/>
              </w:rPr>
            </w:pPr>
            <w:r>
              <w:rPr>
                <w:rFonts w:ascii="宋体" w:eastAsia="宋体" w:hAnsi="宋体" w:hint="eastAsia"/>
                <w:szCs w:val="21"/>
              </w:rPr>
              <w:lastRenderedPageBreak/>
              <w:t>投资者关系活动主要内容</w:t>
            </w:r>
          </w:p>
        </w:tc>
        <w:tc>
          <w:tcPr>
            <w:tcW w:w="6174" w:type="dxa"/>
            <w:vAlign w:val="center"/>
          </w:tcPr>
          <w:p w14:paraId="789377EE" w14:textId="77777777" w:rsidR="007D2C8B" w:rsidRDefault="007D2C8B">
            <w:pPr>
              <w:rPr>
                <w:rFonts w:ascii="宋体" w:eastAsia="宋体" w:hAnsi="宋体"/>
                <w:b/>
                <w:szCs w:val="21"/>
              </w:rPr>
            </w:pPr>
          </w:p>
          <w:p w14:paraId="5E00F1E3" w14:textId="77777777" w:rsidR="007D2C8B" w:rsidRDefault="000C18AF">
            <w:pPr>
              <w:rPr>
                <w:rFonts w:ascii="宋体" w:eastAsia="宋体" w:hAnsi="宋体"/>
                <w:b/>
                <w:szCs w:val="21"/>
              </w:rPr>
            </w:pPr>
            <w:r>
              <w:rPr>
                <w:rFonts w:ascii="宋体" w:eastAsia="宋体" w:hAnsi="宋体" w:hint="eastAsia"/>
                <w:b/>
                <w:szCs w:val="21"/>
              </w:rPr>
              <w:t>总裁致辞</w:t>
            </w:r>
          </w:p>
          <w:p w14:paraId="7423342F" w14:textId="77777777" w:rsidR="007D2C8B" w:rsidRDefault="007D2C8B">
            <w:pPr>
              <w:rPr>
                <w:rFonts w:ascii="宋体" w:eastAsia="宋体" w:hAnsi="宋体"/>
                <w:b/>
                <w:szCs w:val="21"/>
              </w:rPr>
            </w:pPr>
          </w:p>
          <w:p w14:paraId="39A6FC21" w14:textId="77777777" w:rsidR="007D2C8B" w:rsidRDefault="000C18AF">
            <w:pPr>
              <w:rPr>
                <w:rFonts w:ascii="宋体" w:eastAsia="宋体" w:hAnsi="宋体" w:cs="Arial"/>
                <w:szCs w:val="21"/>
              </w:rPr>
            </w:pPr>
            <w:r>
              <w:rPr>
                <w:rFonts w:ascii="宋体" w:eastAsia="宋体" w:hAnsi="宋体" w:cs="Arial" w:hint="eastAsia"/>
                <w:szCs w:val="21"/>
              </w:rPr>
              <w:t>公司总裁兼执行董事白鹏先生对二零二四年第四季度及全年业绩评论道:</w:t>
            </w:r>
          </w:p>
          <w:p w14:paraId="45E045AB" w14:textId="77777777" w:rsidR="007D2C8B" w:rsidRDefault="007D2C8B">
            <w:pPr>
              <w:rPr>
                <w:rFonts w:ascii="宋体" w:eastAsia="宋体" w:hAnsi="宋体" w:cs="Arial"/>
                <w:szCs w:val="21"/>
              </w:rPr>
            </w:pPr>
          </w:p>
          <w:p w14:paraId="68FE38B7" w14:textId="77777777" w:rsidR="007D2C8B" w:rsidRDefault="000C18AF">
            <w:pPr>
              <w:rPr>
                <w:rFonts w:ascii="宋体" w:eastAsia="宋体" w:hAnsi="宋体" w:cs="Arial"/>
                <w:szCs w:val="21"/>
              </w:rPr>
            </w:pPr>
            <w:r>
              <w:rPr>
                <w:rFonts w:ascii="宋体" w:eastAsia="宋体" w:hAnsi="宋体" w:cs="Arial" w:hint="eastAsia"/>
                <w:szCs w:val="21"/>
              </w:rPr>
              <w:t>“很荣幸首次代表华虹半导体参与业绩发布。公司二零二四年第四季度销售收入为5.39亿美元, 单季度毛利率为11.4%, 均符合指引。二零二四年全年实现销售收入20.04亿美元,全年毛利率为 10.2%。”</w:t>
            </w:r>
          </w:p>
          <w:p w14:paraId="2EA59D52" w14:textId="77777777" w:rsidR="007D2C8B" w:rsidRDefault="000C18AF">
            <w:pPr>
              <w:rPr>
                <w:rFonts w:ascii="宋体" w:eastAsia="宋体" w:hAnsi="宋体" w:cs="Arial"/>
                <w:szCs w:val="21"/>
              </w:rPr>
            </w:pPr>
            <w:r>
              <w:rPr>
                <w:rFonts w:ascii="宋体" w:eastAsia="宋体" w:hAnsi="宋体" w:cs="Arial" w:hint="eastAsia"/>
                <w:szCs w:val="21"/>
              </w:rPr>
              <w:t>“对华虹半导体而言,2024年是挑战与机遇并存的一年。市场需求复杂多变,消费领域复苏、部分新兴应用市场快速成长,带动公司图像传感器、电源管理等平台表现良好, 但中高端功率器件的需求仍待改善。面对激烈的市场竞争,公司仍保持了营收与产能的稳定,整体业绩呈现逐季提升趋势。全年平均产能利用率接近100%,  在全球晶圆代工企业中处于领先水平。”</w:t>
            </w:r>
          </w:p>
          <w:p w14:paraId="27D17E63" w14:textId="77777777" w:rsidR="007D2C8B" w:rsidRDefault="000C18AF">
            <w:pPr>
              <w:rPr>
                <w:rFonts w:ascii="宋体" w:eastAsia="宋体" w:hAnsi="宋体" w:cs="Arial"/>
                <w:szCs w:val="21"/>
              </w:rPr>
            </w:pPr>
            <w:proofErr w:type="gramStart"/>
            <w:r>
              <w:rPr>
                <w:rFonts w:ascii="宋体" w:eastAsia="宋体" w:hAnsi="宋体" w:cs="Arial" w:hint="eastAsia"/>
                <w:szCs w:val="21"/>
              </w:rPr>
              <w:t>白总继续</w:t>
            </w:r>
            <w:proofErr w:type="gramEnd"/>
            <w:r>
              <w:rPr>
                <w:rFonts w:ascii="宋体" w:eastAsia="宋体" w:hAnsi="宋体" w:cs="Arial" w:hint="eastAsia"/>
                <w:szCs w:val="21"/>
              </w:rPr>
              <w:t>补充道:“2024 年也是继往开来的一年。公司位于无锡的第二条12 英寸产线顺利建成投产,标志着公司在战略发展路上又迈上了一个新台阶。2025年,华虹半导体将围绕新工艺平台和各工艺平台的迭代加强研发投入,扩大新产线的产能,围绕关键新兴产业不断变化的需求,继续与国内外重点客户建立战略合作,进一步夯实公司在特色工艺晶圆代工领域的领先地位。同时,公司也将进一步提升营运效率和加强成本控制,为股东创造出更大的价值。”</w:t>
            </w:r>
          </w:p>
          <w:p w14:paraId="22E78998" w14:textId="77777777" w:rsidR="007D2C8B" w:rsidRDefault="007D2C8B">
            <w:pPr>
              <w:rPr>
                <w:rFonts w:ascii="宋体" w:eastAsia="宋体" w:hAnsi="宋体" w:cs="Arial"/>
                <w:szCs w:val="21"/>
              </w:rPr>
            </w:pPr>
          </w:p>
          <w:p w14:paraId="44F581B3" w14:textId="77777777" w:rsidR="007D2C8B" w:rsidRDefault="007D2C8B">
            <w:pPr>
              <w:rPr>
                <w:rFonts w:ascii="宋体" w:eastAsia="宋体" w:hAnsi="宋体" w:cs="Arial"/>
                <w:szCs w:val="21"/>
              </w:rPr>
            </w:pPr>
          </w:p>
          <w:p w14:paraId="215E3815" w14:textId="77777777" w:rsidR="007D2C8B" w:rsidRDefault="000C18AF">
            <w:pPr>
              <w:rPr>
                <w:rFonts w:ascii="宋体" w:eastAsia="宋体" w:hAnsi="宋体"/>
                <w:b/>
                <w:szCs w:val="21"/>
              </w:rPr>
            </w:pPr>
            <w:r>
              <w:rPr>
                <w:rFonts w:ascii="宋体" w:eastAsia="宋体" w:hAnsi="宋体" w:hint="eastAsia"/>
                <w:b/>
                <w:szCs w:val="21"/>
              </w:rPr>
              <w:t>财务摘要</w:t>
            </w:r>
          </w:p>
          <w:p w14:paraId="2CF009F1" w14:textId="77777777" w:rsidR="007D2C8B" w:rsidRDefault="007D2C8B">
            <w:pPr>
              <w:rPr>
                <w:rFonts w:ascii="宋体" w:eastAsia="宋体" w:hAnsi="宋体"/>
                <w:b/>
                <w:szCs w:val="21"/>
              </w:rPr>
            </w:pPr>
          </w:p>
          <w:p w14:paraId="31498D65" w14:textId="77777777" w:rsidR="007D2C8B" w:rsidRDefault="000C18AF">
            <w:pPr>
              <w:rPr>
                <w:rFonts w:ascii="宋体" w:eastAsia="宋体" w:hAnsi="宋体" w:cs="Arial"/>
                <w:szCs w:val="21"/>
              </w:rPr>
            </w:pPr>
            <w:r>
              <w:rPr>
                <w:rFonts w:ascii="宋体" w:eastAsia="宋体" w:hAnsi="宋体" w:cs="Arial" w:hint="eastAsia"/>
                <w:szCs w:val="21"/>
              </w:rPr>
              <w:t>二零二四年第四季度主要财务指标（未经审核）</w:t>
            </w:r>
          </w:p>
          <w:p w14:paraId="39DDC215" w14:textId="77777777" w:rsidR="007D2C8B" w:rsidRDefault="000C18AF">
            <w:pPr>
              <w:pStyle w:val="ae"/>
              <w:numPr>
                <w:ilvl w:val="0"/>
                <w:numId w:val="1"/>
              </w:numPr>
              <w:ind w:firstLineChars="0"/>
              <w:rPr>
                <w:rFonts w:ascii="宋体" w:eastAsia="宋体" w:hAnsi="宋体" w:cs="Arial"/>
                <w:szCs w:val="21"/>
              </w:rPr>
            </w:pPr>
            <w:r>
              <w:rPr>
                <w:rFonts w:ascii="宋体" w:eastAsia="宋体" w:hAnsi="宋体" w:cs="Arial" w:hint="eastAsia"/>
                <w:szCs w:val="21"/>
              </w:rPr>
              <w:t>销售收入5</w:t>
            </w:r>
            <w:r>
              <w:rPr>
                <w:rFonts w:ascii="宋体" w:eastAsia="宋体" w:hAnsi="宋体" w:cs="Arial"/>
                <w:szCs w:val="21"/>
              </w:rPr>
              <w:t>.</w:t>
            </w:r>
            <w:r>
              <w:rPr>
                <w:rFonts w:ascii="宋体" w:eastAsia="宋体" w:hAnsi="宋体" w:cs="Arial" w:hint="eastAsia"/>
                <w:szCs w:val="21"/>
              </w:rPr>
              <w:t>392</w:t>
            </w:r>
            <w:r>
              <w:rPr>
                <w:rFonts w:ascii="宋体" w:eastAsia="宋体" w:hAnsi="宋体" w:cs="Arial"/>
                <w:szCs w:val="21"/>
              </w:rPr>
              <w:t>亿美元，</w:t>
            </w:r>
            <w:r>
              <w:rPr>
                <w:rFonts w:ascii="宋体" w:eastAsia="宋体" w:hAnsi="宋体" w:cs="Arial" w:hint="eastAsia"/>
                <w:szCs w:val="21"/>
              </w:rPr>
              <w:t>同比增长18.4%</w:t>
            </w:r>
            <w:r>
              <w:rPr>
                <w:rFonts w:ascii="宋体" w:eastAsia="宋体" w:hAnsi="宋体" w:cs="Arial"/>
                <w:szCs w:val="21"/>
              </w:rPr>
              <w:t>，</w:t>
            </w:r>
            <w:r>
              <w:rPr>
                <w:rFonts w:ascii="宋体" w:eastAsia="宋体" w:hAnsi="宋体" w:cs="Arial" w:hint="eastAsia"/>
                <w:szCs w:val="21"/>
              </w:rPr>
              <w:t>环比增长2.4%</w:t>
            </w:r>
            <w:r>
              <w:rPr>
                <w:rFonts w:ascii="宋体" w:eastAsia="宋体" w:hAnsi="宋体" w:cs="Arial"/>
                <w:szCs w:val="21"/>
              </w:rPr>
              <w:t>。</w:t>
            </w:r>
          </w:p>
          <w:p w14:paraId="39941D8E" w14:textId="77777777" w:rsidR="007D2C8B" w:rsidRDefault="000C18AF">
            <w:pPr>
              <w:pStyle w:val="ae"/>
              <w:numPr>
                <w:ilvl w:val="0"/>
                <w:numId w:val="1"/>
              </w:numPr>
              <w:ind w:firstLineChars="0"/>
              <w:rPr>
                <w:rFonts w:ascii="宋体" w:eastAsia="宋体" w:hAnsi="宋体" w:cs="Arial"/>
                <w:szCs w:val="21"/>
              </w:rPr>
            </w:pPr>
            <w:r>
              <w:rPr>
                <w:rFonts w:ascii="宋体" w:eastAsia="宋体" w:hAnsi="宋体" w:cs="Arial" w:hint="eastAsia"/>
                <w:szCs w:val="21"/>
              </w:rPr>
              <w:t>毛利率11.4</w:t>
            </w:r>
            <w:r>
              <w:rPr>
                <w:rFonts w:ascii="宋体" w:eastAsia="宋体" w:hAnsi="宋体" w:cs="Arial"/>
                <w:szCs w:val="21"/>
              </w:rPr>
              <w:t>%，</w:t>
            </w:r>
            <w:r>
              <w:rPr>
                <w:rFonts w:ascii="宋体" w:eastAsia="宋体" w:hAnsi="宋体" w:cs="Arial" w:hint="eastAsia"/>
                <w:szCs w:val="21"/>
              </w:rPr>
              <w:t>同比增长7.4个百分点</w:t>
            </w:r>
            <w:r>
              <w:rPr>
                <w:rFonts w:ascii="宋体" w:eastAsia="宋体" w:hAnsi="宋体" w:cs="Arial"/>
                <w:szCs w:val="21"/>
              </w:rPr>
              <w:t>，</w:t>
            </w:r>
            <w:r>
              <w:rPr>
                <w:rFonts w:ascii="宋体" w:eastAsia="宋体" w:hAnsi="宋体" w:cs="Arial" w:hint="eastAsia"/>
                <w:szCs w:val="21"/>
              </w:rPr>
              <w:t>环比下降0.8个百分点</w:t>
            </w:r>
            <w:r>
              <w:rPr>
                <w:rFonts w:ascii="宋体" w:eastAsia="宋体" w:hAnsi="宋体" w:cs="Arial"/>
                <w:szCs w:val="21"/>
              </w:rPr>
              <w:t>。</w:t>
            </w:r>
          </w:p>
          <w:p w14:paraId="11516CEC" w14:textId="77777777" w:rsidR="007D2C8B" w:rsidRDefault="000C18AF">
            <w:pPr>
              <w:pStyle w:val="ae"/>
              <w:numPr>
                <w:ilvl w:val="0"/>
                <w:numId w:val="1"/>
              </w:numPr>
              <w:ind w:firstLineChars="0"/>
              <w:rPr>
                <w:rFonts w:ascii="宋体" w:eastAsia="宋体" w:hAnsi="宋体" w:cs="Arial"/>
                <w:szCs w:val="21"/>
              </w:rPr>
            </w:pPr>
            <w:r>
              <w:rPr>
                <w:rFonts w:ascii="宋体" w:eastAsia="宋体" w:hAnsi="宋体" w:cs="Arial" w:hint="eastAsia"/>
                <w:szCs w:val="21"/>
              </w:rPr>
              <w:t>母公司拥有人应</w:t>
            </w:r>
            <w:proofErr w:type="gramStart"/>
            <w:r>
              <w:rPr>
                <w:rFonts w:ascii="宋体" w:eastAsia="宋体" w:hAnsi="宋体" w:cs="Arial" w:hint="eastAsia"/>
                <w:szCs w:val="21"/>
              </w:rPr>
              <w:t>占损失</w:t>
            </w:r>
            <w:proofErr w:type="gramEnd"/>
            <w:r>
              <w:rPr>
                <w:rFonts w:ascii="宋体" w:eastAsia="宋体" w:hAnsi="宋体" w:cs="Arial" w:hint="eastAsia"/>
                <w:szCs w:val="21"/>
              </w:rPr>
              <w:t>2,520</w:t>
            </w:r>
            <w:r>
              <w:rPr>
                <w:rFonts w:ascii="宋体" w:eastAsia="宋体" w:hAnsi="宋体" w:cs="Arial"/>
                <w:szCs w:val="21"/>
              </w:rPr>
              <w:t>万美元</w:t>
            </w:r>
            <w:r>
              <w:rPr>
                <w:rFonts w:ascii="宋体" w:eastAsia="宋体" w:hAnsi="宋体" w:cs="Arial" w:hint="eastAsia"/>
                <w:szCs w:val="21"/>
              </w:rPr>
              <w:t>，上年同期及上季度分别为母公司拥有人</w:t>
            </w:r>
            <w:proofErr w:type="gramStart"/>
            <w:r>
              <w:rPr>
                <w:rFonts w:ascii="宋体" w:eastAsia="宋体" w:hAnsi="宋体" w:cs="Arial" w:hint="eastAsia"/>
                <w:szCs w:val="21"/>
              </w:rPr>
              <w:t>应占溢利</w:t>
            </w:r>
            <w:proofErr w:type="gramEnd"/>
            <w:r>
              <w:rPr>
                <w:rFonts w:ascii="宋体" w:eastAsia="宋体" w:hAnsi="宋体" w:cs="Arial" w:hint="eastAsia"/>
                <w:szCs w:val="21"/>
              </w:rPr>
              <w:t>3,540万美元及4,480万美元,  主要由于本季度为外币汇兑损失,而上年同期及上季度均为外币汇兑收益。</w:t>
            </w:r>
          </w:p>
          <w:p w14:paraId="232F834C" w14:textId="77777777" w:rsidR="007D2C8B" w:rsidRDefault="007D2C8B">
            <w:pPr>
              <w:rPr>
                <w:rFonts w:ascii="宋体" w:eastAsia="宋体" w:hAnsi="宋体" w:cs="Arial"/>
                <w:szCs w:val="21"/>
              </w:rPr>
            </w:pPr>
          </w:p>
          <w:p w14:paraId="179D5B54" w14:textId="77777777" w:rsidR="007D2C8B" w:rsidRDefault="000C18AF">
            <w:pPr>
              <w:rPr>
                <w:rFonts w:ascii="宋体" w:eastAsia="宋体" w:hAnsi="宋体" w:cs="Arial"/>
                <w:szCs w:val="21"/>
              </w:rPr>
            </w:pPr>
            <w:r>
              <w:rPr>
                <w:rFonts w:ascii="宋体" w:eastAsia="宋体" w:hAnsi="宋体" w:cs="Arial" w:hint="eastAsia"/>
                <w:szCs w:val="21"/>
              </w:rPr>
              <w:t>二零二五年第一季度指引</w:t>
            </w:r>
          </w:p>
          <w:p w14:paraId="48A724C9" w14:textId="77777777" w:rsidR="007D2C8B" w:rsidRDefault="000C18AF">
            <w:pPr>
              <w:pStyle w:val="ae"/>
              <w:numPr>
                <w:ilvl w:val="0"/>
                <w:numId w:val="2"/>
              </w:numPr>
              <w:ind w:firstLineChars="0"/>
              <w:rPr>
                <w:rFonts w:ascii="宋体" w:eastAsia="宋体" w:hAnsi="宋体" w:cs="Arial"/>
                <w:szCs w:val="21"/>
              </w:rPr>
            </w:pPr>
            <w:r>
              <w:rPr>
                <w:rFonts w:ascii="宋体" w:eastAsia="宋体" w:hAnsi="宋体" w:cs="Arial" w:hint="eastAsia"/>
                <w:szCs w:val="21"/>
              </w:rPr>
              <w:t>我们预计销售收入约在5</w:t>
            </w:r>
            <w:r>
              <w:rPr>
                <w:rFonts w:ascii="宋体" w:eastAsia="宋体" w:hAnsi="宋体" w:cs="Arial"/>
                <w:szCs w:val="21"/>
              </w:rPr>
              <w:t>.</w:t>
            </w:r>
            <w:r>
              <w:rPr>
                <w:rFonts w:ascii="宋体" w:eastAsia="宋体" w:hAnsi="宋体" w:cs="Arial" w:hint="eastAsia"/>
                <w:szCs w:val="21"/>
              </w:rPr>
              <w:t>3</w:t>
            </w:r>
            <w:r>
              <w:rPr>
                <w:rFonts w:ascii="宋体" w:eastAsia="宋体" w:hAnsi="宋体" w:cs="Arial"/>
                <w:szCs w:val="21"/>
              </w:rPr>
              <w:t xml:space="preserve"> 亿美元至5.</w:t>
            </w:r>
            <w:r>
              <w:rPr>
                <w:rFonts w:ascii="宋体" w:eastAsia="宋体" w:hAnsi="宋体" w:cs="Arial" w:hint="eastAsia"/>
                <w:szCs w:val="21"/>
              </w:rPr>
              <w:t>5</w:t>
            </w:r>
            <w:r>
              <w:rPr>
                <w:rFonts w:ascii="宋体" w:eastAsia="宋体" w:hAnsi="宋体" w:cs="Arial"/>
                <w:szCs w:val="21"/>
              </w:rPr>
              <w:t>亿美元之间。</w:t>
            </w:r>
          </w:p>
          <w:p w14:paraId="66B10003" w14:textId="77777777" w:rsidR="007D2C8B" w:rsidRDefault="000C18AF">
            <w:pPr>
              <w:pStyle w:val="ae"/>
              <w:numPr>
                <w:ilvl w:val="0"/>
                <w:numId w:val="2"/>
              </w:numPr>
              <w:ind w:firstLineChars="0"/>
              <w:rPr>
                <w:rFonts w:ascii="宋体" w:eastAsia="宋体" w:hAnsi="宋体" w:cs="Arial"/>
                <w:szCs w:val="21"/>
              </w:rPr>
            </w:pPr>
            <w:r>
              <w:rPr>
                <w:rFonts w:ascii="宋体" w:eastAsia="宋体" w:hAnsi="宋体" w:cs="Arial" w:hint="eastAsia"/>
                <w:szCs w:val="21"/>
              </w:rPr>
              <w:lastRenderedPageBreak/>
              <w:t>我们预计毛利率约在9</w:t>
            </w:r>
            <w:r>
              <w:rPr>
                <w:rFonts w:ascii="宋体" w:eastAsia="宋体" w:hAnsi="宋体" w:cs="Arial"/>
                <w:szCs w:val="21"/>
              </w:rPr>
              <w:t>%至</w:t>
            </w:r>
            <w:r>
              <w:rPr>
                <w:rFonts w:ascii="宋体" w:eastAsia="宋体" w:hAnsi="宋体" w:cs="Arial" w:hint="eastAsia"/>
                <w:szCs w:val="21"/>
              </w:rPr>
              <w:t>11</w:t>
            </w:r>
            <w:r>
              <w:rPr>
                <w:rFonts w:ascii="宋体" w:eastAsia="宋体" w:hAnsi="宋体" w:cs="Arial"/>
                <w:szCs w:val="21"/>
              </w:rPr>
              <w:t>%之间。</w:t>
            </w:r>
          </w:p>
          <w:p w14:paraId="56F3707B" w14:textId="77777777" w:rsidR="007D2C8B" w:rsidRDefault="007D2C8B">
            <w:pPr>
              <w:widowControl/>
              <w:rPr>
                <w:rFonts w:ascii="宋体" w:eastAsia="宋体" w:hAnsi="宋体"/>
                <w:szCs w:val="21"/>
              </w:rPr>
            </w:pPr>
          </w:p>
          <w:p w14:paraId="6E4CE76E" w14:textId="77777777" w:rsidR="007D2C8B" w:rsidRDefault="000C18AF">
            <w:pPr>
              <w:widowControl/>
              <w:rPr>
                <w:rFonts w:ascii="宋体" w:eastAsia="宋体" w:hAnsi="宋体"/>
                <w:szCs w:val="21"/>
              </w:rPr>
            </w:pPr>
            <w:r>
              <w:rPr>
                <w:rFonts w:ascii="宋体" w:eastAsia="宋体" w:hAnsi="宋体"/>
                <w:szCs w:val="21"/>
              </w:rPr>
              <w:br w:type="page"/>
            </w:r>
          </w:p>
          <w:p w14:paraId="56DF1B51" w14:textId="77777777" w:rsidR="007D2C8B" w:rsidRDefault="000C18AF">
            <w:pPr>
              <w:rPr>
                <w:rFonts w:ascii="宋体" w:eastAsia="宋体" w:hAnsi="宋体"/>
                <w:b/>
                <w:szCs w:val="21"/>
              </w:rPr>
            </w:pPr>
            <w:r>
              <w:rPr>
                <w:rFonts w:ascii="宋体" w:eastAsia="宋体" w:hAnsi="宋体"/>
                <w:b/>
                <w:szCs w:val="21"/>
              </w:rPr>
              <w:t>问答环节</w:t>
            </w:r>
          </w:p>
          <w:p w14:paraId="29570157" w14:textId="77777777" w:rsidR="007D2C8B" w:rsidRDefault="007D2C8B">
            <w:pPr>
              <w:rPr>
                <w:rFonts w:ascii="宋体" w:eastAsia="宋体" w:hAnsi="宋体"/>
                <w:szCs w:val="21"/>
              </w:rPr>
            </w:pPr>
          </w:p>
          <w:p w14:paraId="6A1148C8" w14:textId="77777777" w:rsidR="007D2C8B" w:rsidRDefault="000C18AF">
            <w:pPr>
              <w:numPr>
                <w:ilvl w:val="0"/>
                <w:numId w:val="3"/>
              </w:numPr>
              <w:spacing w:before="60" w:after="60"/>
              <w:jc w:val="left"/>
              <w:rPr>
                <w:rFonts w:ascii="宋体" w:eastAsia="宋体" w:hAnsi="宋体"/>
                <w:szCs w:val="21"/>
              </w:rPr>
            </w:pPr>
            <w:r>
              <w:rPr>
                <w:rFonts w:ascii="宋体" w:eastAsia="宋体" w:hAnsi="宋体"/>
                <w:szCs w:val="21"/>
              </w:rPr>
              <w:t>问：</w:t>
            </w:r>
            <w:r>
              <w:rPr>
                <w:rFonts w:ascii="宋体" w:eastAsia="宋体" w:hAnsi="宋体" w:hint="eastAsia"/>
                <w:szCs w:val="21"/>
              </w:rPr>
              <w:t>请问公司新的管理层会带来哪些战略和经营上的变化及举措，例如降本增效，以及供应链的本土化？</w:t>
            </w:r>
          </w:p>
          <w:p w14:paraId="7869998B" w14:textId="77777777" w:rsidR="007D2C8B" w:rsidRDefault="000C18AF">
            <w:pPr>
              <w:ind w:left="336"/>
              <w:rPr>
                <w:rFonts w:ascii="宋体" w:eastAsia="宋体" w:hAnsi="宋体"/>
                <w:szCs w:val="21"/>
              </w:rPr>
            </w:pPr>
            <w:r>
              <w:rPr>
                <w:rFonts w:ascii="宋体" w:eastAsia="宋体" w:hAnsi="宋体"/>
                <w:szCs w:val="21"/>
              </w:rPr>
              <w:t>答：</w:t>
            </w:r>
            <w:r>
              <w:rPr>
                <w:rFonts w:ascii="宋体" w:eastAsia="宋体" w:hAnsi="宋体" w:hint="eastAsia"/>
                <w:szCs w:val="21"/>
              </w:rPr>
              <w:t>是的，公司的确非常重视并努力推进降本增效和供应链本土化的战略，涉及设备、材料及备件等方面，这不仅仅是为了降低成本，也是确保供应链的安全。此外，这也是整体提升战略的一部分，其他还包括优化技术和工艺平台，推动销售和市场策略等方面。</w:t>
            </w:r>
          </w:p>
          <w:p w14:paraId="358CB600" w14:textId="77777777" w:rsidR="007D2C8B" w:rsidRDefault="000C18AF">
            <w:pPr>
              <w:ind w:left="336"/>
              <w:rPr>
                <w:rFonts w:ascii="宋体" w:eastAsia="宋体" w:hAnsi="宋体"/>
                <w:szCs w:val="21"/>
              </w:rPr>
            </w:pPr>
            <w:r>
              <w:rPr>
                <w:rFonts w:ascii="宋体" w:eastAsia="宋体" w:hAnsi="宋体"/>
                <w:szCs w:val="21"/>
              </w:rPr>
              <w:t xml:space="preserve"> </w:t>
            </w:r>
          </w:p>
          <w:p w14:paraId="28E963DF" w14:textId="77777777" w:rsidR="007D2C8B" w:rsidRDefault="000C18AF">
            <w:pPr>
              <w:numPr>
                <w:ilvl w:val="0"/>
                <w:numId w:val="3"/>
              </w:numPr>
              <w:spacing w:before="60" w:after="60"/>
              <w:jc w:val="left"/>
              <w:rPr>
                <w:rFonts w:ascii="宋体" w:eastAsia="宋体" w:hAnsi="宋体"/>
                <w:szCs w:val="21"/>
              </w:rPr>
            </w:pPr>
            <w:r>
              <w:rPr>
                <w:rFonts w:ascii="宋体" w:eastAsia="宋体" w:hAnsi="宋体" w:cs="Calibri"/>
                <w:szCs w:val="21"/>
              </w:rPr>
              <w:t>问：</w:t>
            </w:r>
            <w:r>
              <w:rPr>
                <w:rFonts w:ascii="宋体" w:eastAsia="宋体" w:hAnsi="宋体" w:cs="Calibri" w:hint="eastAsia"/>
                <w:szCs w:val="21"/>
              </w:rPr>
              <w:t>关于下游终端市场，工业与汽车板块在2024年比较疲软，我们注意到其库存情况似乎在改善，公司如何看待其2025年的情况？以及对于研发、新产品、新平台的发展，公司有何分享内容，重点发力的平台有哪些？</w:t>
            </w:r>
          </w:p>
          <w:p w14:paraId="02502A7F" w14:textId="77777777" w:rsidR="007D2C8B" w:rsidRDefault="000C18AF">
            <w:pPr>
              <w:ind w:left="336"/>
              <w:rPr>
                <w:rFonts w:ascii="宋体" w:eastAsia="宋体" w:hAnsi="宋体" w:cs="Calibri"/>
                <w:szCs w:val="21"/>
              </w:rPr>
            </w:pPr>
            <w:r>
              <w:rPr>
                <w:rFonts w:ascii="宋体" w:eastAsia="宋体" w:hAnsi="宋体" w:cs="Calibri"/>
                <w:szCs w:val="21"/>
              </w:rPr>
              <w:t>答：</w:t>
            </w:r>
            <w:r>
              <w:rPr>
                <w:rFonts w:ascii="宋体" w:eastAsia="宋体" w:hAnsi="宋体" w:cs="Calibri" w:hint="eastAsia"/>
                <w:szCs w:val="21"/>
              </w:rPr>
              <w:t>是的，我们认为终端市场如汽车及一些新能源领域，库存修正大体上已经完成，公司对终端市场保持谨慎乐观，需求会回归正常。这部分的市场虽然存在年度间的波动，但仍是一个非常巨大和增长的市场。随着其库存修正的基本完成，我们也将通过研发和技术平台的提升，开发功率器件、MCU等平台的新产品，来更好的服务市场。</w:t>
            </w:r>
          </w:p>
          <w:p w14:paraId="3E11FC71" w14:textId="61363B05" w:rsidR="007D2C8B" w:rsidRDefault="000C18AF">
            <w:pPr>
              <w:ind w:left="336"/>
              <w:rPr>
                <w:rFonts w:ascii="宋体" w:eastAsia="宋体" w:hAnsi="宋体" w:cs="Calibri"/>
                <w:szCs w:val="21"/>
              </w:rPr>
            </w:pPr>
            <w:r>
              <w:rPr>
                <w:rFonts w:ascii="宋体" w:eastAsia="宋体" w:hAnsi="宋体" w:cs="Calibri" w:hint="eastAsia"/>
                <w:szCs w:val="21"/>
              </w:rPr>
              <w:t>关于研发方面，依托无锡新12英寸产线，我们会大力推进关键技术平台的提升，包括55nm及40nm MCU工艺平台等，因此收入上也会体现在更先进节点上的收益。功率器件方面，我们也会聚焦一些重点的高压领域，来更好的满足汽车、工业等方面的高端化需求。</w:t>
            </w:r>
          </w:p>
          <w:p w14:paraId="533E95AF" w14:textId="77777777" w:rsidR="007D2C8B" w:rsidRDefault="007D2C8B">
            <w:pPr>
              <w:ind w:left="336"/>
              <w:rPr>
                <w:rFonts w:ascii="宋体" w:eastAsia="宋体" w:hAnsi="宋体"/>
                <w:szCs w:val="21"/>
              </w:rPr>
            </w:pPr>
          </w:p>
          <w:p w14:paraId="43DBD70D" w14:textId="77777777" w:rsidR="007D2C8B" w:rsidRDefault="000C18AF">
            <w:pPr>
              <w:numPr>
                <w:ilvl w:val="0"/>
                <w:numId w:val="3"/>
              </w:numPr>
              <w:spacing w:before="60" w:after="60"/>
              <w:jc w:val="left"/>
              <w:rPr>
                <w:rFonts w:ascii="宋体" w:eastAsia="宋体" w:hAnsi="宋体"/>
                <w:szCs w:val="21"/>
              </w:rPr>
            </w:pPr>
            <w:r>
              <w:rPr>
                <w:rFonts w:ascii="宋体" w:eastAsia="宋体" w:hAnsi="宋体"/>
                <w:szCs w:val="21"/>
              </w:rPr>
              <w:t>问：</w:t>
            </w:r>
            <w:r>
              <w:rPr>
                <w:rFonts w:ascii="宋体" w:eastAsia="宋体" w:hAnsi="宋体" w:hint="eastAsia"/>
                <w:szCs w:val="21"/>
              </w:rPr>
              <w:t>请公司新管理</w:t>
            </w:r>
            <w:proofErr w:type="gramStart"/>
            <w:r>
              <w:rPr>
                <w:rFonts w:ascii="宋体" w:eastAsia="宋体" w:hAnsi="宋体" w:hint="eastAsia"/>
                <w:szCs w:val="21"/>
              </w:rPr>
              <w:t>层评价</w:t>
            </w:r>
            <w:proofErr w:type="gramEnd"/>
            <w:r>
              <w:rPr>
                <w:rFonts w:ascii="宋体" w:eastAsia="宋体" w:hAnsi="宋体" w:hint="eastAsia"/>
                <w:szCs w:val="21"/>
              </w:rPr>
              <w:t>一下华虹半导体在全球半导体行业中的优势和定位，以及</w:t>
            </w:r>
            <w:proofErr w:type="gramStart"/>
            <w:r>
              <w:rPr>
                <w:rFonts w:ascii="宋体" w:eastAsia="宋体" w:hAnsi="宋体" w:hint="eastAsia"/>
                <w:szCs w:val="21"/>
              </w:rPr>
              <w:t>鉴于白总有</w:t>
            </w:r>
            <w:proofErr w:type="gramEnd"/>
            <w:r>
              <w:rPr>
                <w:rFonts w:ascii="宋体" w:eastAsia="宋体" w:hAnsi="宋体" w:hint="eastAsia"/>
                <w:szCs w:val="21"/>
              </w:rPr>
              <w:t>丰富的管理经验，是否预示着公司也将继续推进工艺节点的进步?</w:t>
            </w:r>
          </w:p>
          <w:p w14:paraId="54C012AB" w14:textId="3BA24ADE" w:rsidR="007D2C8B" w:rsidRDefault="000C18AF">
            <w:pPr>
              <w:ind w:left="336"/>
              <w:rPr>
                <w:rFonts w:ascii="宋体" w:eastAsia="宋体" w:hAnsi="宋体"/>
                <w:szCs w:val="21"/>
              </w:rPr>
            </w:pPr>
            <w:r>
              <w:rPr>
                <w:rFonts w:ascii="宋体" w:eastAsia="宋体" w:hAnsi="宋体"/>
                <w:szCs w:val="21"/>
              </w:rPr>
              <w:t>答：</w:t>
            </w:r>
            <w:r>
              <w:rPr>
                <w:rFonts w:ascii="宋体" w:eastAsia="宋体" w:hAnsi="宋体" w:hint="eastAsia"/>
                <w:szCs w:val="21"/>
              </w:rPr>
              <w:t>首先，华虹在特色工艺领域有非常深厚的积累，这是公司一直以来的重要优势和立足之本。关于</w:t>
            </w:r>
            <w:r w:rsidR="00527291">
              <w:rPr>
                <w:rFonts w:ascii="宋体" w:eastAsia="宋体" w:hAnsi="宋体" w:hint="eastAsia"/>
                <w:szCs w:val="21"/>
              </w:rPr>
              <w:t>成熟</w:t>
            </w:r>
            <w:r>
              <w:rPr>
                <w:rFonts w:ascii="宋体" w:eastAsia="宋体" w:hAnsi="宋体" w:hint="eastAsia"/>
                <w:szCs w:val="21"/>
              </w:rPr>
              <w:t>工艺节点，业界对其的定义也在一直发生变化，未来，华虹仍将聚焦在成熟工艺节点的特色工艺上，同时也会跟随市场需求前进。具体来看，不同工艺平台在工艺节点上的迁移速度不尽相同，如逻辑、射频、CIS等平台，对工艺节点的迁移</w:t>
            </w:r>
            <w:r w:rsidR="00527291">
              <w:rPr>
                <w:rFonts w:ascii="宋体" w:eastAsia="宋体" w:hAnsi="宋体" w:hint="eastAsia"/>
                <w:szCs w:val="21"/>
              </w:rPr>
              <w:t>相对</w:t>
            </w:r>
            <w:r>
              <w:rPr>
                <w:rFonts w:ascii="宋体" w:eastAsia="宋体" w:hAnsi="宋体" w:hint="eastAsia"/>
                <w:szCs w:val="21"/>
              </w:rPr>
              <w:t>更快；而BCD、模拟与电源管理等平台，迁移的节奏就比较慢。</w:t>
            </w:r>
          </w:p>
          <w:p w14:paraId="37BFF2EA" w14:textId="4F4C559C" w:rsidR="007D2C8B" w:rsidRDefault="000C18AF">
            <w:pPr>
              <w:ind w:left="336"/>
              <w:rPr>
                <w:rFonts w:ascii="宋体" w:eastAsia="宋体" w:hAnsi="宋体"/>
                <w:szCs w:val="21"/>
              </w:rPr>
            </w:pPr>
            <w:r>
              <w:rPr>
                <w:rFonts w:ascii="宋体" w:eastAsia="宋体" w:hAnsi="宋体" w:hint="eastAsia"/>
                <w:szCs w:val="21"/>
              </w:rPr>
              <w:t>作为中国大陆第二大的晶圆代工企业，我们的目标是更快</w:t>
            </w:r>
            <w:r w:rsidR="00527291">
              <w:rPr>
                <w:rFonts w:ascii="宋体" w:eastAsia="宋体" w:hAnsi="宋体" w:hint="eastAsia"/>
                <w:szCs w:val="21"/>
              </w:rPr>
              <w:t>地</w:t>
            </w:r>
            <w:r>
              <w:rPr>
                <w:rFonts w:ascii="宋体" w:eastAsia="宋体" w:hAnsi="宋体" w:hint="eastAsia"/>
                <w:szCs w:val="21"/>
              </w:rPr>
              <w:t>扩大自身的产能及增加我们的工艺组合，以期在成熟工艺节点的市场范畴成为世界领先的企业。</w:t>
            </w:r>
          </w:p>
          <w:p w14:paraId="1C2E2114" w14:textId="77777777" w:rsidR="007D2C8B" w:rsidRDefault="007D2C8B">
            <w:pPr>
              <w:rPr>
                <w:rFonts w:ascii="宋体" w:eastAsia="宋体" w:hAnsi="宋体"/>
                <w:szCs w:val="21"/>
              </w:rPr>
            </w:pPr>
          </w:p>
          <w:p w14:paraId="1ADB4AE8" w14:textId="77777777" w:rsidR="007D2C8B" w:rsidRDefault="000C18AF">
            <w:pPr>
              <w:numPr>
                <w:ilvl w:val="0"/>
                <w:numId w:val="3"/>
              </w:numPr>
              <w:spacing w:before="60" w:after="60"/>
              <w:jc w:val="left"/>
              <w:rPr>
                <w:rFonts w:ascii="宋体" w:eastAsia="宋体" w:hAnsi="宋体"/>
                <w:szCs w:val="21"/>
              </w:rPr>
            </w:pPr>
            <w:r>
              <w:rPr>
                <w:rFonts w:ascii="宋体" w:eastAsia="宋体" w:hAnsi="宋体" w:cs="Calibri"/>
                <w:szCs w:val="21"/>
              </w:rPr>
              <w:lastRenderedPageBreak/>
              <w:t>问：</w:t>
            </w:r>
            <w:r>
              <w:rPr>
                <w:rFonts w:ascii="宋体" w:eastAsia="宋体" w:hAnsi="宋体" w:cs="Calibri" w:hint="eastAsia"/>
                <w:szCs w:val="21"/>
              </w:rPr>
              <w:t>全球半导体产业至2030年将达万亿美元，特别是考虑到AI等领域的发展，市场希望中国公司可以更多的从中获益，根据您对华虹的发展速度和优势地位的理解，华虹将如何从中受益？</w:t>
            </w:r>
          </w:p>
          <w:p w14:paraId="579EF385" w14:textId="53EC9285" w:rsidR="007D2C8B" w:rsidRDefault="000C18AF">
            <w:pPr>
              <w:ind w:left="336"/>
              <w:rPr>
                <w:rFonts w:ascii="宋体" w:eastAsia="宋体" w:hAnsi="宋体"/>
                <w:szCs w:val="21"/>
              </w:rPr>
            </w:pPr>
            <w:r>
              <w:rPr>
                <w:rFonts w:ascii="宋体" w:eastAsia="宋体" w:hAnsi="宋体"/>
                <w:szCs w:val="21"/>
              </w:rPr>
              <w:t>答：</w:t>
            </w:r>
            <w:r>
              <w:rPr>
                <w:rFonts w:ascii="宋体" w:eastAsia="宋体" w:hAnsi="宋体" w:hint="eastAsia"/>
                <w:szCs w:val="21"/>
              </w:rPr>
              <w:t>正如你提到的，2024年半导体领域任何与AI相关的部分都很火爆而其他部分则比较平淡。总体上，华虹公司并不直接参与先进工艺节点或者说生产AI芯片，</w:t>
            </w:r>
            <w:r w:rsidR="00527291">
              <w:rPr>
                <w:rFonts w:ascii="宋体" w:eastAsia="宋体" w:hAnsi="宋体" w:hint="eastAsia"/>
                <w:szCs w:val="21"/>
              </w:rPr>
              <w:t>但在</w:t>
            </w:r>
            <w:r>
              <w:rPr>
                <w:rFonts w:ascii="宋体" w:eastAsia="宋体" w:hAnsi="宋体" w:hint="eastAsia"/>
                <w:szCs w:val="21"/>
              </w:rPr>
              <w:t>其他与AI相关的领域，随着需求的增长，我们的确可以从中受益。例如，</w:t>
            </w:r>
            <w:r w:rsidR="00527291">
              <w:rPr>
                <w:rFonts w:ascii="宋体" w:eastAsia="宋体" w:hAnsi="宋体" w:hint="eastAsia"/>
                <w:szCs w:val="21"/>
              </w:rPr>
              <w:t>在</w:t>
            </w:r>
            <w:r>
              <w:rPr>
                <w:rFonts w:ascii="宋体" w:eastAsia="宋体" w:hAnsi="宋体" w:hint="eastAsia"/>
                <w:szCs w:val="21"/>
              </w:rPr>
              <w:t>数据中心的电源管理领域，我们可以提供功率器件和电源管理芯片等。AI对整个半导体产业是一个令人兴奋的发展，不仅仅对先进工艺节点的产品，对所有伴随的芯片，均会从中受益。华虹更多的是通过非直接的方式从中受益。</w:t>
            </w:r>
          </w:p>
          <w:p w14:paraId="660FCEE8" w14:textId="77777777" w:rsidR="007D2C8B" w:rsidRDefault="007D2C8B">
            <w:pPr>
              <w:rPr>
                <w:rFonts w:ascii="宋体" w:eastAsia="宋体" w:hAnsi="宋体"/>
                <w:szCs w:val="21"/>
              </w:rPr>
            </w:pPr>
          </w:p>
          <w:p w14:paraId="35068CB7" w14:textId="77777777" w:rsidR="007D2C8B" w:rsidRDefault="000C18AF">
            <w:pPr>
              <w:numPr>
                <w:ilvl w:val="0"/>
                <w:numId w:val="3"/>
              </w:numPr>
              <w:spacing w:before="60" w:after="60"/>
              <w:jc w:val="left"/>
              <w:rPr>
                <w:rFonts w:ascii="宋体" w:eastAsia="宋体" w:hAnsi="宋体"/>
                <w:szCs w:val="21"/>
              </w:rPr>
            </w:pPr>
            <w:r>
              <w:rPr>
                <w:rFonts w:ascii="宋体" w:eastAsia="宋体" w:hAnsi="宋体" w:cs="Calibri"/>
                <w:szCs w:val="21"/>
              </w:rPr>
              <w:t>问：</w:t>
            </w:r>
            <w:r>
              <w:rPr>
                <w:rFonts w:ascii="宋体" w:eastAsia="宋体" w:hAnsi="宋体" w:cs="Calibri" w:hint="eastAsia"/>
                <w:szCs w:val="21"/>
              </w:rPr>
              <w:t>我们知道华虹与国际重要半导体厂商ST达成了战略合作，为其“中国在地化”战略提供重要支持，想了解一下未来几年公司在这方面的机会？。</w:t>
            </w:r>
          </w:p>
          <w:p w14:paraId="31F64032" w14:textId="35BDD9E0" w:rsidR="007D2C8B" w:rsidRDefault="000C18AF">
            <w:pPr>
              <w:ind w:left="336"/>
              <w:rPr>
                <w:rFonts w:ascii="宋体" w:eastAsia="宋体" w:hAnsi="宋体"/>
                <w:szCs w:val="21"/>
              </w:rPr>
            </w:pPr>
            <w:r>
              <w:rPr>
                <w:rFonts w:ascii="宋体" w:eastAsia="宋体" w:hAnsi="宋体"/>
                <w:szCs w:val="21"/>
              </w:rPr>
              <w:t>答：</w:t>
            </w:r>
            <w:r>
              <w:rPr>
                <w:rFonts w:ascii="宋体" w:eastAsia="宋体" w:hAnsi="宋体" w:hint="eastAsia"/>
                <w:szCs w:val="21"/>
              </w:rPr>
              <w:t>是的，这是未来我们总体战略很重要的一部分，即与重要的战略伙伴形成深度合作，ST是其中之一，我们会进行40nm MCU产品的合作。同时公司也正和其他一些大型厂商进行洽谈，不久的将来大家可以看到。这部分的合作主要由欧洲一些大企业的“中国在地化”战略驱动，双方都将由此受益。华虹公司凭借自身深厚的工艺积累和丰富的产品组合可以很好的服务这些客户，这也反映出我们在特色工艺和成熟工艺节点方面的良好声誉。</w:t>
            </w:r>
          </w:p>
          <w:p w14:paraId="76A7F015" w14:textId="77777777" w:rsidR="007D2C8B" w:rsidRDefault="007D2C8B">
            <w:pPr>
              <w:rPr>
                <w:rFonts w:ascii="宋体" w:eastAsia="宋体" w:hAnsi="宋体" w:cs="Calibri"/>
                <w:szCs w:val="21"/>
              </w:rPr>
            </w:pPr>
          </w:p>
          <w:p w14:paraId="2D26C882" w14:textId="77777777" w:rsidR="007D2C8B" w:rsidRDefault="000C18AF">
            <w:pPr>
              <w:numPr>
                <w:ilvl w:val="0"/>
                <w:numId w:val="3"/>
              </w:numPr>
              <w:spacing w:before="60" w:after="60"/>
              <w:jc w:val="left"/>
              <w:rPr>
                <w:rFonts w:ascii="宋体" w:eastAsia="宋体" w:hAnsi="宋体"/>
                <w:szCs w:val="21"/>
              </w:rPr>
            </w:pPr>
            <w:r>
              <w:rPr>
                <w:rFonts w:ascii="宋体" w:eastAsia="宋体" w:hAnsi="宋体" w:cs="Calibri"/>
                <w:szCs w:val="21"/>
              </w:rPr>
              <w:t>问：</w:t>
            </w:r>
            <w:r>
              <w:rPr>
                <w:rFonts w:ascii="宋体" w:eastAsia="宋体" w:hAnsi="宋体" w:cs="Calibri" w:hint="eastAsia"/>
                <w:szCs w:val="21"/>
              </w:rPr>
              <w:t>关于华虹制造（九厂），公司可否对今年的折旧和工厂初期阶段的费用进行分享，因为我们注意到第四季度在费用方面已经有所体现？</w:t>
            </w:r>
            <w:r>
              <w:rPr>
                <w:rFonts w:ascii="宋体" w:eastAsia="宋体" w:hAnsi="宋体" w:cs="Calibri"/>
                <w:szCs w:val="21"/>
              </w:rPr>
              <w:t xml:space="preserve"> </w:t>
            </w:r>
          </w:p>
          <w:p w14:paraId="66302C19" w14:textId="10A8DEAD" w:rsidR="007D2C8B" w:rsidRDefault="000C18AF">
            <w:pPr>
              <w:ind w:left="336"/>
              <w:rPr>
                <w:rFonts w:ascii="宋体" w:eastAsia="宋体" w:hAnsi="宋体" w:cs="Calibri"/>
                <w:szCs w:val="21"/>
              </w:rPr>
            </w:pPr>
            <w:r>
              <w:rPr>
                <w:rFonts w:ascii="宋体" w:eastAsia="宋体" w:hAnsi="宋体" w:cs="Calibri" w:hint="eastAsia"/>
                <w:szCs w:val="21"/>
              </w:rPr>
              <w:t>答：正如大家所知，华</w:t>
            </w:r>
            <w:proofErr w:type="gramStart"/>
            <w:r>
              <w:rPr>
                <w:rFonts w:ascii="宋体" w:eastAsia="宋体" w:hAnsi="宋体" w:cs="Calibri" w:hint="eastAsia"/>
                <w:szCs w:val="21"/>
              </w:rPr>
              <w:t>虹制造</w:t>
            </w:r>
            <w:proofErr w:type="gramEnd"/>
            <w:r>
              <w:rPr>
                <w:rFonts w:ascii="宋体" w:eastAsia="宋体" w:hAnsi="宋体" w:cs="Calibri" w:hint="eastAsia"/>
                <w:szCs w:val="21"/>
              </w:rPr>
              <w:t>的整体投资约为67亿美元，目前我们已经完成了工厂的建设并开始投产，第一阶段的目标产能为4万片/月，大约下半年可以达成这一即时产能目标，然后再进行下一阶段的产能建设，</w:t>
            </w:r>
            <w:proofErr w:type="gramStart"/>
            <w:r>
              <w:rPr>
                <w:rFonts w:ascii="宋体" w:eastAsia="宋体" w:hAnsi="宋体" w:cs="Calibri" w:hint="eastAsia"/>
                <w:szCs w:val="21"/>
              </w:rPr>
              <w:t>全部产线大</w:t>
            </w:r>
            <w:proofErr w:type="gramEnd"/>
            <w:r>
              <w:rPr>
                <w:rFonts w:ascii="宋体" w:eastAsia="宋体" w:hAnsi="宋体" w:cs="Calibri" w:hint="eastAsia"/>
                <w:szCs w:val="21"/>
              </w:rPr>
              <w:t>约会在2026年年中以后完成。那么折旧会从今年逐步显现，今年该厂的折旧金额约为1.7-1.8亿美元，从年初的约三千万美元/</w:t>
            </w:r>
            <w:proofErr w:type="gramStart"/>
            <w:r w:rsidR="005F6DF1">
              <w:rPr>
                <w:rFonts w:ascii="宋体" w:eastAsia="宋体" w:hAnsi="宋体" w:cs="Calibri" w:hint="eastAsia"/>
                <w:szCs w:val="21"/>
              </w:rPr>
              <w:t>季</w:t>
            </w:r>
            <w:r>
              <w:rPr>
                <w:rFonts w:ascii="宋体" w:eastAsia="宋体" w:hAnsi="宋体" w:cs="Calibri" w:hint="eastAsia"/>
                <w:szCs w:val="21"/>
              </w:rPr>
              <w:t>逐步</w:t>
            </w:r>
            <w:proofErr w:type="gramEnd"/>
            <w:r>
              <w:rPr>
                <w:rFonts w:ascii="宋体" w:eastAsia="宋体" w:hAnsi="宋体" w:cs="Calibri" w:hint="eastAsia"/>
                <w:szCs w:val="21"/>
              </w:rPr>
              <w:t>提高至第四季度的七至八千万美元/</w:t>
            </w:r>
            <w:r w:rsidR="005F6DF1">
              <w:rPr>
                <w:rFonts w:ascii="宋体" w:eastAsia="宋体" w:hAnsi="宋体" w:cs="Calibri" w:hint="eastAsia"/>
                <w:szCs w:val="21"/>
              </w:rPr>
              <w:t>季</w:t>
            </w:r>
            <w:r>
              <w:rPr>
                <w:rFonts w:ascii="宋体" w:eastAsia="宋体" w:hAnsi="宋体" w:cs="Calibri" w:hint="eastAsia"/>
                <w:szCs w:val="21"/>
              </w:rPr>
              <w:t>。</w:t>
            </w:r>
          </w:p>
          <w:p w14:paraId="2AA5FCD7" w14:textId="77777777" w:rsidR="007D2C8B" w:rsidRDefault="007D2C8B">
            <w:pPr>
              <w:rPr>
                <w:rFonts w:ascii="宋体" w:eastAsia="宋体" w:hAnsi="宋体"/>
                <w:szCs w:val="21"/>
              </w:rPr>
            </w:pPr>
          </w:p>
          <w:p w14:paraId="6FBFEF17" w14:textId="77777777" w:rsidR="007D2C8B" w:rsidRDefault="000C18AF">
            <w:pPr>
              <w:pStyle w:val="ae"/>
              <w:numPr>
                <w:ilvl w:val="0"/>
                <w:numId w:val="3"/>
              </w:numPr>
              <w:ind w:left="334" w:firstLineChars="0" w:hanging="334"/>
              <w:rPr>
                <w:rFonts w:ascii="宋体" w:eastAsia="宋体" w:hAnsi="宋体" w:cs="Calibri"/>
                <w:szCs w:val="21"/>
              </w:rPr>
            </w:pPr>
            <w:r>
              <w:rPr>
                <w:rFonts w:ascii="宋体" w:eastAsia="宋体" w:hAnsi="宋体" w:cs="Calibri" w:hint="eastAsia"/>
                <w:szCs w:val="21"/>
              </w:rPr>
              <w:t>问：公司对嵌入式非易失性存储器及MCU平台的情况如何评价，我们注意到政府的有关刺激措施对消费类有一定的拉动，这对该板块的复苏有无影响？</w:t>
            </w:r>
          </w:p>
          <w:p w14:paraId="275AFF54" w14:textId="77777777" w:rsidR="007D2C8B" w:rsidRDefault="000C18AF">
            <w:pPr>
              <w:ind w:left="336"/>
              <w:rPr>
                <w:rFonts w:ascii="宋体" w:eastAsia="宋体" w:hAnsi="宋体" w:cs="Calibri"/>
                <w:szCs w:val="21"/>
              </w:rPr>
            </w:pPr>
            <w:r>
              <w:rPr>
                <w:rFonts w:ascii="宋体" w:eastAsia="宋体" w:hAnsi="宋体" w:cs="Calibri"/>
                <w:szCs w:val="21"/>
              </w:rPr>
              <w:t>答：</w:t>
            </w:r>
            <w:r>
              <w:rPr>
                <w:rFonts w:ascii="宋体" w:eastAsia="宋体" w:hAnsi="宋体" w:cs="Calibri" w:hint="eastAsia"/>
                <w:szCs w:val="21"/>
              </w:rPr>
              <w:t>嵌入式非易失性存储器平台是华虹收入贡献最大的工艺平台之一，我们提供不同工艺节点，包括55nm及40nm等节点的产品。2024年，公司MCU平台的收入和占比的确有所下降，并且市场的回暖并未直接拉动公司这部分的收入，主要原因是公</w:t>
            </w:r>
            <w:r>
              <w:rPr>
                <w:rFonts w:ascii="宋体" w:eastAsia="宋体" w:hAnsi="宋体" w:cs="Calibri" w:hint="eastAsia"/>
                <w:szCs w:val="21"/>
              </w:rPr>
              <w:lastRenderedPageBreak/>
              <w:t>司无锡的产能仍处于爬坡阶段，随着华虹制造的投产，我们可以有更大的产能来满足相关的需求；其次也包含新产品投产的滞后性，公司在新平台会有新的工艺和产品，但这需要一些时间，因此我们希望2025年可以将MCU平台的收入逐步提升，朝着2023年高点的情况来迈进。</w:t>
            </w:r>
          </w:p>
          <w:p w14:paraId="16FCB0F7" w14:textId="77777777" w:rsidR="007D2C8B" w:rsidRDefault="007D2C8B">
            <w:pPr>
              <w:rPr>
                <w:rFonts w:ascii="宋体" w:eastAsia="宋体" w:hAnsi="宋体" w:cs="Calibri"/>
                <w:szCs w:val="21"/>
              </w:rPr>
            </w:pPr>
          </w:p>
          <w:p w14:paraId="5A6F7890" w14:textId="77777777" w:rsidR="007D2C8B" w:rsidRDefault="000C18AF">
            <w:pPr>
              <w:numPr>
                <w:ilvl w:val="0"/>
                <w:numId w:val="3"/>
              </w:numPr>
              <w:spacing w:before="60" w:after="60"/>
              <w:jc w:val="left"/>
              <w:rPr>
                <w:rFonts w:ascii="宋体" w:eastAsia="宋体" w:hAnsi="宋体"/>
                <w:szCs w:val="21"/>
              </w:rPr>
            </w:pPr>
            <w:r>
              <w:rPr>
                <w:rFonts w:ascii="宋体" w:eastAsia="宋体" w:hAnsi="宋体" w:cs="Calibri"/>
                <w:szCs w:val="21"/>
              </w:rPr>
              <w:t>问：</w:t>
            </w:r>
            <w:r>
              <w:rPr>
                <w:rFonts w:ascii="宋体" w:eastAsia="宋体" w:hAnsi="宋体" w:cs="Calibri" w:hint="eastAsia"/>
                <w:szCs w:val="21"/>
              </w:rPr>
              <w:t>关于逻辑与</w:t>
            </w:r>
            <w:proofErr w:type="gramStart"/>
            <w:r>
              <w:rPr>
                <w:rFonts w:ascii="宋体" w:eastAsia="宋体" w:hAnsi="宋体" w:cs="Calibri" w:hint="eastAsia"/>
                <w:szCs w:val="21"/>
              </w:rPr>
              <w:t>射频板块</w:t>
            </w:r>
            <w:proofErr w:type="gramEnd"/>
            <w:r>
              <w:rPr>
                <w:rFonts w:ascii="宋体" w:eastAsia="宋体" w:hAnsi="宋体" w:cs="Calibri" w:hint="eastAsia"/>
                <w:szCs w:val="21"/>
              </w:rPr>
              <w:t>包括CIS等产品过去几个季度一直保持强劲，但从最近看是否出现了一定的修正以致收入增长放缓，公司如何评价？另外也请评价一下功率器件板块的情况？</w:t>
            </w:r>
          </w:p>
          <w:p w14:paraId="478C4754" w14:textId="77777777" w:rsidR="007D2C8B" w:rsidRDefault="000C18AF">
            <w:pPr>
              <w:ind w:left="336"/>
              <w:rPr>
                <w:rFonts w:ascii="宋体" w:eastAsia="宋体" w:hAnsi="宋体" w:cs="Calibri"/>
                <w:szCs w:val="21"/>
              </w:rPr>
            </w:pPr>
            <w:r>
              <w:rPr>
                <w:rFonts w:ascii="宋体" w:eastAsia="宋体" w:hAnsi="宋体" w:cs="Calibri"/>
                <w:szCs w:val="21"/>
              </w:rPr>
              <w:t>答：</w:t>
            </w:r>
            <w:r>
              <w:rPr>
                <w:rFonts w:ascii="宋体" w:eastAsia="宋体" w:hAnsi="宋体" w:cs="Calibri" w:hint="eastAsia"/>
                <w:szCs w:val="21"/>
              </w:rPr>
              <w:t>由于我们CIS的客户数量少，出货量大，因此其季度波动就直接导致我们的收入波动。整体逻辑与</w:t>
            </w:r>
            <w:proofErr w:type="gramStart"/>
            <w:r>
              <w:rPr>
                <w:rFonts w:ascii="宋体" w:eastAsia="宋体" w:hAnsi="宋体" w:cs="Calibri" w:hint="eastAsia"/>
                <w:szCs w:val="21"/>
              </w:rPr>
              <w:t>射频板块</w:t>
            </w:r>
            <w:proofErr w:type="gramEnd"/>
            <w:r>
              <w:rPr>
                <w:rFonts w:ascii="宋体" w:eastAsia="宋体" w:hAnsi="宋体" w:cs="Calibri" w:hint="eastAsia"/>
                <w:szCs w:val="21"/>
              </w:rPr>
              <w:t>客户数量与收入波动的情况与CIS类似，但我们认为特别是长期来看，逻辑与</w:t>
            </w:r>
            <w:proofErr w:type="gramStart"/>
            <w:r>
              <w:rPr>
                <w:rFonts w:ascii="宋体" w:eastAsia="宋体" w:hAnsi="宋体" w:cs="Calibri" w:hint="eastAsia"/>
                <w:szCs w:val="21"/>
              </w:rPr>
              <w:t>射频板块</w:t>
            </w:r>
            <w:proofErr w:type="gramEnd"/>
            <w:r>
              <w:rPr>
                <w:rFonts w:ascii="宋体" w:eastAsia="宋体" w:hAnsi="宋体" w:cs="Calibri" w:hint="eastAsia"/>
                <w:szCs w:val="21"/>
              </w:rPr>
              <w:t>的收入增长空间仍然很大。</w:t>
            </w:r>
          </w:p>
          <w:p w14:paraId="037134DD" w14:textId="77777777" w:rsidR="007D2C8B" w:rsidRDefault="000C18AF" w:rsidP="00624CC9">
            <w:pPr>
              <w:ind w:left="336"/>
              <w:rPr>
                <w:rFonts w:ascii="宋体" w:eastAsia="宋体" w:hAnsi="宋体" w:cs="Calibri"/>
                <w:szCs w:val="21"/>
              </w:rPr>
            </w:pPr>
            <w:r>
              <w:rPr>
                <w:rFonts w:ascii="宋体" w:eastAsia="宋体" w:hAnsi="宋体" w:cs="Calibri" w:hint="eastAsia"/>
                <w:szCs w:val="21"/>
              </w:rPr>
              <w:t>关于功率器件市场，我们认为需求是存在的，主要问题在于供给端，由于国内</w:t>
            </w:r>
            <w:proofErr w:type="gramStart"/>
            <w:r>
              <w:rPr>
                <w:rFonts w:ascii="宋体" w:eastAsia="宋体" w:hAnsi="宋体" w:cs="Calibri" w:hint="eastAsia"/>
                <w:szCs w:val="21"/>
              </w:rPr>
              <w:t>新产线的</w:t>
            </w:r>
            <w:proofErr w:type="gramEnd"/>
            <w:r>
              <w:rPr>
                <w:rFonts w:ascii="宋体" w:eastAsia="宋体" w:hAnsi="宋体" w:cs="Calibri" w:hint="eastAsia"/>
                <w:szCs w:val="21"/>
              </w:rPr>
              <w:t>不断投产，竞争相当激烈。我们对此的策略包括开发更先进的高压技术平台、与重要的欧洲客户进行合作，更好的利用好华虹固有的产能优势，最终向功率领域更高端的终端市场发展。</w:t>
            </w:r>
          </w:p>
          <w:p w14:paraId="46175E6B" w14:textId="77777777" w:rsidR="007D2C8B" w:rsidRDefault="007D2C8B">
            <w:pPr>
              <w:rPr>
                <w:rFonts w:ascii="宋体" w:eastAsia="宋体" w:hAnsi="宋体" w:cs="Calibri"/>
                <w:szCs w:val="21"/>
              </w:rPr>
            </w:pPr>
          </w:p>
          <w:p w14:paraId="345F4B84" w14:textId="63D78F4F" w:rsidR="00FB18CD" w:rsidRDefault="000C18AF">
            <w:pPr>
              <w:numPr>
                <w:ilvl w:val="0"/>
                <w:numId w:val="3"/>
              </w:numPr>
              <w:spacing w:before="60" w:after="60"/>
              <w:jc w:val="left"/>
              <w:rPr>
                <w:rFonts w:ascii="宋体" w:eastAsia="宋体" w:hAnsi="宋体" w:cs="Calibri"/>
                <w:szCs w:val="21"/>
              </w:rPr>
            </w:pPr>
            <w:r>
              <w:rPr>
                <w:rFonts w:ascii="宋体" w:eastAsia="宋体" w:hAnsi="宋体" w:cs="Calibri" w:hint="eastAsia"/>
                <w:szCs w:val="21"/>
              </w:rPr>
              <w:t>问：关于2025年整体的价格走势公司有怎样的预计，是否价格和毛利仍然面临一定的压力？除了折旧以外，对2025年的后续季度还有</w:t>
            </w:r>
            <w:r w:rsidRPr="00FB18CD">
              <w:rPr>
                <w:rFonts w:ascii="宋体" w:eastAsia="宋体" w:hAnsi="宋体" w:cs="Calibri" w:hint="eastAsia"/>
                <w:szCs w:val="21"/>
              </w:rPr>
              <w:t>什么重要的对毛利影响的因素？</w:t>
            </w:r>
          </w:p>
          <w:p w14:paraId="5E5F7AA6" w14:textId="60DA5E44" w:rsidR="007D2C8B" w:rsidRDefault="000C18AF" w:rsidP="00FB18CD">
            <w:pPr>
              <w:spacing w:before="60" w:after="60"/>
              <w:ind w:left="336"/>
              <w:jc w:val="left"/>
              <w:rPr>
                <w:rFonts w:ascii="宋体" w:eastAsia="宋体" w:hAnsi="宋体" w:cs="Calibri"/>
                <w:szCs w:val="21"/>
              </w:rPr>
            </w:pPr>
            <w:r w:rsidRPr="00FB18CD">
              <w:rPr>
                <w:rFonts w:ascii="宋体" w:eastAsia="宋体" w:hAnsi="宋体" w:cs="Calibri" w:hint="eastAsia"/>
                <w:szCs w:val="21"/>
              </w:rPr>
              <w:t>答：</w:t>
            </w:r>
            <w:bookmarkStart w:id="0" w:name="_Hlk190696495"/>
            <w:bookmarkStart w:id="1" w:name="_Hlk190696644"/>
            <w:r w:rsidRPr="00FB18CD">
              <w:rPr>
                <w:rFonts w:ascii="宋体" w:eastAsia="宋体" w:hAnsi="宋体" w:cs="Calibri" w:hint="eastAsia"/>
                <w:szCs w:val="21"/>
              </w:rPr>
              <w:t>根据我们的评估及预测，</w:t>
            </w:r>
            <w:r w:rsidR="002467A8" w:rsidRPr="00FB18CD">
              <w:rPr>
                <w:rFonts w:ascii="宋体" w:eastAsia="宋体" w:hAnsi="宋体" w:cs="Calibri" w:hint="eastAsia"/>
                <w:szCs w:val="21"/>
              </w:rPr>
              <w:t>相信2</w:t>
            </w:r>
            <w:r w:rsidR="002467A8" w:rsidRPr="00FB18CD">
              <w:rPr>
                <w:rFonts w:ascii="宋体" w:eastAsia="宋体" w:hAnsi="宋体" w:cs="Calibri"/>
                <w:szCs w:val="21"/>
              </w:rPr>
              <w:t>024</w:t>
            </w:r>
            <w:r w:rsidR="002467A8" w:rsidRPr="00FB18CD">
              <w:rPr>
                <w:rFonts w:ascii="宋体" w:eastAsia="宋体" w:hAnsi="宋体" w:cs="Calibri" w:hint="eastAsia"/>
                <w:szCs w:val="21"/>
              </w:rPr>
              <w:t>年价格已处于底部区间，2</w:t>
            </w:r>
            <w:r w:rsidR="002467A8" w:rsidRPr="00FB18CD">
              <w:rPr>
                <w:rFonts w:ascii="宋体" w:eastAsia="宋体" w:hAnsi="宋体" w:cs="Calibri"/>
                <w:szCs w:val="21"/>
              </w:rPr>
              <w:t>025</w:t>
            </w:r>
            <w:r w:rsidR="002467A8" w:rsidRPr="00FB18CD">
              <w:rPr>
                <w:rFonts w:ascii="宋体" w:eastAsia="宋体" w:hAnsi="宋体" w:cs="Calibri" w:hint="eastAsia"/>
                <w:szCs w:val="21"/>
              </w:rPr>
              <w:t>年主要</w:t>
            </w:r>
            <w:r w:rsidR="00142DBB" w:rsidRPr="00FB18CD">
              <w:rPr>
                <w:rFonts w:ascii="宋体" w:eastAsia="宋体" w:hAnsi="宋体" w:cs="Calibri" w:hint="eastAsia"/>
                <w:szCs w:val="21"/>
              </w:rPr>
              <w:t>通过产品</w:t>
            </w:r>
            <w:r w:rsidR="002467A8" w:rsidRPr="00FB18CD">
              <w:rPr>
                <w:rFonts w:ascii="宋体" w:eastAsia="宋体" w:hAnsi="宋体" w:cs="Calibri" w:hint="eastAsia"/>
                <w:szCs w:val="21"/>
              </w:rPr>
              <w:t>组合的调整来优化平均售价并改善毛利</w:t>
            </w:r>
            <w:r w:rsidRPr="00FB18CD">
              <w:rPr>
                <w:rFonts w:ascii="宋体" w:eastAsia="宋体" w:hAnsi="宋体" w:cs="Calibri" w:hint="eastAsia"/>
                <w:szCs w:val="21"/>
              </w:rPr>
              <w:t>。</w:t>
            </w:r>
            <w:bookmarkEnd w:id="0"/>
            <w:r w:rsidRPr="00FB18CD">
              <w:rPr>
                <w:rFonts w:ascii="宋体" w:eastAsia="宋体" w:hAnsi="宋体" w:cs="Calibri" w:hint="eastAsia"/>
                <w:szCs w:val="21"/>
              </w:rPr>
              <w:t>对于我们来说，价格的因素要小于折旧带来的影响。在价格可以逐步回暖的基础上，我们希望</w:t>
            </w:r>
            <w:proofErr w:type="gramStart"/>
            <w:r w:rsidRPr="00FB18CD">
              <w:rPr>
                <w:rFonts w:ascii="宋体" w:eastAsia="宋体" w:hAnsi="宋体" w:cs="Calibri" w:hint="eastAsia"/>
                <w:szCs w:val="21"/>
              </w:rPr>
              <w:t>8英寸产线的</w:t>
            </w:r>
            <w:proofErr w:type="gramEnd"/>
            <w:r w:rsidRPr="00FB18CD">
              <w:rPr>
                <w:rFonts w:ascii="宋体" w:eastAsia="宋体" w:hAnsi="宋体" w:cs="Calibri" w:hint="eastAsia"/>
                <w:szCs w:val="21"/>
              </w:rPr>
              <w:t>毛利率可以回到</w:t>
            </w:r>
            <w:r w:rsidR="002467A8" w:rsidRPr="00FB18CD">
              <w:rPr>
                <w:rFonts w:ascii="宋体" w:eastAsia="宋体" w:hAnsi="宋体" w:cs="Calibri" w:hint="eastAsia"/>
                <w:szCs w:val="21"/>
              </w:rPr>
              <w:t>较高水平</w:t>
            </w:r>
            <w:r w:rsidRPr="00FB18CD">
              <w:rPr>
                <w:rFonts w:ascii="宋体" w:eastAsia="宋体" w:hAnsi="宋体" w:cs="Calibri" w:hint="eastAsia"/>
                <w:szCs w:val="21"/>
              </w:rPr>
              <w:t>；对于新的12英寸产</w:t>
            </w:r>
            <w:r>
              <w:rPr>
                <w:rFonts w:ascii="宋体" w:eastAsia="宋体" w:hAnsi="宋体" w:cs="Calibri" w:hint="eastAsia"/>
                <w:szCs w:val="21"/>
              </w:rPr>
              <w:t>线，其的确会带来额外的折旧，也因此拉低了我们整体在2025年Q1和之后的毛利水平，但我们努力的目标仍然是将整体的毛利率提升至接近20%水平。</w:t>
            </w:r>
            <w:bookmarkEnd w:id="1"/>
          </w:p>
          <w:p w14:paraId="5C308004" w14:textId="77777777" w:rsidR="007D2C8B" w:rsidRDefault="007D2C8B">
            <w:pPr>
              <w:spacing w:before="60" w:after="60"/>
              <w:jc w:val="left"/>
              <w:rPr>
                <w:rFonts w:ascii="宋体" w:eastAsia="宋体" w:hAnsi="宋体" w:cs="Calibri"/>
                <w:szCs w:val="21"/>
              </w:rPr>
            </w:pPr>
          </w:p>
          <w:p w14:paraId="334BD2CF" w14:textId="77777777" w:rsidR="00FB18CD" w:rsidRDefault="000C18AF">
            <w:pPr>
              <w:numPr>
                <w:ilvl w:val="0"/>
                <w:numId w:val="3"/>
              </w:numPr>
              <w:spacing w:before="60" w:after="60"/>
              <w:jc w:val="left"/>
              <w:rPr>
                <w:rFonts w:ascii="宋体" w:eastAsia="宋体" w:hAnsi="宋体" w:cs="Calibri"/>
                <w:szCs w:val="21"/>
              </w:rPr>
            </w:pPr>
            <w:r>
              <w:rPr>
                <w:rFonts w:ascii="宋体" w:eastAsia="宋体" w:hAnsi="宋体" w:cs="Calibri" w:hint="eastAsia"/>
                <w:szCs w:val="21"/>
              </w:rPr>
              <w:t>问：我们注意到公司的汇兑损益及净利润亏损情况，请问这是一个偶发性的情况还是会是持续？</w:t>
            </w:r>
          </w:p>
          <w:p w14:paraId="7006AD82" w14:textId="7ACD5BE8" w:rsidR="007D2C8B" w:rsidRDefault="000C18AF" w:rsidP="00FB18CD">
            <w:pPr>
              <w:spacing w:before="60" w:after="60"/>
              <w:ind w:left="336"/>
              <w:jc w:val="left"/>
              <w:rPr>
                <w:rFonts w:ascii="宋体" w:eastAsia="宋体" w:hAnsi="宋体" w:cs="Calibri"/>
                <w:szCs w:val="21"/>
              </w:rPr>
            </w:pPr>
            <w:r>
              <w:rPr>
                <w:rFonts w:ascii="宋体" w:eastAsia="宋体" w:hAnsi="宋体" w:cs="Calibri" w:hint="eastAsia"/>
                <w:szCs w:val="21"/>
              </w:rPr>
              <w:t>答：是的，美元兑人民币的汇率在最后一个季度内升值了约2%，而我们有近15亿美元的</w:t>
            </w:r>
            <w:r w:rsidR="00527291">
              <w:rPr>
                <w:rFonts w:ascii="宋体" w:eastAsia="宋体" w:hAnsi="宋体" w:cs="Calibri" w:hint="eastAsia"/>
                <w:szCs w:val="21"/>
              </w:rPr>
              <w:t>美元贷款</w:t>
            </w:r>
            <w:r>
              <w:rPr>
                <w:rFonts w:ascii="宋体" w:eastAsia="宋体" w:hAnsi="宋体" w:cs="Calibri" w:hint="eastAsia"/>
                <w:szCs w:val="21"/>
              </w:rPr>
              <w:t>，这导致了汇兑损失及整体的利润亏损。长期来看，我们正在制定解决这个问题的计划，未来当人民币走强时，我们可以将美元债转换成人民币来</w:t>
            </w:r>
            <w:r w:rsidR="002467A8" w:rsidRPr="00FE0A0B">
              <w:rPr>
                <w:rFonts w:ascii="宋体" w:eastAsia="宋体" w:hAnsi="宋体" w:cs="Calibri" w:hint="eastAsia"/>
                <w:szCs w:val="21"/>
              </w:rPr>
              <w:t>规避或降低</w:t>
            </w:r>
            <w:r w:rsidRPr="00FE0A0B">
              <w:rPr>
                <w:rFonts w:ascii="宋体" w:eastAsia="宋体" w:hAnsi="宋体" w:cs="Calibri" w:hint="eastAsia"/>
                <w:szCs w:val="21"/>
              </w:rPr>
              <w:t>这</w:t>
            </w:r>
            <w:bookmarkStart w:id="2" w:name="_GoBack"/>
            <w:bookmarkEnd w:id="2"/>
            <w:r w:rsidR="002467A8">
              <w:rPr>
                <w:rFonts w:ascii="宋体" w:eastAsia="宋体" w:hAnsi="宋体" w:cs="Calibri" w:hint="eastAsia"/>
                <w:szCs w:val="21"/>
              </w:rPr>
              <w:t>一</w:t>
            </w:r>
            <w:r>
              <w:rPr>
                <w:rFonts w:ascii="宋体" w:eastAsia="宋体" w:hAnsi="宋体" w:cs="Calibri" w:hint="eastAsia"/>
                <w:szCs w:val="21"/>
              </w:rPr>
              <w:t>风险。</w:t>
            </w:r>
          </w:p>
          <w:p w14:paraId="73B89C5C" w14:textId="77777777" w:rsidR="007D2C8B" w:rsidRDefault="007D2C8B">
            <w:pPr>
              <w:rPr>
                <w:rFonts w:ascii="宋体" w:eastAsia="宋体" w:hAnsi="宋体" w:cs="Calibri"/>
                <w:szCs w:val="21"/>
              </w:rPr>
            </w:pPr>
          </w:p>
          <w:p w14:paraId="1089A460" w14:textId="77777777" w:rsidR="007D2C8B" w:rsidRDefault="007D2C8B">
            <w:pPr>
              <w:rPr>
                <w:rFonts w:ascii="宋体" w:eastAsia="宋体" w:hAnsi="宋体" w:cs="Calibri"/>
                <w:szCs w:val="21"/>
              </w:rPr>
            </w:pPr>
          </w:p>
          <w:p w14:paraId="5BDC7BA6" w14:textId="77777777" w:rsidR="007D2C8B" w:rsidRDefault="007D2C8B">
            <w:pPr>
              <w:rPr>
                <w:rFonts w:ascii="宋体" w:eastAsia="宋体" w:hAnsi="宋体" w:cs="Calibri"/>
                <w:szCs w:val="21"/>
              </w:rPr>
            </w:pPr>
          </w:p>
        </w:tc>
      </w:tr>
    </w:tbl>
    <w:p w14:paraId="33572A8D" w14:textId="77777777" w:rsidR="007D2C8B" w:rsidRDefault="007D2C8B">
      <w:pPr>
        <w:jc w:val="right"/>
        <w:rPr>
          <w:rFonts w:ascii="宋体" w:eastAsia="宋体" w:hAnsi="宋体"/>
          <w:szCs w:val="21"/>
        </w:rPr>
      </w:pPr>
    </w:p>
    <w:sectPr w:rsidR="007D2C8B">
      <w:headerReference w:type="default" r:id="rId8"/>
      <w:pgSz w:w="11906" w:h="16838"/>
      <w:pgMar w:top="1440" w:right="1800" w:bottom="1440" w:left="1800"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BA917" w14:textId="77777777" w:rsidR="0046711D" w:rsidRDefault="0046711D">
      <w:r>
        <w:separator/>
      </w:r>
    </w:p>
  </w:endnote>
  <w:endnote w:type="continuationSeparator" w:id="0">
    <w:p w14:paraId="6C8264DA" w14:textId="77777777" w:rsidR="0046711D" w:rsidRDefault="0046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C STKaiti">
    <w:altName w:val="微软雅黑"/>
    <w:charset w:val="86"/>
    <w:family w:val="auto"/>
    <w:pitch w:val="default"/>
    <w:sig w:usb0="00000000" w:usb1="0000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C3D25" w14:textId="77777777" w:rsidR="0046711D" w:rsidRDefault="0046711D">
      <w:r>
        <w:separator/>
      </w:r>
    </w:p>
  </w:footnote>
  <w:footnote w:type="continuationSeparator" w:id="0">
    <w:p w14:paraId="32CF6DF3" w14:textId="77777777" w:rsidR="0046711D" w:rsidRDefault="0046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697FD" w14:textId="77777777" w:rsidR="007D2C8B" w:rsidRDefault="000C18AF">
    <w:pPr>
      <w:pStyle w:val="a8"/>
      <w:pBdr>
        <w:bottom w:val="none" w:sz="0" w:space="0" w:color="auto"/>
      </w:pBdr>
      <w:tabs>
        <w:tab w:val="left" w:pos="5715"/>
      </w:tabs>
      <w:jc w:val="both"/>
      <w:rPr>
        <w:rFonts w:ascii="宋体" w:eastAsia="宋体" w:hAnsi="宋体"/>
      </w:rPr>
    </w:pPr>
    <w:r>
      <w:rPr>
        <w:rFonts w:ascii="宋体" w:eastAsia="宋体" w:hAnsi="宋体"/>
      </w:rPr>
      <w:tab/>
    </w:r>
    <w:r>
      <w:rPr>
        <w:rFonts w:ascii="宋体" w:eastAsia="宋体" w:hAnsi="宋体"/>
      </w:rPr>
      <w:tab/>
    </w:r>
    <w:r>
      <w:rPr>
        <w:rFonts w:ascii="宋体" w:eastAsia="宋体" w:hAnsi="宋体"/>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F6DCF"/>
    <w:multiLevelType w:val="multilevel"/>
    <w:tmpl w:val="1FCF6D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F095059"/>
    <w:multiLevelType w:val="multilevel"/>
    <w:tmpl w:val="4F095059"/>
    <w:lvl w:ilvl="0">
      <w:start w:val="1"/>
      <w:numFmt w:val="decimal"/>
      <w:lvlText w:val="%1."/>
      <w:lvlJc w:val="left"/>
      <w:pPr>
        <w:ind w:left="336" w:hanging="336"/>
      </w:pPr>
    </w:lvl>
    <w:lvl w:ilvl="1">
      <w:start w:val="1"/>
      <w:numFmt w:val="lowerLetter"/>
      <w:lvlText w:val="%2."/>
      <w:lvlJc w:val="left"/>
      <w:pPr>
        <w:ind w:left="776" w:hanging="336"/>
      </w:pPr>
    </w:lvl>
    <w:lvl w:ilvl="2">
      <w:start w:val="1"/>
      <w:numFmt w:val="lowerRoman"/>
      <w:lvlText w:val="%3."/>
      <w:lvlJc w:val="left"/>
      <w:pPr>
        <w:ind w:left="1216" w:hanging="336"/>
      </w:pPr>
    </w:lvl>
    <w:lvl w:ilvl="3">
      <w:start w:val="1"/>
      <w:numFmt w:val="decimal"/>
      <w:lvlText w:val="%4."/>
      <w:lvlJc w:val="left"/>
      <w:pPr>
        <w:ind w:left="1656" w:hanging="336"/>
      </w:pPr>
    </w:lvl>
    <w:lvl w:ilvl="4">
      <w:start w:val="1"/>
      <w:numFmt w:val="lowerLetter"/>
      <w:lvlText w:val="%5."/>
      <w:lvlJc w:val="left"/>
      <w:pPr>
        <w:ind w:left="2096" w:hanging="336"/>
      </w:pPr>
    </w:lvl>
    <w:lvl w:ilvl="5">
      <w:start w:val="1"/>
      <w:numFmt w:val="lowerRoman"/>
      <w:lvlText w:val="%6."/>
      <w:lvlJc w:val="left"/>
      <w:pPr>
        <w:ind w:left="2536" w:hanging="336"/>
      </w:pPr>
    </w:lvl>
    <w:lvl w:ilvl="6">
      <w:start w:val="1"/>
      <w:numFmt w:val="decimal"/>
      <w:lvlText w:val="%7."/>
      <w:lvlJc w:val="left"/>
      <w:pPr>
        <w:ind w:left="2976" w:hanging="336"/>
      </w:pPr>
    </w:lvl>
    <w:lvl w:ilvl="7">
      <w:start w:val="1"/>
      <w:numFmt w:val="lowerLetter"/>
      <w:lvlText w:val="%8."/>
      <w:lvlJc w:val="left"/>
      <w:pPr>
        <w:ind w:left="3416" w:hanging="336"/>
      </w:pPr>
    </w:lvl>
    <w:lvl w:ilvl="8">
      <w:start w:val="1"/>
      <w:numFmt w:val="lowerRoman"/>
      <w:lvlText w:val="%9."/>
      <w:lvlJc w:val="left"/>
      <w:pPr>
        <w:ind w:left="3856" w:hanging="336"/>
      </w:pPr>
    </w:lvl>
  </w:abstractNum>
  <w:abstractNum w:abstractNumId="2" w15:restartNumberingAfterBreak="0">
    <w:nsid w:val="76171A3A"/>
    <w:multiLevelType w:val="multilevel"/>
    <w:tmpl w:val="76171A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mMDliNzBjOWE2YzgzNzNjMTM2ZjM4N2Q2NTY0MDcifQ=="/>
  </w:docVars>
  <w:rsids>
    <w:rsidRoot w:val="003D79B5"/>
    <w:rsid w:val="0004383C"/>
    <w:rsid w:val="00050033"/>
    <w:rsid w:val="000C0DE4"/>
    <w:rsid w:val="000C18AF"/>
    <w:rsid w:val="000E38B5"/>
    <w:rsid w:val="00121C78"/>
    <w:rsid w:val="00142DBB"/>
    <w:rsid w:val="00167F28"/>
    <w:rsid w:val="001769B8"/>
    <w:rsid w:val="001829C5"/>
    <w:rsid w:val="001F3927"/>
    <w:rsid w:val="002078DF"/>
    <w:rsid w:val="002120EC"/>
    <w:rsid w:val="002126EF"/>
    <w:rsid w:val="0021619C"/>
    <w:rsid w:val="002467A8"/>
    <w:rsid w:val="002634AB"/>
    <w:rsid w:val="00272284"/>
    <w:rsid w:val="00293A7C"/>
    <w:rsid w:val="002A40AB"/>
    <w:rsid w:val="002B18EF"/>
    <w:rsid w:val="002E3321"/>
    <w:rsid w:val="00312F06"/>
    <w:rsid w:val="003247FE"/>
    <w:rsid w:val="003345F2"/>
    <w:rsid w:val="00335E6A"/>
    <w:rsid w:val="00340E28"/>
    <w:rsid w:val="00373A5E"/>
    <w:rsid w:val="003D79B5"/>
    <w:rsid w:val="003E67B0"/>
    <w:rsid w:val="003E7CA7"/>
    <w:rsid w:val="00415DE7"/>
    <w:rsid w:val="00423D05"/>
    <w:rsid w:val="00440A7C"/>
    <w:rsid w:val="00457876"/>
    <w:rsid w:val="0046711D"/>
    <w:rsid w:val="00487CBA"/>
    <w:rsid w:val="004945D0"/>
    <w:rsid w:val="004D0614"/>
    <w:rsid w:val="00500827"/>
    <w:rsid w:val="00500ED0"/>
    <w:rsid w:val="00527291"/>
    <w:rsid w:val="00534E5C"/>
    <w:rsid w:val="00581A62"/>
    <w:rsid w:val="005F415C"/>
    <w:rsid w:val="005F6DF1"/>
    <w:rsid w:val="00617247"/>
    <w:rsid w:val="006231CA"/>
    <w:rsid w:val="00624CC9"/>
    <w:rsid w:val="006405FC"/>
    <w:rsid w:val="00681F56"/>
    <w:rsid w:val="006B073E"/>
    <w:rsid w:val="006D1A96"/>
    <w:rsid w:val="006D6D84"/>
    <w:rsid w:val="006F56F7"/>
    <w:rsid w:val="00721A3F"/>
    <w:rsid w:val="00781A94"/>
    <w:rsid w:val="00782025"/>
    <w:rsid w:val="00793DC0"/>
    <w:rsid w:val="00795E2A"/>
    <w:rsid w:val="00797A3D"/>
    <w:rsid w:val="007C2D45"/>
    <w:rsid w:val="007D2C8B"/>
    <w:rsid w:val="007D5A58"/>
    <w:rsid w:val="00805E49"/>
    <w:rsid w:val="00826A41"/>
    <w:rsid w:val="00851D34"/>
    <w:rsid w:val="00896BCA"/>
    <w:rsid w:val="009034E8"/>
    <w:rsid w:val="00914FFD"/>
    <w:rsid w:val="00937E72"/>
    <w:rsid w:val="00946D3C"/>
    <w:rsid w:val="0098352E"/>
    <w:rsid w:val="00983680"/>
    <w:rsid w:val="00997AAD"/>
    <w:rsid w:val="009A6705"/>
    <w:rsid w:val="009B2A77"/>
    <w:rsid w:val="009C1BD6"/>
    <w:rsid w:val="00A52AB7"/>
    <w:rsid w:val="00B214B3"/>
    <w:rsid w:val="00B33453"/>
    <w:rsid w:val="00B41E54"/>
    <w:rsid w:val="00B50537"/>
    <w:rsid w:val="00B518B7"/>
    <w:rsid w:val="00B540B0"/>
    <w:rsid w:val="00B756CD"/>
    <w:rsid w:val="00B851B8"/>
    <w:rsid w:val="00B9639F"/>
    <w:rsid w:val="00BA4F91"/>
    <w:rsid w:val="00BD3438"/>
    <w:rsid w:val="00BD576D"/>
    <w:rsid w:val="00BF331D"/>
    <w:rsid w:val="00BF7E21"/>
    <w:rsid w:val="00C631FE"/>
    <w:rsid w:val="00C93D05"/>
    <w:rsid w:val="00CA52B5"/>
    <w:rsid w:val="00CB54A4"/>
    <w:rsid w:val="00CD7CD3"/>
    <w:rsid w:val="00D37156"/>
    <w:rsid w:val="00D4260E"/>
    <w:rsid w:val="00D50220"/>
    <w:rsid w:val="00D5192A"/>
    <w:rsid w:val="00D607D5"/>
    <w:rsid w:val="00D97EB3"/>
    <w:rsid w:val="00DA3A71"/>
    <w:rsid w:val="00DF38CB"/>
    <w:rsid w:val="00E36F8C"/>
    <w:rsid w:val="00E416A0"/>
    <w:rsid w:val="00E50A3B"/>
    <w:rsid w:val="00E54185"/>
    <w:rsid w:val="00E764AD"/>
    <w:rsid w:val="00EB1F68"/>
    <w:rsid w:val="00EB7872"/>
    <w:rsid w:val="00F1785D"/>
    <w:rsid w:val="00F24F46"/>
    <w:rsid w:val="00F311BA"/>
    <w:rsid w:val="00F323D5"/>
    <w:rsid w:val="00F66563"/>
    <w:rsid w:val="00FB18CD"/>
    <w:rsid w:val="00FE0A0B"/>
    <w:rsid w:val="00FE3D9E"/>
    <w:rsid w:val="0490105A"/>
    <w:rsid w:val="05FD6221"/>
    <w:rsid w:val="3A907571"/>
    <w:rsid w:val="3B280154"/>
    <w:rsid w:val="3E9D27E9"/>
    <w:rsid w:val="458D2373"/>
    <w:rsid w:val="469523BD"/>
    <w:rsid w:val="473311E6"/>
    <w:rsid w:val="558957D1"/>
    <w:rsid w:val="5F737985"/>
    <w:rsid w:val="727417D1"/>
    <w:rsid w:val="77E94871"/>
    <w:rsid w:val="78F47F26"/>
    <w:rsid w:val="794F2D00"/>
    <w:rsid w:val="7A4A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C1F8BE"/>
  <w15:docId w15:val="{92F43F24-FC49-4AD8-9F49-CCD1F9F4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微软雅黑" w:eastAsia="微软雅黑" w:hAnsi="微软雅黑" w:cs="微软雅黑"/>
      <w:sz w:val="19"/>
      <w:szCs w:val="19"/>
      <w:lang w:eastAsia="en-US"/>
    </w:rPr>
  </w:style>
  <w:style w:type="paragraph" w:styleId="a4">
    <w:name w:val="Balloon Text"/>
    <w:basedOn w:val="a"/>
    <w:link w:val="a5"/>
    <w:uiPriority w:val="99"/>
    <w:semiHidden/>
    <w:unhideWhenUsed/>
    <w:qFormat/>
    <w:rPr>
      <w:sz w:val="18"/>
      <w:szCs w:val="18"/>
    </w:rPr>
  </w:style>
  <w:style w:type="paragraph" w:styleId="a6">
    <w:name w:val="footer"/>
    <w:basedOn w:val="a"/>
    <w:link w:val="a7"/>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uiPriority w:val="22"/>
    <w:qFormat/>
    <w:rPr>
      <w:b/>
      <w:bCs/>
    </w:rPr>
  </w:style>
  <w:style w:type="character" w:styleId="ad">
    <w:name w:val="Hyperlink"/>
    <w:basedOn w:val="a0"/>
    <w:autoRedefine/>
    <w:uiPriority w:val="99"/>
    <w:unhideWhenUsed/>
    <w:qFormat/>
    <w:rPr>
      <w:color w:val="0563C1" w:themeColor="hyperlink"/>
      <w:u w:val="single"/>
    </w:rPr>
  </w:style>
  <w:style w:type="character" w:customStyle="1" w:styleId="a9">
    <w:name w:val="页眉 字符"/>
    <w:basedOn w:val="a0"/>
    <w:link w:val="a8"/>
    <w:autoRedefine/>
    <w:uiPriority w:val="99"/>
    <w:qFormat/>
    <w:rPr>
      <w:sz w:val="18"/>
      <w:szCs w:val="18"/>
    </w:rPr>
  </w:style>
  <w:style w:type="character" w:customStyle="1" w:styleId="a7">
    <w:name w:val="页脚 字符"/>
    <w:basedOn w:val="a0"/>
    <w:link w:val="a6"/>
    <w:autoRedefine/>
    <w:uiPriority w:val="99"/>
    <w:qFormat/>
    <w:rPr>
      <w:sz w:val="18"/>
      <w:szCs w:val="18"/>
    </w:rPr>
  </w:style>
  <w:style w:type="character" w:customStyle="1" w:styleId="1">
    <w:name w:val="不明显强调1"/>
    <w:basedOn w:val="a0"/>
    <w:autoRedefine/>
    <w:uiPriority w:val="19"/>
    <w:qFormat/>
    <w:rPr>
      <w:i/>
      <w:iCs/>
      <w:color w:val="404040" w:themeColor="text1" w:themeTint="BF"/>
    </w:rPr>
  </w:style>
  <w:style w:type="character" w:customStyle="1" w:styleId="a5">
    <w:name w:val="批注框文本 字符"/>
    <w:basedOn w:val="a0"/>
    <w:link w:val="a4"/>
    <w:autoRedefine/>
    <w:uiPriority w:val="99"/>
    <w:semiHidden/>
    <w:qFormat/>
    <w:rPr>
      <w:sz w:val="18"/>
      <w:szCs w:val="18"/>
    </w:rPr>
  </w:style>
  <w:style w:type="paragraph" w:customStyle="1" w:styleId="Body">
    <w:name w:val="_Body"/>
    <w:basedOn w:val="a"/>
    <w:autoRedefine/>
    <w:qFormat/>
    <w:pPr>
      <w:widowControl/>
      <w:spacing w:after="200"/>
      <w:jc w:val="left"/>
    </w:pPr>
    <w:rPr>
      <w:rFonts w:ascii="Arial" w:eastAsia="SC STKaiti" w:hAnsi="Arial" w:cs="Times New Roman"/>
      <w:kern w:val="0"/>
      <w:sz w:val="20"/>
      <w:szCs w:val="24"/>
    </w:rPr>
  </w:style>
  <w:style w:type="paragraph" w:styleId="ae">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430DC-3C05-434A-AA27-61DDFAD96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Genie Liu 刘丽婷 (HHGrace LCWG)</dc:creator>
  <cp:lastModifiedBy>Mengjuan Feng 冯孟娟 (HHGrace BO)</cp:lastModifiedBy>
  <cp:revision>12</cp:revision>
  <cp:lastPrinted>2025-02-17T06:59:00Z</cp:lastPrinted>
  <dcterms:created xsi:type="dcterms:W3CDTF">2025-02-17T01:03:00Z</dcterms:created>
  <dcterms:modified xsi:type="dcterms:W3CDTF">2025-02-17T09:29:00Z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6A0F12773327444FA4AEB17C1EAF4173_12</vt:lpwstr>
  </property>
  <property fmtid="{D5CDD505-2E9C-101B-9397-08002B2CF9AE}" pid="4" name="KSOTemplateDocerSaveRecord">
    <vt:lpwstr>eyJoZGlkIjoiNTJmMDliNzBjOWE2YzgzNzNjMTM2ZjM4N2Q2NTY0MDciLCJ1c2VySWQiOiI1ODMzMDgzMzcifQ==</vt:lpwstr>
  </property>
</Properties>
</file>